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as survival models of time to release and of time to re-arrest with a share</w:t>
      </w:r>
      <w:r>
        <w:t xml:space="preserve"> </w:t>
      </w:r>
      <m:oMath>
        <m:r>
          <m:t>π</m:t>
        </m:r>
      </m:oMath>
      <w:r>
        <w:t xml:space="preserve"> </w:t>
      </w:r>
      <w:r>
        <w:t xml:space="preserve">who ever return. The modelled population is the people with a known HCV screening result, who were assumed to be the PWID; their 2015 seroprevalence is the calibration target. The records cannot tell true first offenders apart and never observe people who have not been arrested, so they do not identify the first arrest rate. It was set to</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with one multiplier</w:t>
      </w:r>
      <w:r>
        <w:t xml:space="preserve"> </w:t>
      </w:r>
      <m:oMath>
        <m:r>
          <m:t>c</m:t>
        </m:r>
        <m:r>
          <m:rPr>
            <m:sty m:val="p"/>
          </m:rPr>
          <m:t>≥</m:t>
        </m:r>
        <m:r>
          <m:t>0.5</m:t>
        </m:r>
      </m:oMath>
      <w:r>
        <w:t xml:space="preserve"> </w:t>
      </w:r>
      <w:r>
        <w:t xml:space="preserve">for all ages, calibrated (Section 2.3).</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people who use drugs that depends on viraemic status</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sSub>
                <m:e>
                  <m:r>
                    <m:t>s</m:t>
                  </m:r>
                </m:e>
                <m:sub>
                  <m:r>
                    <m:t>v</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r>
          <m:t>s</m:t>
        </m:r>
        <m:r>
          <m:t> </m:t>
        </m:r>
        <m:sSub>
          <m:e>
            <m:r>
              <m:t>μ</m:t>
            </m:r>
          </m:e>
          <m:sub>
            <m:r>
              <m:t>i</m:t>
            </m:r>
          </m:sub>
        </m:sSub>
      </m:oMath>
      <w:r>
        <w:t xml:space="preserve">, where</w:t>
      </w:r>
      <w:r>
        <w:t xml:space="preserve"> </w:t>
      </w:r>
      <m:oMath>
        <m:sSub>
          <m:e>
            <m:r>
              <m:t>μ</m:t>
            </m:r>
          </m:e>
          <m:sub>
            <m:r>
              <m:t>i</m:t>
            </m:r>
          </m:sub>
        </m:sSub>
      </m:oMath>
      <w:r>
        <w:t xml:space="preserve"> </w:t>
      </w:r>
      <w:r>
        <w:t xml:space="preserve">is the Singapore resident death rate and</w:t>
      </w:r>
      <w:r>
        <w:t xml:space="preserve"> </w:t>
      </w:r>
      <m:oMath>
        <m:r>
          <m:t>s</m:t>
        </m:r>
      </m:oMath>
      <w:r>
        <w:t xml:space="preserve"> </w:t>
      </w:r>
      <w:r>
        <w:t xml:space="preserve">is an all-cause standardised mortality ratio for people who use drugs against the general population, from the Amsterdam Cohort Studies (1985 to 2012)</w:t>
      </w:r>
      <w:r>
        <w:t xml:space="preserve"> </w:t>
      </w:r>
      <w:r>
        <w:t xml:space="preserve">[11]</w:t>
      </w:r>
      <w:r>
        <w:t xml:space="preserve">. People in the viraemic states (a, c, t) have</w:t>
      </w:r>
      <w:r>
        <w:t xml:space="preserve"> </w:t>
      </w:r>
      <m:oMath>
        <m:sSub>
          <m:e>
            <m:r>
              <m:t>s</m:t>
            </m:r>
          </m:e>
          <m:sub>
            <m:r>
              <m:t>v</m:t>
            </m:r>
          </m:sub>
        </m:sSub>
        <m:r>
          <m:rPr>
            <m:sty m:val="p"/>
          </m:rPr>
          <m:t>=</m:t>
        </m:r>
        <m:r>
          <m:t>9.52</m:t>
        </m:r>
      </m:oMath>
      <w:r>
        <w:t xml:space="preserve"> </w:t>
      </w:r>
      <w:r>
        <w:t xml:space="preserve">(95% CI 8.06 to 11.26; HCV monoinfected). People in states u and r have</w:t>
      </w:r>
      <w:r>
        <w:t xml:space="preserve"> </w:t>
      </w:r>
      <m:oMath>
        <m:sSub>
          <m:e>
            <m:r>
              <m:t>s</m:t>
            </m:r>
          </m:e>
          <m:sub>
            <m:r>
              <m:t>n</m:t>
            </m:r>
          </m:sub>
        </m:sSub>
        <m:r>
          <m:rPr>
            <m:sty m:val="p"/>
          </m:rPr>
          <m:t>=</m:t>
        </m:r>
        <m:r>
          <m:t>4.73</m:t>
        </m:r>
      </m:oMath>
      <w:r>
        <w:t xml:space="preserve"> </w:t>
      </w:r>
      <w:r>
        <w:t xml:space="preserve">(3.47 to 6.45; HCV and HIV uninfected). Recovered people take the uninfected ratio because extrahepatic mortality after loss of viraemia is close to that of uninfected people</w:t>
      </w:r>
      <w:r>
        <w:t xml:space="preserve"> </w:t>
      </w:r>
      <w:r>
        <w:t xml:space="preserve">[13]</w:t>
      </w:r>
      <w:r>
        <w:t xml:space="preserve">. Liver deaths in stages 3 and 4 are added on top. The rate is set by each person’s state, so the viraemic share of the population, and with it average mortality, changes over time and falls with treatment. The non-liver deaths of viraemic people above the non-viraemic rate,</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are counted as HCV deaths together with the liver deaths; the deaths at rate</w:t>
      </w:r>
      <w:r>
        <w:t xml:space="preserve"> </w:t>
      </w:r>
      <m:oMath>
        <m:sSub>
          <m:e>
            <m:r>
              <m:t>s</m:t>
            </m:r>
          </m:e>
          <m:sub>
            <m:r>
              <m:t>n</m:t>
            </m:r>
          </m:sub>
        </m:sSub>
        <m:sSub>
          <m:e>
            <m:r>
              <m:t>μ</m:t>
            </m:r>
          </m:e>
          <m:sub>
            <m:r>
              <m:t>i</m:t>
            </m:r>
          </m:sub>
        </m:sSub>
      </m:oMath>
      <w:r>
        <w:t xml:space="preserve"> </w:t>
      </w:r>
      <w:r>
        <w:t xml:space="preserve">are not.</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sSub>
                <m:e>
                  <m:r>
                    <m:t>s</m:t>
                  </m:r>
                </m:e>
                <m:sub>
                  <m:r>
                    <m:t>v</m:t>
                  </m:r>
                </m:sub>
              </m:sSub>
            </m:oMath>
          </w:p>
        </w:tc>
        <w:tc>
          <w:tcPr/>
          <w:p>
            <w:pPr>
              <w:pStyle w:val="Compact"/>
            </w:pPr>
            <w:r>
              <w:t xml:space="preserve">Standardised mortality ratio, viraemic (a, c, t)</w:t>
            </w:r>
          </w:p>
        </w:tc>
        <w:tc>
          <w:tcPr/>
          <w:p>
            <w:pPr>
              <w:pStyle w:val="Compact"/>
            </w:pPr>
            <w:r>
              <w:t xml:space="preserve">9.52</w:t>
            </w:r>
          </w:p>
        </w:tc>
        <w:tc>
          <w:tcPr/>
          <w:p>
            <w:pPr>
              <w:pStyle w:val="Compact"/>
            </w:pPr>
            <w:r>
              <w:t xml:space="preserve">[11]</w:t>
            </w:r>
          </w:p>
        </w:tc>
      </w:tr>
      <w:tr>
        <w:tc>
          <w:tcPr/>
          <w:p>
            <w:pPr>
              <w:pStyle w:val="Compact"/>
            </w:pPr>
            <m:oMath>
              <m:sSub>
                <m:e>
                  <m:r>
                    <m:t>s</m:t>
                  </m:r>
                </m:e>
                <m:sub>
                  <m:r>
                    <m:t>n</m:t>
                  </m:r>
                </m:sub>
              </m:sSub>
            </m:oMath>
          </w:p>
        </w:tc>
        <w:tc>
          <w:tcPr/>
          <w:p>
            <w:pPr>
              <w:pStyle w:val="Compact"/>
            </w:pPr>
            <w:r>
              <w:t xml:space="preserve">Standardised mortality ratio, non-viraemic (u, r)</w:t>
            </w:r>
          </w:p>
        </w:tc>
        <w:tc>
          <w:tcPr/>
          <w:p>
            <w:pPr>
              <w:pStyle w:val="Compact"/>
            </w:pPr>
            <w:r>
              <w:t xml:space="preserve">4.73</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3</m:t>
                  </m:r>
                  <m:r>
                    <m:rPr>
                      <m:sty m:val="p"/>
                    </m:rPr>
                    <m:t>)</m:t>
                  </m:r>
                </m:sup>
              </m:sSubSup>
            </m:oMath>
          </w:p>
        </w:tc>
        <w:tc>
          <w:tcPr/>
          <w:p>
            <w:pPr>
              <w:pStyle w:val="Compact"/>
            </w:pPr>
            <w:r>
              <w:t xml:space="preserve">Re-arrest rate (per year), by age</w:t>
            </w:r>
          </w:p>
        </w:tc>
        <w:tc>
          <w:tcPr/>
          <w:p>
            <w:pPr>
              <w:pStyle w:val="Compact"/>
            </w:pPr>
            <w:r>
              <w:t xml:space="preserve">0.548, 0.478, 0.469, 0.471, 0.384, 0.265</w:t>
            </w:r>
          </w:p>
        </w:tc>
        <w:tc>
          <w:tcPr/>
          <w:p>
            <w:pPr>
              <w:pStyle w:val="Compact"/>
            </w:pPr>
            <w:r>
              <w:t xml:space="preserve">Fitted to prison records</w:t>
            </w:r>
          </w:p>
        </w:tc>
      </w:tr>
      <w:tr>
        <w:tc>
          <w:tcPr/>
          <w:p>
            <w:pPr>
              <w:pStyle w:val="Compact"/>
            </w:pPr>
            <m:oMath>
              <m:r>
                <m:t>c</m:t>
              </m:r>
            </m:oMath>
          </w:p>
        </w:tc>
        <w:tc>
          <w:tcPr/>
          <w:p>
            <w:pPr>
              <w:pStyle w:val="Compact"/>
            </w:pPr>
            <w:r>
              <w:t xml:space="preserve">First arrest multiplier,</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p>
        </w:tc>
        <w:tc>
          <w:tcPr/>
          <w:p>
            <w:pPr>
              <w:pStyle w:val="Compact"/>
            </w:pPr>
            <w:r>
              <w:t xml:space="preserve">1.24 (95% interval 0.57 to 3.13)</w:t>
            </w:r>
          </w:p>
        </w:tc>
        <w:tc>
          <w:tcPr/>
          <w:p>
            <w:pPr>
              <w:pStyle w:val="Compact"/>
            </w:pPr>
            <w:r>
              <w:t xml:space="preserve">Calibrated (θ7)</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the 2015 HCV seroprevalence among people in prison in six age groups, from Singapore Prison Service screening data. Seroprevalence in the model is the share of people in states a, c, t and r among all people in J. No counts and no population sizes were used. Each observed seroprevalence</w:t>
      </w:r>
      <w:r>
        <w:t xml:space="preserve"> </w:t>
      </w:r>
      <m:oMath>
        <m:sSub>
          <m:e>
            <m:r>
              <m:t>y</m:t>
            </m:r>
          </m:e>
          <m:sub>
            <m:r>
              <m:t>i</m:t>
            </m:r>
          </m:sub>
        </m:sSub>
      </m:oMath>
      <w:r>
        <w:t xml:space="preserve"> </w:t>
      </w:r>
      <w:r>
        <w:t xml:space="preserve">had the likelihood</w:t>
      </w:r>
    </w:p>
    <w:p>
      <w:pPr>
        <w:pStyle w:val="BodyText"/>
      </w:pPr>
      <m:oMathPara>
        <m:oMathParaPr>
          <m:jc m:val="center"/>
        </m:oMathParaPr>
        <m:oMath>
          <m:sSub>
            <m:e>
              <m:r>
                <m:t>y</m:t>
              </m:r>
            </m:e>
            <m:sub>
              <m:r>
                <m:t>i</m:t>
              </m:r>
            </m:sub>
          </m:sSub>
          <m:r>
            <m:rPr>
              <m:sty m:val="p"/>
            </m:rPr>
            <m:t>∼</m:t>
          </m:r>
          <m:r>
            <m:rPr>
              <m:sty m:val="p"/>
            </m:rPr>
            <m:t>B</m:t>
          </m:r>
          <m:r>
            <m:rPr>
              <m:sty m:val="p"/>
            </m:rPr>
            <m:t>e</m:t>
          </m:r>
          <m:r>
            <m:rPr>
              <m:sty m:val="p"/>
            </m:rPr>
            <m:t>t</m:t>
          </m:r>
          <m:r>
            <m:rPr>
              <m:sty m:val="p"/>
            </m:rPr>
            <m:t>a</m:t>
          </m:r>
          <m:d>
            <m:dPr>
              <m:begChr m:val="("/>
              <m:sepChr m:val=""/>
              <m:endChr m:val=")"/>
              <m:grow/>
            </m:dPr>
            <m:e>
              <m:sSub>
                <m:e>
                  <m:r>
                    <m:t>p</m:t>
                  </m:r>
                </m:e>
                <m:sub>
                  <m:r>
                    <m:t>i</m:t>
                  </m:r>
                </m:sub>
              </m:sSub>
              <m:r>
                <m:t>ϕ</m:t>
              </m:r>
              <m:r>
                <m:rPr>
                  <m:sty m:val="p"/>
                </m:rPr>
                <m:t>,</m:t>
              </m:r>
              <m:r>
                <m:t> </m:t>
              </m:r>
              <m:r>
                <m:rPr>
                  <m:sty m:val="p"/>
                </m:rPr>
                <m:t>(</m:t>
              </m:r>
              <m:r>
                <m:t>1</m:t>
              </m:r>
              <m:r>
                <m:rPr>
                  <m:sty m:val="p"/>
                </m:rPr>
                <m:t>−</m:t>
              </m:r>
              <m:sSub>
                <m:e>
                  <m:r>
                    <m:t>p</m:t>
                  </m:r>
                </m:e>
                <m:sub>
                  <m:r>
                    <m:t>i</m:t>
                  </m:r>
                </m:sub>
              </m:sSub>
              <m:r>
                <m:rPr>
                  <m:sty m:val="p"/>
                </m:rPr>
                <m:t>)</m:t>
              </m:r>
              <m:r>
                <m:t>ϕ</m:t>
              </m:r>
            </m:e>
          </m:d>
          <m:r>
            <m:rPr>
              <m:sty m:val="p"/>
            </m:rPr>
            <m:t>,</m:t>
          </m:r>
        </m:oMath>
      </m:oMathPara>
    </w:p>
    <w:p>
      <w:pPr>
        <w:pStyle w:val="FirstParagraph"/>
      </w:pPr>
      <w:r>
        <w:t xml:space="preserve">where</w:t>
      </w:r>
      <w:r>
        <w:t xml:space="preserve"> </w:t>
      </w:r>
      <m:oMath>
        <m:sSub>
          <m:e>
            <m:r>
              <m:t>p</m:t>
            </m:r>
          </m:e>
          <m:sub>
            <m:r>
              <m:t>i</m:t>
            </m:r>
          </m:sub>
        </m:sSub>
      </m:oMath>
      <w:r>
        <w:t xml:space="preserve"> </w:t>
      </w:r>
      <w:r>
        <w:t xml:space="preserve">is the model value and</w:t>
      </w:r>
      <w:r>
        <w:t xml:space="preserve"> </w:t>
      </w:r>
      <m:oMath>
        <m:r>
          <m:t>ϕ</m:t>
        </m:r>
        <m:r>
          <m:rPr>
            <m:sty m:val="p"/>
          </m:rPr>
          <m:t>=</m:t>
        </m:r>
        <m:r>
          <m:t>100</m:t>
        </m:r>
      </m:oMath>
      <w:r>
        <w:t xml:space="preserve"> </w:t>
      </w:r>
      <w:r>
        <w:t xml:space="preserve">is a fixed precision. Its variance is</w:t>
      </w:r>
      <w:r>
        <w:t xml:space="preserve"> </w:t>
      </w:r>
      <m:oMath>
        <m:sSub>
          <m:e>
            <m:r>
              <m:t>p</m:t>
            </m:r>
          </m:e>
          <m:sub>
            <m:r>
              <m:t>i</m:t>
            </m:r>
          </m:sub>
        </m:sSub>
        <m:r>
          <m:rPr>
            <m:sty m:val="p"/>
          </m:rPr>
          <m:t>(</m:t>
        </m:r>
        <m:r>
          <m:t>1</m:t>
        </m:r>
        <m:r>
          <m:rPr>
            <m:sty m:val="p"/>
          </m:rPr>
          <m:t>−</m:t>
        </m:r>
        <m:sSub>
          <m:e>
            <m:r>
              <m:t>p</m:t>
            </m:r>
          </m:e>
          <m:sub>
            <m:r>
              <m:t>i</m:t>
            </m:r>
          </m:sub>
        </m:sSub>
        <m:r>
          <m:rPr>
            <m:sty m:val="p"/>
          </m:rPr>
          <m:t>)</m:t>
        </m:r>
        <m:r>
          <m:rPr>
            <m:sty m:val="p"/>
          </m:rPr>
          <m:t>/</m:t>
        </m:r>
        <m:r>
          <m:rPr>
            <m:sty m:val="p"/>
          </m:rPr>
          <m:t>(</m:t>
        </m:r>
        <m:r>
          <m:t>ϕ</m:t>
        </m:r>
        <m:r>
          <m:rPr>
            <m:sty m:val="p"/>
          </m:rPr>
          <m:t>+</m:t>
        </m:r>
        <m:r>
          <m:t>1</m:t>
        </m:r>
        <m:r>
          <m:rPr>
            <m:sty m:val="p"/>
          </m:rPr>
          <m:t>)</m:t>
        </m:r>
      </m:oMath>
      <w:r>
        <w:t xml:space="preserve">, a standard deviation of about 0.045 at</w:t>
      </w:r>
      <w:r>
        <w:t xml:space="preserve"> </w:t>
      </w:r>
      <m:oMath>
        <m:sSub>
          <m:e>
            <m:r>
              <m:t>p</m:t>
            </m:r>
          </m:e>
          <m:sub>
            <m:r>
              <m:t>i</m:t>
            </m:r>
          </m:sub>
        </m:sSub>
        <m:r>
          <m:rPr>
            <m:sty m:val="p"/>
          </m:rPr>
          <m:t>=</m:t>
        </m:r>
        <m:r>
          <m:t>0.3</m:t>
        </m:r>
      </m:oMath>
      <w:r>
        <w:t xml:space="preserve">. The six terms were independent.</w:t>
      </w:r>
    </w:p>
    <w:bookmarkEnd w:id="15"/>
    <w:bookmarkStart w:id="16" w:name="entry-into-injecting"/>
    <w:p>
      <w:pPr>
        <w:pStyle w:val="Heading2"/>
      </w:pPr>
      <w:r>
        <w:t xml:space="preserve">2.2 Entry into injecting</w:t>
      </w:r>
    </w:p>
    <w:p>
      <w:pPr>
        <w:pStyle w:val="FirstParagraph"/>
      </w:pPr>
      <w:r>
        <w:t xml:space="preserve">Entry into D was the 2015 number of new drug users by age published by the Singapore Department of Statistics</w:t>
      </w:r>
      <w:r>
        <w:t xml:space="preserve"> </w:t>
      </w:r>
      <w:r>
        <w:t xml:space="preserve">[17]</w:t>
      </w:r>
      <w:r>
        <w:t xml:space="preserve"> </w:t>
      </w:r>
      <w:r>
        <w:t xml:space="preserve">(Table S2), without scaling. The same counts set the equilibrium up to 2015 and were held constant from 2016 to 2030, so the projections isolate the effect of treatment and screening. These counts come from law enforcement records and are a proxy for entry into injecting.</w:t>
      </w:r>
    </w:p>
    <w:p>
      <w:pPr>
        <w:pStyle w:val="BodyText"/>
      </w:pPr>
      <w:r>
        <w:rPr>
          <w:b/>
          <w:bCs/>
        </w:rPr>
        <w:t xml:space="preserve">Table S2. New drug users by age group, Singapore, 2015 (entry into D in every model year).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bl>
    <w:bookmarkEnd w:id="16"/>
    <w:bookmarkStart w:id="17" w:name="calibrated-parameters-and-priors"/>
    <w:p>
      <w:pPr>
        <w:pStyle w:val="Heading2"/>
      </w:pPr>
      <w:r>
        <w:t xml:space="preserve">2.3 Calibrated parameters and priors</w:t>
      </w:r>
    </w:p>
    <w:p>
      <w:pPr>
        <w:pStyle w:val="FirstParagraph"/>
      </w:pPr>
      <w:r>
        <w:t xml:space="preserve">We estimated 7 parameters on the log scale. Parameters θ1 to θ6 multiply the contact rates of the six age groups relative to the contact matrix in the model code. Parameter θ7 is</w:t>
      </w:r>
      <w:r>
        <w:t xml:space="preserve"> </w:t>
      </w:r>
      <m:oMath>
        <m:r>
          <m:rPr>
            <m:sty m:val="p"/>
          </m:rPr>
          <m:t>log</m:t>
        </m:r>
        <m:r>
          <m:t>c</m:t>
        </m:r>
      </m:oMath>
      <w:r>
        <w:t xml:space="preserve">, the first arrest multiplier. Entry into age group</w:t>
      </w:r>
      <w:r>
        <w:t xml:space="preserve"> </w:t>
      </w:r>
      <m:oMath>
        <m:r>
          <m:t>i</m:t>
        </m:r>
      </m:oMath>
      <w:r>
        <w:t xml:space="preserve"> </w:t>
      </w:r>
      <w:r>
        <w:t xml:space="preserve">was the official count of new drug users,</w:t>
      </w:r>
      <w:r>
        <w:t xml:space="preserve"> </w:t>
      </w:r>
      <m:oMath>
        <m:sSub>
          <m:e>
            <m:r>
              <m:t>β</m:t>
            </m:r>
          </m:e>
          <m:sub>
            <m:r>
              <m:t>i</m:t>
            </m:r>
          </m:sub>
        </m:sSub>
      </m:oMath>
      <w:r>
        <w:t xml:space="preserve">, without a scale. The prior was fixed before fitting and did not use the data: θ1 to θ6 were each normal with mean 0 and standard deviation 1.5 (a 95% range of 0.05 to 19 times the contact rate), and θ7 was normal with mean 0 and standard deviation 0.5, centred on equal first and re-arrest rates. The prior was truncated to the bounds: contact scales 0.01 to 1,000 and</w:t>
      </w:r>
      <w:r>
        <w:t xml:space="preserve"> </w:t>
      </w:r>
      <m:oMath>
        <m:r>
          <m:t>c</m:t>
        </m:r>
      </m:oMath>
      <w:r>
        <w:t xml:space="preserve"> </w:t>
      </w:r>
      <w:r>
        <w:t xml:space="preserve">0.5 to 100. A deterministic Nelder Mead search with 8 starts found the posterior mode. The starts were θ = 0 and 7 random perturbations of it (standard deviation 0.9 on the log scale). Each start ran for up to 3,000 iterations and was then restarted from its own solution, up to 5 times, while the objective still fell by more than 0.001. All starts reached the same mode (negative log posterior -7.83, prevalence root mean square error 0.0130). Every model evaluation ran from model year 0 to 150. The last ten years had to be at equilibrium.</w:t>
      </w:r>
    </w:p>
    <w:p>
      <w:pPr>
        <w:pStyle w:val="BodyText"/>
      </w:pPr>
      <w:r>
        <w:t xml:space="preserve">With the standardised mortality ratios at the bounds of their 95% confidence intervals, the fit and</w:t>
      </w:r>
      <w:r>
        <w:t xml:space="preserve"> </w:t>
      </w:r>
      <m:oMath>
        <m:r>
          <m:t>c</m:t>
        </m:r>
      </m:oMath>
      <w:r>
        <w:t xml:space="preserve"> </w:t>
      </w:r>
      <w:r>
        <w:t xml:space="preserve">barely changed:</w:t>
      </w:r>
      <w:r>
        <w:t xml:space="preserve"> </w:t>
      </w:r>
      <m:oMath>
        <m:r>
          <m:t>c</m:t>
        </m:r>
      </m:oMath>
      <w:r>
        <w:t xml:space="preserve"> </w:t>
      </w:r>
      <w:r>
        <w:t xml:space="preserve">was 1.100 at the lower bounds and 1.097 at the upper bounds, with root mean square errors of 0.0119 and 0.0148 (3 starts each).</w:t>
      </w:r>
    </w:p>
    <w:bookmarkEnd w:id="17"/>
    <w:bookmarkStart w:id="18" w:name="posterior-sampling"/>
    <w:p>
      <w:pPr>
        <w:pStyle w:val="Heading2"/>
      </w:pPr>
      <w:r>
        <w:t xml:space="preserve">2.4 Posterior sampling</w:t>
      </w:r>
    </w:p>
    <w:p>
      <w:pPr>
        <w:pStyle w:val="FirstParagraph"/>
      </w:pPr>
      <w:r>
        <w:t xml:space="preserve">The posterior combined the prior and the beta likelihood for the six seroprevalences.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0.18 to 0.22.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1.0012</w:t>
            </w:r>
          </w:p>
        </w:tc>
        <w:tc>
          <w:tcPr/>
          <w:p>
            <w:pPr>
              <w:pStyle w:val="Compact"/>
            </w:pPr>
            <w:r>
              <w:t xml:space="preserve">4,645</w:t>
            </w:r>
          </w:p>
        </w:tc>
        <w:tc>
          <w:tcPr/>
          <w:p>
            <w:pPr>
              <w:pStyle w:val="Compact"/>
            </w:pPr>
            <w:r>
              <w:t xml:space="preserve">5,825</w:t>
            </w:r>
          </w:p>
        </w:tc>
        <w:tc>
          <w:tcPr/>
          <w:p>
            <w:pPr>
              <w:pStyle w:val="Compact"/>
            </w:pPr>
            <w:r>
              <w:t xml:space="preserve">0.015</w:t>
            </w:r>
          </w:p>
        </w:tc>
      </w:tr>
      <w:tr>
        <w:tc>
          <w:tcPr/>
          <w:p>
            <w:pPr>
              <w:pStyle w:val="Compact"/>
            </w:pPr>
            <w:r>
              <w:t xml:space="preserve">θ2</w:t>
            </w:r>
          </w:p>
        </w:tc>
        <w:tc>
          <w:tcPr/>
          <w:p>
            <w:pPr>
              <w:pStyle w:val="Compact"/>
            </w:pPr>
            <w:r>
              <w:t xml:space="preserve">1.0017</w:t>
            </w:r>
          </w:p>
        </w:tc>
        <w:tc>
          <w:tcPr/>
          <w:p>
            <w:pPr>
              <w:pStyle w:val="Compact"/>
            </w:pPr>
            <w:r>
              <w:t xml:space="preserve">3,483</w:t>
            </w:r>
          </w:p>
        </w:tc>
        <w:tc>
          <w:tcPr/>
          <w:p>
            <w:pPr>
              <w:pStyle w:val="Compact"/>
            </w:pPr>
            <w:r>
              <w:t xml:space="preserve">3,831</w:t>
            </w:r>
          </w:p>
        </w:tc>
        <w:tc>
          <w:tcPr/>
          <w:p>
            <w:pPr>
              <w:pStyle w:val="Compact"/>
            </w:pPr>
            <w:r>
              <w:t xml:space="preserve">0.017</w:t>
            </w:r>
          </w:p>
        </w:tc>
      </w:tr>
      <w:tr>
        <w:tc>
          <w:tcPr/>
          <w:p>
            <w:pPr>
              <w:pStyle w:val="Compact"/>
            </w:pPr>
            <w:r>
              <w:t xml:space="preserve">θ3</w:t>
            </w:r>
          </w:p>
        </w:tc>
        <w:tc>
          <w:tcPr/>
          <w:p>
            <w:pPr>
              <w:pStyle w:val="Compact"/>
            </w:pPr>
            <w:r>
              <w:t xml:space="preserve">1.0013</w:t>
            </w:r>
          </w:p>
        </w:tc>
        <w:tc>
          <w:tcPr/>
          <w:p>
            <w:pPr>
              <w:pStyle w:val="Compact"/>
            </w:pPr>
            <w:r>
              <w:t xml:space="preserve">3,428</w:t>
            </w:r>
          </w:p>
        </w:tc>
        <w:tc>
          <w:tcPr/>
          <w:p>
            <w:pPr>
              <w:pStyle w:val="Compact"/>
            </w:pPr>
            <w:r>
              <w:t xml:space="preserve">4,190</w:t>
            </w:r>
          </w:p>
        </w:tc>
        <w:tc>
          <w:tcPr/>
          <w:p>
            <w:pPr>
              <w:pStyle w:val="Compact"/>
            </w:pPr>
            <w:r>
              <w:t xml:space="preserve">0.017</w:t>
            </w:r>
          </w:p>
        </w:tc>
      </w:tr>
      <w:tr>
        <w:tc>
          <w:tcPr/>
          <w:p>
            <w:pPr>
              <w:pStyle w:val="Compact"/>
            </w:pPr>
            <w:r>
              <w:t xml:space="preserve">θ4</w:t>
            </w:r>
          </w:p>
        </w:tc>
        <w:tc>
          <w:tcPr/>
          <w:p>
            <w:pPr>
              <w:pStyle w:val="Compact"/>
            </w:pPr>
            <w:r>
              <w:t xml:space="preserve">1.0012</w:t>
            </w:r>
          </w:p>
        </w:tc>
        <w:tc>
          <w:tcPr/>
          <w:p>
            <w:pPr>
              <w:pStyle w:val="Compact"/>
            </w:pPr>
            <w:r>
              <w:t xml:space="preserve">3,250</w:t>
            </w:r>
          </w:p>
        </w:tc>
        <w:tc>
          <w:tcPr/>
          <w:p>
            <w:pPr>
              <w:pStyle w:val="Compact"/>
            </w:pPr>
            <w:r>
              <w:t xml:space="preserve">3,487</w:t>
            </w:r>
          </w:p>
        </w:tc>
        <w:tc>
          <w:tcPr/>
          <w:p>
            <w:pPr>
              <w:pStyle w:val="Compact"/>
            </w:pPr>
            <w:r>
              <w:t xml:space="preserve">0.019</w:t>
            </w:r>
          </w:p>
        </w:tc>
      </w:tr>
      <w:tr>
        <w:tc>
          <w:tcPr/>
          <w:p>
            <w:pPr>
              <w:pStyle w:val="Compact"/>
            </w:pPr>
            <w:r>
              <w:t xml:space="preserve">θ5</w:t>
            </w:r>
          </w:p>
        </w:tc>
        <w:tc>
          <w:tcPr/>
          <w:p>
            <w:pPr>
              <w:pStyle w:val="Compact"/>
            </w:pPr>
            <w:r>
              <w:t xml:space="preserve">1.0019</w:t>
            </w:r>
          </w:p>
        </w:tc>
        <w:tc>
          <w:tcPr/>
          <w:p>
            <w:pPr>
              <w:pStyle w:val="Compact"/>
            </w:pPr>
            <w:r>
              <w:t xml:space="preserve">3,815</w:t>
            </w:r>
          </w:p>
        </w:tc>
        <w:tc>
          <w:tcPr/>
          <w:p>
            <w:pPr>
              <w:pStyle w:val="Compact"/>
            </w:pPr>
            <w:r>
              <w:t xml:space="preserve">5,520</w:t>
            </w:r>
          </w:p>
        </w:tc>
        <w:tc>
          <w:tcPr/>
          <w:p>
            <w:pPr>
              <w:pStyle w:val="Compact"/>
            </w:pPr>
            <w:r>
              <w:t xml:space="preserve">0.016</w:t>
            </w:r>
          </w:p>
        </w:tc>
      </w:tr>
      <w:tr>
        <w:tc>
          <w:tcPr/>
          <w:p>
            <w:pPr>
              <w:pStyle w:val="Compact"/>
            </w:pPr>
            <w:r>
              <w:t xml:space="preserve">θ6</w:t>
            </w:r>
          </w:p>
        </w:tc>
        <w:tc>
          <w:tcPr/>
          <w:p>
            <w:pPr>
              <w:pStyle w:val="Compact"/>
            </w:pPr>
            <w:r>
              <w:t xml:space="preserve">1.0015</w:t>
            </w:r>
          </w:p>
        </w:tc>
        <w:tc>
          <w:tcPr/>
          <w:p>
            <w:pPr>
              <w:pStyle w:val="Compact"/>
            </w:pPr>
            <w:r>
              <w:t xml:space="preserve">4,618</w:t>
            </w:r>
          </w:p>
        </w:tc>
        <w:tc>
          <w:tcPr/>
          <w:p>
            <w:pPr>
              <w:pStyle w:val="Compact"/>
            </w:pPr>
            <w:r>
              <w:t xml:space="preserve">6,990</w:t>
            </w:r>
          </w:p>
        </w:tc>
        <w:tc>
          <w:tcPr/>
          <w:p>
            <w:pPr>
              <w:pStyle w:val="Compact"/>
            </w:pPr>
            <w:r>
              <w:t xml:space="preserve">0.015</w:t>
            </w:r>
          </w:p>
        </w:tc>
      </w:tr>
      <w:tr>
        <w:tc>
          <w:tcPr/>
          <w:p>
            <w:pPr>
              <w:pStyle w:val="Compact"/>
            </w:pPr>
            <w:r>
              <w:t xml:space="preserve">θ7</w:t>
            </w:r>
          </w:p>
        </w:tc>
        <w:tc>
          <w:tcPr/>
          <w:p>
            <w:pPr>
              <w:pStyle w:val="Compact"/>
            </w:pPr>
            <w:r>
              <w:t xml:space="preserve">1.0007</w:t>
            </w:r>
          </w:p>
        </w:tc>
        <w:tc>
          <w:tcPr/>
          <w:p>
            <w:pPr>
              <w:pStyle w:val="Compact"/>
            </w:pPr>
            <w:r>
              <w:t xml:space="preserve">4,102</w:t>
            </w:r>
          </w:p>
        </w:tc>
        <w:tc>
          <w:tcPr/>
          <w:p>
            <w:pPr>
              <w:pStyle w:val="Compact"/>
            </w:pPr>
            <w:r>
              <w:t xml:space="preserve">5,841</w:t>
            </w:r>
          </w:p>
        </w:tc>
        <w:tc>
          <w:tcPr/>
          <w:p>
            <w:pPr>
              <w:pStyle w:val="Compact"/>
            </w:pPr>
            <w:r>
              <w:t xml:space="preserve">0.016</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truncated prior by Latin hypercube sampling. Of these, 49,945 simulations were valid. Exclusions were 0 draws outside the bounds, 43 equilibrium failures and 12 non-finite simulations; excluded draws are dropped, not replaced. Beta observation noise with the same precision was added to each simulated seroprevalence.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Posterior draws outside the bounds were rejected.</w:t>
      </w:r>
    </w:p>
    <w:p>
      <w:pPr>
        <w:pStyle w:val="BodyText"/>
      </w:pPr>
      <w:r>
        <w:t xml:space="preserve">Simulation based calibration</w:t>
      </w:r>
      <w:r>
        <w:t xml:space="preserve"> </w:t>
      </w:r>
      <w:r>
        <w:t xml:space="preserve">[23]</w:t>
      </w:r>
      <w:r>
        <w:t xml:space="preserve"> </w:t>
      </w:r>
      <w:r>
        <w:t xml:space="preserve">on 998 datasets simulated from independent prior draws showed a well calibrated neural posterior on average: for each parameter, 95% interval coverage was 0.933 to 0.960 and 90% coverage 0.872 to 0.911. No rank histogram showed systematic skew. As a smaller direct check, we reran the MCMC on 8 of these simulated datasets, with one chain of 30,000 evaluations each. Pooled 95% coverage was 0.96 and 90% coverage 0.89 over 56 ranks; this guards only against gross miscalibration.</w:t>
      </w:r>
    </w:p>
    <w:p>
      <w:pPr>
        <w:pStyle w:val="BodyText"/>
      </w:pPr>
      <w:r>
        <w:t xml:space="preserve">At the observed data, however, the neural posterior did not match the MCMC posterior (Table S4). Of 4,000 random neural posterior draws, 1,329 (33%) failed the equilibrium check, which the MCMC treats as impossible; they were dropped before the comparison. Its 95% intervals were on average 28% wider than the MCMC intervals, and no parameter passed all three checks. Calibration on average across prior datasets does not guarantee accuracy at one dataset; with six noisy summaries and a wide prior, the network spends its capacity over the whole prior range. The policy medians were less sensitive: they differed from the MCMC results by at most 0.3%, although the share of draws meeting both targets at 5,000 tests a year with 25% to F differed by 11 percentage points. We used the MCMC posterior for all results.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(49,945)</w:t>
            </w:r>
          </w:p>
        </w:tc>
        <w:tc>
          <w:tcPr/>
          <w:p>
            <w:pPr>
              <w:pStyle w:val="Compact"/>
            </w:pPr>
            <w:r>
              <w:t xml:space="preserve">0.56</w:t>
            </w:r>
          </w:p>
        </w:tc>
        <w:tc>
          <w:tcPr/>
          <w:p>
            <w:pPr>
              <w:pStyle w:val="Compact"/>
            </w:pPr>
            <w:r>
              <w:t xml:space="preserve">2.12</w:t>
            </w:r>
          </w:p>
        </w:tc>
        <w:tc>
          <w:tcPr/>
          <w:p>
            <w:pPr>
              <w:pStyle w:val="Compact"/>
            </w:pPr>
            <w:r>
              <w:t xml:space="preserve">1.278 (1.00 to 1.89)</w:t>
            </w:r>
          </w:p>
        </w:tc>
        <w:tc>
          <w:tcPr/>
          <w:p>
            <w:pPr>
              <w:pStyle w:val="Compact"/>
            </w:pPr>
            <w:r>
              <w:t xml:space="preserve">0%</w:t>
            </w:r>
          </w:p>
        </w:tc>
        <w:tc>
          <w:tcPr/>
          <w:p>
            <w:pPr>
              <w:pStyle w:val="Compact"/>
            </w:pPr>
            <w:r>
              <w:t xml:space="preserve">5.8%</w:t>
            </w:r>
          </w:p>
        </w:tc>
        <w:tc>
          <w:tcPr/>
          <w:p>
            <w:pPr>
              <w:pStyle w:val="Compact"/>
            </w:pPr>
            <w:r>
              <w:t xml:space="preserve">10.9</w:t>
            </w:r>
          </w:p>
        </w:tc>
      </w:tr>
    </w:tbl>
    <w:p>
      <w:pPr>
        <w:pStyle w:val="BodyText"/>
      </w:pPr>
      <w:r>
        <w:t xml:space="preserve">Checks: absolute mean difference at most 0.1 SD, 95% interval endpoints within 0.2 SD and width ratio between 0.9 and 1.1. Policy errors compare 1,000 valid neural posterior states (of 1,000) with the 2,000 MCMC states used for the scenarios; the worst policy error is for discounted cost.</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and θ7 the posterior standard deviation was more than 0.7 times the prior standard deviation, so these parameters remain mostly informed by the prior. This includes</w:t>
      </w:r>
      <w:r>
        <w:t xml:space="preserve"> </w:t>
      </w:r>
      <m:oMath>
        <m:r>
          <m:t>c</m:t>
        </m:r>
      </m:oMath>
      <w:r>
        <w:t xml:space="preserve"> </w:t>
      </w:r>
      <w:r>
        <w:t xml:space="preserve">(θ7).</w:t>
      </w:r>
    </w:p>
    <w:p>
      <w:pPr>
        <w:pStyle w:val="BodyText"/>
      </w:pPr>
      <w:r>
        <w:rPr>
          <w:b/>
          <w:bCs/>
        </w:rPr>
        <w:t xml:space="preserve">Table S5. Nelder Mead posterior mode, prior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Posterior mode</w:t>
            </w:r>
          </w:p>
        </w:tc>
        <w:tc>
          <w:tcPr/>
          <w:p>
            <w:pPr>
              <w:pStyle w:val="Compact"/>
            </w:pPr>
            <w:r>
              <w:t xml:space="preserve">Prior</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1.626</w:t>
            </w:r>
          </w:p>
        </w:tc>
        <w:tc>
          <w:tcPr/>
          <w:p>
            <w:pPr>
              <w:pStyle w:val="Compact"/>
            </w:pPr>
            <w:r>
              <w:t xml:space="preserve">N(0, 1.5)</w:t>
            </w:r>
          </w:p>
        </w:tc>
        <w:tc>
          <w:tcPr/>
          <w:p>
            <w:pPr>
              <w:pStyle w:val="Compact"/>
            </w:pPr>
            <w:r>
              <w:t xml:space="preserve">1.593 (0.942 to 2.058)</w:t>
            </w:r>
          </w:p>
        </w:tc>
        <w:tc>
          <w:tcPr/>
          <w:p>
            <w:pPr>
              <w:pStyle w:val="Compact"/>
            </w:pPr>
            <w:r>
              <w:t xml:space="preserve">0.283</w:t>
            </w:r>
          </w:p>
        </w:tc>
        <w:tc>
          <w:tcPr/>
          <w:p>
            <w:pPr>
              <w:pStyle w:val="Compact"/>
            </w:pPr>
            <w:r>
              <w:t xml:space="preserve">0.19</w:t>
            </w:r>
          </w:p>
        </w:tc>
      </w:tr>
      <w:tr>
        <w:tc>
          <w:tcPr/>
          <w:p>
            <w:pPr>
              <w:pStyle w:val="Compact"/>
            </w:pPr>
            <w:r>
              <w:t xml:space="preserve">θ2</w:t>
            </w:r>
          </w:p>
        </w:tc>
        <w:tc>
          <w:tcPr/>
          <w:p>
            <w:pPr>
              <w:pStyle w:val="Compact"/>
            </w:pPr>
            <w:r>
              <w:t xml:space="preserve">Contact scale, age 20–29</w:t>
            </w:r>
          </w:p>
        </w:tc>
        <w:tc>
          <w:tcPr/>
          <w:p>
            <w:pPr>
              <w:pStyle w:val="Compact"/>
            </w:pPr>
            <w:r>
              <w:t xml:space="preserve">-2.918</w:t>
            </w:r>
          </w:p>
        </w:tc>
        <w:tc>
          <w:tcPr/>
          <w:p>
            <w:pPr>
              <w:pStyle w:val="Compact"/>
            </w:pPr>
            <w:r>
              <w:t xml:space="preserve">N(0, 1.5)</w:t>
            </w:r>
          </w:p>
        </w:tc>
        <w:tc>
          <w:tcPr/>
          <w:p>
            <w:pPr>
              <w:pStyle w:val="Compact"/>
            </w:pPr>
            <w:r>
              <w:t xml:space="preserve">-2.910 (-3.487 to -2.454)</w:t>
            </w:r>
          </w:p>
        </w:tc>
        <w:tc>
          <w:tcPr/>
          <w:p>
            <w:pPr>
              <w:pStyle w:val="Compact"/>
            </w:pPr>
            <w:r>
              <w:t xml:space="preserve">0.261</w:t>
            </w:r>
          </w:p>
        </w:tc>
        <w:tc>
          <w:tcPr/>
          <w:p>
            <w:pPr>
              <w:pStyle w:val="Compact"/>
            </w:pPr>
            <w:r>
              <w:t xml:space="preserve">0.17</w:t>
            </w:r>
          </w:p>
        </w:tc>
      </w:tr>
      <w:tr>
        <w:tc>
          <w:tcPr/>
          <w:p>
            <w:pPr>
              <w:pStyle w:val="Compact"/>
            </w:pPr>
            <w:r>
              <w:t xml:space="preserve">θ3</w:t>
            </w:r>
          </w:p>
        </w:tc>
        <w:tc>
          <w:tcPr/>
          <w:p>
            <w:pPr>
              <w:pStyle w:val="Compact"/>
            </w:pPr>
            <w:r>
              <w:t xml:space="preserve">Contact scale, age 30–39</w:t>
            </w:r>
          </w:p>
        </w:tc>
        <w:tc>
          <w:tcPr/>
          <w:p>
            <w:pPr>
              <w:pStyle w:val="Compact"/>
            </w:pPr>
            <w:r>
              <w:t xml:space="preserve">-3.293</w:t>
            </w:r>
          </w:p>
        </w:tc>
        <w:tc>
          <w:tcPr/>
          <w:p>
            <w:pPr>
              <w:pStyle w:val="Compact"/>
            </w:pPr>
            <w:r>
              <w:t xml:space="preserve">N(0, 1.5)</w:t>
            </w:r>
          </w:p>
        </w:tc>
        <w:tc>
          <w:tcPr/>
          <w:p>
            <w:pPr>
              <w:pStyle w:val="Compact"/>
            </w:pPr>
            <w:r>
              <w:t xml:space="preserve">-3.288 (-3.999 to -2.799)</w:t>
            </w:r>
          </w:p>
        </w:tc>
        <w:tc>
          <w:tcPr/>
          <w:p>
            <w:pPr>
              <w:pStyle w:val="Compact"/>
            </w:pPr>
            <w:r>
              <w:t xml:space="preserve">0.307</w:t>
            </w:r>
          </w:p>
        </w:tc>
        <w:tc>
          <w:tcPr/>
          <w:p>
            <w:pPr>
              <w:pStyle w:val="Compact"/>
            </w:pPr>
            <w:r>
              <w:t xml:space="preserve">0.20</w:t>
            </w:r>
          </w:p>
        </w:tc>
      </w:tr>
      <w:tr>
        <w:tc>
          <w:tcPr/>
          <w:p>
            <w:pPr>
              <w:pStyle w:val="Compact"/>
            </w:pPr>
            <w:r>
              <w:t xml:space="preserve">θ4</w:t>
            </w:r>
          </w:p>
        </w:tc>
        <w:tc>
          <w:tcPr/>
          <w:p>
            <w:pPr>
              <w:pStyle w:val="Compact"/>
            </w:pPr>
            <w:r>
              <w:t xml:space="preserve">Contact scale, age 40–49</w:t>
            </w:r>
          </w:p>
        </w:tc>
        <w:tc>
          <w:tcPr/>
          <w:p>
            <w:pPr>
              <w:pStyle w:val="Compact"/>
            </w:pPr>
            <w:r>
              <w:t xml:space="preserve">-0.962</w:t>
            </w:r>
          </w:p>
        </w:tc>
        <w:tc>
          <w:tcPr/>
          <w:p>
            <w:pPr>
              <w:pStyle w:val="Compact"/>
            </w:pPr>
            <w:r>
              <w:t xml:space="preserve">N(0, 1.5)</w:t>
            </w:r>
          </w:p>
        </w:tc>
        <w:tc>
          <w:tcPr/>
          <w:p>
            <w:pPr>
              <w:pStyle w:val="Compact"/>
            </w:pPr>
            <w:r>
              <w:t xml:space="preserve">-0.930 (-1.728 to -0.376)</w:t>
            </w:r>
          </w:p>
        </w:tc>
        <w:tc>
          <w:tcPr/>
          <w:p>
            <w:pPr>
              <w:pStyle w:val="Compact"/>
            </w:pPr>
            <w:r>
              <w:t xml:space="preserve">0.343</w:t>
            </w:r>
          </w:p>
        </w:tc>
        <w:tc>
          <w:tcPr/>
          <w:p>
            <w:pPr>
              <w:pStyle w:val="Compact"/>
            </w:pPr>
            <w:r>
              <w:t xml:space="preserve">0.23</w:t>
            </w:r>
          </w:p>
        </w:tc>
      </w:tr>
      <w:tr>
        <w:tc>
          <w:tcPr/>
          <w:p>
            <w:pPr>
              <w:pStyle w:val="Compact"/>
            </w:pPr>
            <w:r>
              <w:t xml:space="preserve">θ5</w:t>
            </w:r>
          </w:p>
        </w:tc>
        <w:tc>
          <w:tcPr/>
          <w:p>
            <w:pPr>
              <w:pStyle w:val="Compact"/>
            </w:pPr>
            <w:r>
              <w:t xml:space="preserve">Contact scale, age 50–59</w:t>
            </w:r>
          </w:p>
        </w:tc>
        <w:tc>
          <w:tcPr/>
          <w:p>
            <w:pPr>
              <w:pStyle w:val="Compact"/>
            </w:pPr>
            <w:r>
              <w:t xml:space="preserve">0.288</w:t>
            </w:r>
          </w:p>
        </w:tc>
        <w:tc>
          <w:tcPr/>
          <w:p>
            <w:pPr>
              <w:pStyle w:val="Compact"/>
            </w:pPr>
            <w:r>
              <w:t xml:space="preserve">N(0, 1.5)</w:t>
            </w:r>
          </w:p>
        </w:tc>
        <w:tc>
          <w:tcPr/>
          <w:p>
            <w:pPr>
              <w:pStyle w:val="Compact"/>
            </w:pPr>
            <w:r>
              <w:t xml:space="preserve">-0.134 (-2.843 to 1.574)</w:t>
            </w:r>
          </w:p>
        </w:tc>
        <w:tc>
          <w:tcPr/>
          <w:p>
            <w:pPr>
              <w:pStyle w:val="Compact"/>
            </w:pPr>
            <w:r>
              <w:t xml:space="preserve">1.148</w:t>
            </w:r>
          </w:p>
        </w:tc>
        <w:tc>
          <w:tcPr/>
          <w:p>
            <w:pPr>
              <w:pStyle w:val="Compact"/>
            </w:pPr>
            <w:r>
              <w:t xml:space="preserve">0.77</w:t>
            </w:r>
          </w:p>
        </w:tc>
      </w:tr>
      <w:tr>
        <w:tc>
          <w:tcPr/>
          <w:p>
            <w:pPr>
              <w:pStyle w:val="Compact"/>
            </w:pPr>
            <w:r>
              <w:t xml:space="preserve">θ6</w:t>
            </w:r>
          </w:p>
        </w:tc>
        <w:tc>
          <w:tcPr/>
          <w:p>
            <w:pPr>
              <w:pStyle w:val="Compact"/>
            </w:pPr>
            <w:r>
              <w:t xml:space="preserve">Contact scale, age 60+</w:t>
            </w:r>
          </w:p>
        </w:tc>
        <w:tc>
          <w:tcPr/>
          <w:p>
            <w:pPr>
              <w:pStyle w:val="Compact"/>
            </w:pPr>
            <w:r>
              <w:t xml:space="preserve">-0.319</w:t>
            </w:r>
          </w:p>
        </w:tc>
        <w:tc>
          <w:tcPr/>
          <w:p>
            <w:pPr>
              <w:pStyle w:val="Compact"/>
            </w:pPr>
            <w:r>
              <w:t xml:space="preserve">N(0, 1.5)</w:t>
            </w:r>
          </w:p>
        </w:tc>
        <w:tc>
          <w:tcPr/>
          <w:p>
            <w:pPr>
              <w:pStyle w:val="Compact"/>
            </w:pPr>
            <w:r>
              <w:t xml:space="preserve">-0.583 (-3.164 to 1.282)</w:t>
            </w:r>
          </w:p>
        </w:tc>
        <w:tc>
          <w:tcPr/>
          <w:p>
            <w:pPr>
              <w:pStyle w:val="Compact"/>
            </w:pPr>
            <w:r>
              <w:t xml:space="preserve">1.145</w:t>
            </w:r>
          </w:p>
        </w:tc>
        <w:tc>
          <w:tcPr/>
          <w:p>
            <w:pPr>
              <w:pStyle w:val="Compact"/>
            </w:pPr>
            <w:r>
              <w:t xml:space="preserve">0.76</w:t>
            </w:r>
          </w:p>
        </w:tc>
      </w:tr>
      <w:tr>
        <w:tc>
          <w:tcPr/>
          <w:p>
            <w:pPr>
              <w:pStyle w:val="Compact"/>
            </w:pPr>
            <w:r>
              <w:t xml:space="preserve">θ7</w:t>
            </w:r>
          </w:p>
        </w:tc>
        <w:tc>
          <w:tcPr/>
          <w:p>
            <w:pPr>
              <w:pStyle w:val="Compact"/>
            </w:pPr>
            <w:r>
              <w:t xml:space="preserve">First arrest multiplier</w:t>
            </w:r>
            <w:r>
              <w:t xml:space="preserve"> </w:t>
            </w:r>
            <m:oMath>
              <m:r>
                <m:t>c</m:t>
              </m:r>
            </m:oMath>
          </w:p>
        </w:tc>
        <w:tc>
          <w:tcPr/>
          <w:p>
            <w:pPr>
              <w:pStyle w:val="Compact"/>
            </w:pPr>
            <w:r>
              <w:t xml:space="preserve">0.094</w:t>
            </w:r>
          </w:p>
        </w:tc>
        <w:tc>
          <w:tcPr/>
          <w:p>
            <w:pPr>
              <w:pStyle w:val="Compact"/>
            </w:pPr>
            <w:r>
              <w:t xml:space="preserve">N(0, 0.5)</w:t>
            </w:r>
          </w:p>
        </w:tc>
        <w:tc>
          <w:tcPr/>
          <w:p>
            <w:pPr>
              <w:pStyle w:val="Compact"/>
            </w:pPr>
            <w:r>
              <w:t xml:space="preserve">0.214 (-0.553 to 1.149)</w:t>
            </w:r>
          </w:p>
        </w:tc>
        <w:tc>
          <w:tcPr/>
          <w:p>
            <w:pPr>
              <w:pStyle w:val="Compact"/>
            </w:pPr>
            <w:r>
              <w:t xml:space="preserve">0.438</w:t>
            </w:r>
          </w:p>
        </w:tc>
        <w:tc>
          <w:tcPr/>
          <w:p>
            <w:pPr>
              <w:pStyle w:val="Compact"/>
            </w:pPr>
            <w:r>
              <w:t xml:space="preserve">0.88</w:t>
            </w:r>
          </w:p>
        </w:tc>
      </w:tr>
    </w:tbl>
    <w:p>
      <w:pPr>
        <w:pStyle w:val="BodyText"/>
      </w:pPr>
      <w:r>
        <w:t xml:space="preserve">Table S6 compares the targets with the posterior mode and the 95% posterior interval of the model seroprevalence. All 6 posterior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 group</w:t>
            </w:r>
          </w:p>
        </w:tc>
        <w:tc>
          <w:tcPr/>
          <w:p>
            <w:pPr>
              <w:pStyle w:val="Compact"/>
            </w:pPr>
            <w:r>
              <w:t xml:space="preserve">Seroprevalence target (95% range of the beta likelihood)</w:t>
            </w:r>
          </w:p>
        </w:tc>
        <w:tc>
          <w:tcPr/>
          <w:p>
            <w:pPr>
              <w:pStyle w:val="Compact"/>
            </w:pPr>
            <w:r>
              <w:t xml:space="preserve">Posterior mode</w:t>
            </w:r>
          </w:p>
        </w:tc>
        <w:tc>
          <w:tcPr/>
          <w:p>
            <w:pPr>
              <w:pStyle w:val="Compact"/>
            </w:pPr>
            <w:r>
              <w:t xml:space="preserve">Posterior 95% interval</w:t>
            </w:r>
          </w:p>
        </w:tc>
      </w:tr>
      <w:tr>
        <w:tc>
          <w:tcPr/>
          <w:p>
            <w:pPr>
              <w:pStyle w:val="Compact"/>
            </w:pPr>
            <w:r>
              <w:t xml:space="preserve">&lt;20</w:t>
            </w:r>
          </w:p>
        </w:tc>
        <w:tc>
          <w:tcPr/>
          <w:p>
            <w:pPr>
              <w:pStyle w:val="Compact"/>
            </w:pPr>
            <w:r>
              <w:t xml:space="preserve">12.7% (7.0% to 19.9%)</w:t>
            </w:r>
          </w:p>
        </w:tc>
        <w:tc>
          <w:tcPr/>
          <w:p>
            <w:pPr>
              <w:pStyle w:val="Compact"/>
            </w:pPr>
            <w:r>
              <w:t xml:space="preserve">12.4%</w:t>
            </w:r>
          </w:p>
        </w:tc>
        <w:tc>
          <w:tcPr/>
          <w:p>
            <w:pPr>
              <w:pStyle w:val="Compact"/>
            </w:pPr>
            <w:r>
              <w:t xml:space="preserve">6.0% to 18.7%</w:t>
            </w:r>
          </w:p>
        </w:tc>
      </w:tr>
      <w:tr>
        <w:tc>
          <w:tcPr/>
          <w:p>
            <w:pPr>
              <w:pStyle w:val="Compact"/>
            </w:pPr>
            <w:r>
              <w:t xml:space="preserve">20-29</w:t>
            </w:r>
          </w:p>
        </w:tc>
        <w:tc>
          <w:tcPr/>
          <w:p>
            <w:pPr>
              <w:pStyle w:val="Compact"/>
            </w:pPr>
            <w:r>
              <w:t xml:space="preserve">19.2% (12.1% to 27.4%)</w:t>
            </w:r>
          </w:p>
        </w:tc>
        <w:tc>
          <w:tcPr/>
          <w:p>
            <w:pPr>
              <w:pStyle w:val="Compact"/>
            </w:pPr>
            <w:r>
              <w:t xml:space="preserve">20.0%</w:t>
            </w:r>
          </w:p>
        </w:tc>
        <w:tc>
          <w:tcPr/>
          <w:p>
            <w:pPr>
              <w:pStyle w:val="Compact"/>
            </w:pPr>
            <w:r>
              <w:t xml:space="preserve">13.1% to 27.8%</w:t>
            </w:r>
          </w:p>
        </w:tc>
      </w:tr>
      <w:tr>
        <w:tc>
          <w:tcPr/>
          <w:p>
            <w:pPr>
              <w:pStyle w:val="Compact"/>
            </w:pPr>
            <w:r>
              <w:t xml:space="preserve">30-39</w:t>
            </w:r>
          </w:p>
        </w:tc>
        <w:tc>
          <w:tcPr/>
          <w:p>
            <w:pPr>
              <w:pStyle w:val="Compact"/>
            </w:pPr>
            <w:r>
              <w:t xml:space="preserve">30.0% (21.5% to 39.3%)</w:t>
            </w:r>
          </w:p>
        </w:tc>
        <w:tc>
          <w:tcPr/>
          <w:p>
            <w:pPr>
              <w:pStyle w:val="Compact"/>
            </w:pPr>
            <w:r>
              <w:t xml:space="preserve">30.9%</w:t>
            </w:r>
          </w:p>
        </w:tc>
        <w:tc>
          <w:tcPr/>
          <w:p>
            <w:pPr>
              <w:pStyle w:val="Compact"/>
            </w:pPr>
            <w:r>
              <w:t xml:space="preserve">22.5% to 40.0%</w:t>
            </w:r>
          </w:p>
        </w:tc>
      </w:tr>
      <w:tr>
        <w:tc>
          <w:tcPr/>
          <w:p>
            <w:pPr>
              <w:pStyle w:val="Compact"/>
            </w:pPr>
            <w:r>
              <w:t xml:space="preserve">40-49</w:t>
            </w:r>
          </w:p>
        </w:tc>
        <w:tc>
          <w:tcPr/>
          <w:p>
            <w:pPr>
              <w:pStyle w:val="Compact"/>
            </w:pPr>
            <w:r>
              <w:t xml:space="preserve">48.3% (38.6% to 58.0%)</w:t>
            </w:r>
          </w:p>
        </w:tc>
        <w:tc>
          <w:tcPr/>
          <w:p>
            <w:pPr>
              <w:pStyle w:val="Compact"/>
            </w:pPr>
            <w:r>
              <w:t xml:space="preserve">49.5%</w:t>
            </w:r>
          </w:p>
        </w:tc>
        <w:tc>
          <w:tcPr/>
          <w:p>
            <w:pPr>
              <w:pStyle w:val="Compact"/>
            </w:pPr>
            <w:r>
              <w:t xml:space="preserve">41.7% to 56.6%</w:t>
            </w:r>
          </w:p>
        </w:tc>
      </w:tr>
      <w:tr>
        <w:tc>
          <w:tcPr/>
          <w:p>
            <w:pPr>
              <w:pStyle w:val="Compact"/>
            </w:pPr>
            <w:r>
              <w:t xml:space="preserve">50-59</w:t>
            </w:r>
          </w:p>
        </w:tc>
        <w:tc>
          <w:tcPr/>
          <w:p>
            <w:pPr>
              <w:pStyle w:val="Compact"/>
            </w:pPr>
            <w:r>
              <w:t xml:space="preserve">53.1% (43.4% to 62.8%)</w:t>
            </w:r>
          </w:p>
        </w:tc>
        <w:tc>
          <w:tcPr/>
          <w:p>
            <w:pPr>
              <w:pStyle w:val="Compact"/>
            </w:pPr>
            <w:r>
              <w:t xml:space="preserve">50.9%</w:t>
            </w:r>
          </w:p>
        </w:tc>
        <w:tc>
          <w:tcPr/>
          <w:p>
            <w:pPr>
              <w:pStyle w:val="Compact"/>
            </w:pPr>
            <w:r>
              <w:t xml:space="preserve">44.3% to 57.4%</w:t>
            </w:r>
          </w:p>
        </w:tc>
      </w:tr>
      <w:tr>
        <w:tc>
          <w:tcPr/>
          <w:p>
            <w:pPr>
              <w:pStyle w:val="Compact"/>
            </w:pPr>
            <w:r>
              <w:t xml:space="preserve">60+</w:t>
            </w:r>
          </w:p>
        </w:tc>
        <w:tc>
          <w:tcPr/>
          <w:p>
            <w:pPr>
              <w:pStyle w:val="Compact"/>
            </w:pPr>
            <w:r>
              <w:t xml:space="preserve">42.9% (33.4% to 52.6%)</w:t>
            </w:r>
          </w:p>
        </w:tc>
        <w:tc>
          <w:tcPr/>
          <w:p>
            <w:pPr>
              <w:pStyle w:val="Compact"/>
            </w:pPr>
            <w:r>
              <w:t xml:space="preserve">44.2%</w:t>
            </w:r>
          </w:p>
        </w:tc>
        <w:tc>
          <w:tcPr/>
          <w:p>
            <w:pPr>
              <w:pStyle w:val="Compact"/>
            </w:pPr>
            <w:r>
              <w:t xml:space="preserve">37.9% to 51.9%</w:t>
            </w:r>
          </w:p>
        </w:tc>
      </w:tr>
    </w:tbl>
    <w:p>
      <w:pPr>
        <w:pStyle w:val="CaptionedFigure"/>
      </w:pPr>
      <w:r>
        <w:drawing>
          <wp:inline>
            <wp:extent cx="4267200" cy="3071070"/>
            <wp:effectExtent b="0" l="0" r="0" t="0"/>
            <wp:docPr descr="Fig S1. Calibration of age specific seroprevalence in prison, 2015. Target values with the 95% range of the beta likelihood are compared with 95% posterior intervals of the model seroprevalence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4267200" cy="3071070"/>
                    </a:xfrm>
                    <a:prstGeom prst="rect">
                      <a:avLst/>
                    </a:prstGeom>
                    <a:noFill/>
                    <a:ln w="9525">
                      <a:noFill/>
                      <a:headEnd/>
                      <a:tailEnd/>
                    </a:ln>
                  </pic:spPr>
                </pic:pic>
              </a:graphicData>
            </a:graphic>
          </wp:inline>
        </w:drawing>
      </w:r>
    </w:p>
    <w:p>
      <w:pPr>
        <w:pStyle w:val="ImageCaption"/>
      </w:pPr>
      <w:r>
        <w:t xml:space="preserve">Fig S1. Calibration of age specific seroprevalence in prison, 2015. Target values with the 95% range of the beta likelihood are compared with 95% posterior intervals of the model seroprevalence from the MCMC posterior and, for contrast, single round neural posterior estimation.</w:t>
      </w:r>
    </w:p>
    <w:p>
      <w:pPr>
        <w:pStyle w:val="BodyText"/>
      </w:pPr>
      <w:r>
        <w:t xml:space="preserve">In 2015 the model estimated 2,178 (95% interval: 839–4,651) people in D, 8,451 (8,283–8,520) in J, 5,857 (5,664–5,947) in F and 33,713 (31,476–35,073) in X. The total was 50,218 (49,496–50,893) people with a history of injecting drugs. Of these, 9,300 (8,084–10,601) were viraemic. These sizes were not fitted; the modelled prison population is much larger than the 3,367 people with a known screening result in prison records.</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plus</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w:t>
      </w:r>
      <w:r>
        <w:t xml:space="preserve">times the number of viraemic people (states a, c and t) in every group, stage and age.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the same rule applied to people entering prison: every entrant not on treatment had one antibody test and every expected antibody positive entrant one RNA test. Each treatment start in J had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84.5% (95% UI: 68.7%–90.5%)</w:t>
            </w:r>
          </w:p>
        </w:tc>
        <w:tc>
          <w:tcPr/>
          <w:p>
            <w:pPr>
              <w:pStyle w:val="Compact"/>
            </w:pPr>
            <w:r>
              <w:t xml:space="preserve">54.9% (95% UI: 52.3%–57.5%)</w:t>
            </w:r>
          </w:p>
        </w:tc>
        <w:tc>
          <w:tcPr/>
          <w:p>
            <w:pPr>
              <w:pStyle w:val="Compact"/>
            </w:pPr>
            <w:r>
              <w:t xml:space="preserve">0%</w:t>
            </w:r>
          </w:p>
        </w:tc>
        <w:tc>
          <w:tcPr/>
          <w:p>
            <w:pPr>
              <w:pStyle w:val="Compact"/>
            </w:pPr>
            <w:r>
              <w:t xml:space="preserve">82.5% (95% UI: 63.6%–89.5%)</w:t>
            </w:r>
          </w:p>
        </w:tc>
        <w:tc>
          <w:tcPr/>
          <w:p>
            <w:pPr>
              <w:pStyle w:val="Compact"/>
            </w:pPr>
            <w:r>
              <w:t xml:space="preserve">46.2% (95% UI: 43.8%–48.8%)</w:t>
            </w:r>
          </w:p>
        </w:tc>
      </w:tr>
      <w:tr>
        <w:tc>
          <w:tcPr/>
          <w:p>
            <w:pPr>
              <w:pStyle w:val="Compact"/>
            </w:pPr>
            <w:r>
              <w:t xml:space="preserve">J + 600/year, F 25%</w:t>
            </w:r>
          </w:p>
        </w:tc>
        <w:tc>
          <w:tcPr/>
          <w:p>
            <w:pPr>
              <w:pStyle w:val="Compact"/>
            </w:pPr>
            <w:r>
              <w:t xml:space="preserve">85.6% (95% UI: 70.1%–91.3%)</w:t>
            </w:r>
          </w:p>
        </w:tc>
        <w:tc>
          <w:tcPr/>
          <w:p>
            <w:pPr>
              <w:pStyle w:val="Compact"/>
            </w:pPr>
            <w:r>
              <w:t xml:space="preserve">56.8% (95% UI: 54.3%–59.4%)</w:t>
            </w:r>
          </w:p>
        </w:tc>
        <w:tc>
          <w:tcPr/>
          <w:p>
            <w:pPr>
              <w:pStyle w:val="Compact"/>
            </w:pPr>
            <w:r>
              <w:t xml:space="preserve">0%</w:t>
            </w:r>
          </w:p>
        </w:tc>
        <w:tc>
          <w:tcPr/>
          <w:p>
            <w:pPr>
              <w:pStyle w:val="Compact"/>
            </w:pPr>
            <w:r>
              <w:t xml:space="preserve">83.8% (95% UI: 65.1%–90.4%)</w:t>
            </w:r>
          </w:p>
        </w:tc>
        <w:tc>
          <w:tcPr/>
          <w:p>
            <w:pPr>
              <w:pStyle w:val="Compact"/>
            </w:pPr>
            <w:r>
              <w:t xml:space="preserve">48.6% (95% UI: 46.3%–51.1%)</w:t>
            </w:r>
          </w:p>
        </w:tc>
      </w:tr>
      <w:tr>
        <w:tc>
          <w:tcPr/>
          <w:p>
            <w:pPr>
              <w:pStyle w:val="Compact"/>
            </w:pPr>
            <w:r>
              <w:t xml:space="preserve">J + 1,000/year, F 25%</w:t>
            </w:r>
          </w:p>
        </w:tc>
        <w:tc>
          <w:tcPr/>
          <w:p>
            <w:pPr>
              <w:pStyle w:val="Compact"/>
            </w:pPr>
            <w:r>
              <w:t xml:space="preserve">86.3% (95% UI: 70.8%–91.8%)</w:t>
            </w:r>
          </w:p>
        </w:tc>
        <w:tc>
          <w:tcPr/>
          <w:p>
            <w:pPr>
              <w:pStyle w:val="Compact"/>
            </w:pPr>
            <w:r>
              <w:t xml:space="preserve">58.1% (95% UI: 55.6%–60.5%)</w:t>
            </w:r>
          </w:p>
        </w:tc>
        <w:tc>
          <w:tcPr/>
          <w:p>
            <w:pPr>
              <w:pStyle w:val="Compact"/>
            </w:pPr>
            <w:r>
              <w:t xml:space="preserve">0%</w:t>
            </w:r>
          </w:p>
        </w:tc>
        <w:tc>
          <w:tcPr/>
          <w:p>
            <w:pPr>
              <w:pStyle w:val="Compact"/>
            </w:pPr>
            <w:r>
              <w:t xml:space="preserve">84.6% (95% UI: 65.9%–91.0%)</w:t>
            </w:r>
          </w:p>
        </w:tc>
        <w:tc>
          <w:tcPr/>
          <w:p>
            <w:pPr>
              <w:pStyle w:val="Compact"/>
            </w:pPr>
            <w:r>
              <w:t xml:space="preserve">50.1% (95% UI: 47.8%–52.5%)</w:t>
            </w:r>
          </w:p>
        </w:tc>
      </w:tr>
      <w:tr>
        <w:tc>
          <w:tcPr/>
          <w:p>
            <w:pPr>
              <w:pStyle w:val="Compact"/>
            </w:pPr>
            <w:r>
              <w:t xml:space="preserve">J + 2,000/year, F 25%</w:t>
            </w:r>
          </w:p>
        </w:tc>
        <w:tc>
          <w:tcPr/>
          <w:p>
            <w:pPr>
              <w:pStyle w:val="Compact"/>
            </w:pPr>
            <w:r>
              <w:t xml:space="preserve">88.0% (95% UI: 72.9%–93.0%)</w:t>
            </w:r>
          </w:p>
        </w:tc>
        <w:tc>
          <w:tcPr/>
          <w:p>
            <w:pPr>
              <w:pStyle w:val="Compact"/>
            </w:pPr>
            <w:r>
              <w:t xml:space="preserve">61.0% (95% UI: 58.6%–63.3%)</w:t>
            </w:r>
          </w:p>
        </w:tc>
        <w:tc>
          <w:tcPr/>
          <w:p>
            <w:pPr>
              <w:pStyle w:val="Compact"/>
            </w:pPr>
            <w:r>
              <w:t xml:space="preserve">0%</w:t>
            </w:r>
          </w:p>
        </w:tc>
        <w:tc>
          <w:tcPr/>
          <w:p>
            <w:pPr>
              <w:pStyle w:val="Compact"/>
            </w:pPr>
            <w:r>
              <w:t xml:space="preserve">86.5% (95% UI: 68.4%–92.3%)</w:t>
            </w:r>
          </w:p>
        </w:tc>
        <w:tc>
          <w:tcPr/>
          <w:p>
            <w:pPr>
              <w:pStyle w:val="Compact"/>
            </w:pPr>
            <w:r>
              <w:t xml:space="preserve">53.7% (95% UI: 51.5%–56.0%)</w:t>
            </w:r>
          </w:p>
        </w:tc>
      </w:tr>
      <w:tr>
        <w:tc>
          <w:tcPr/>
          <w:p>
            <w:pPr>
              <w:pStyle w:val="Compact"/>
            </w:pPr>
            <w:r>
              <w:t xml:space="preserve">J + 5,000/year, F 25%</w:t>
            </w:r>
          </w:p>
        </w:tc>
        <w:tc>
          <w:tcPr/>
          <w:p>
            <w:pPr>
              <w:pStyle w:val="Compact"/>
            </w:pPr>
            <w:r>
              <w:t xml:space="preserve">92.0% (95% UI: 77.4%–95.8%)</w:t>
            </w:r>
          </w:p>
        </w:tc>
        <w:tc>
          <w:tcPr/>
          <w:p>
            <w:pPr>
              <w:pStyle w:val="Compact"/>
            </w:pPr>
            <w:r>
              <w:t xml:space="preserve">68.4% (95% UI: 66.3%–70.2%)</w:t>
            </w:r>
          </w:p>
        </w:tc>
        <w:tc>
          <w:tcPr/>
          <w:p>
            <w:pPr>
              <w:pStyle w:val="Compact"/>
            </w:pPr>
            <w:r>
              <w:t xml:space="preserve">95%</w:t>
            </w:r>
          </w:p>
        </w:tc>
        <w:tc>
          <w:tcPr/>
          <w:p>
            <w:pPr>
              <w:pStyle w:val="Compact"/>
            </w:pPr>
            <w:r>
              <w:t xml:space="preserve">91.0% (95% UI: 73.4%–95.4%)</w:t>
            </w:r>
          </w:p>
        </w:tc>
        <w:tc>
          <w:tcPr/>
          <w:p>
            <w:pPr>
              <w:pStyle w:val="Compact"/>
            </w:pPr>
            <w:r>
              <w:t xml:space="preserve">62.7% (95% UI: 60.7%–64.7%)</w:t>
            </w:r>
          </w:p>
        </w:tc>
      </w:tr>
      <w:tr>
        <w:tc>
          <w:tcPr/>
          <w:p>
            <w:pPr>
              <w:pStyle w:val="Compact"/>
            </w:pPr>
            <w:r>
              <w:t xml:space="preserve">J + 8,000/year, F 25%</w:t>
            </w:r>
          </w:p>
        </w:tc>
        <w:tc>
          <w:tcPr/>
          <w:p>
            <w:pPr>
              <w:pStyle w:val="Compact"/>
            </w:pPr>
            <w:r>
              <w:t xml:space="preserve">94.9% (95% UI: 80.1%–97.6%)</w:t>
            </w:r>
          </w:p>
        </w:tc>
        <w:tc>
          <w:tcPr/>
          <w:p>
            <w:pPr>
              <w:pStyle w:val="Compact"/>
            </w:pPr>
            <w:r>
              <w:t xml:space="preserve">73.9% (95% UI: 72.2%–75.5%)</w:t>
            </w:r>
          </w:p>
        </w:tc>
        <w:tc>
          <w:tcPr/>
          <w:p>
            <w:pPr>
              <w:pStyle w:val="Compact"/>
            </w:pPr>
            <w:r>
              <w:t xml:space="preserve">98%</w:t>
            </w:r>
          </w:p>
        </w:tc>
        <w:tc>
          <w:tcPr/>
          <w:p>
            <w:pPr>
              <w:pStyle w:val="Compact"/>
            </w:pPr>
            <w:r>
              <w:t xml:space="preserve">94.2% (95% UI: 76.6%–97.4%)</w:t>
            </w:r>
          </w:p>
        </w:tc>
        <w:tc>
          <w:tcPr/>
          <w:p>
            <w:pPr>
              <w:pStyle w:val="Compact"/>
            </w:pPr>
            <w:r>
              <w:t xml:space="preserve">69.5% (95% UI: 67.8%–71.3%)</w:t>
            </w:r>
          </w:p>
        </w:tc>
      </w:tr>
      <w:tr>
        <w:tc>
          <w:tcPr/>
          <w:p>
            <w:pPr>
              <w:pStyle w:val="Compact"/>
            </w:pPr>
            <w:r>
              <w:t xml:space="preserve">J + 600/year, F 50%</w:t>
            </w:r>
          </w:p>
        </w:tc>
        <w:tc>
          <w:tcPr/>
          <w:p>
            <w:pPr>
              <w:pStyle w:val="Compact"/>
            </w:pPr>
            <w:r>
              <w:t xml:space="preserve">86.7% (95% UI: 71.4%–92.0%)</w:t>
            </w:r>
          </w:p>
        </w:tc>
        <w:tc>
          <w:tcPr/>
          <w:p>
            <w:pPr>
              <w:pStyle w:val="Compact"/>
            </w:pPr>
            <w:r>
              <w:t xml:space="preserve">56.4% (95% UI: 53.8%–58.9%)</w:t>
            </w:r>
          </w:p>
        </w:tc>
        <w:tc>
          <w:tcPr/>
          <w:p>
            <w:pPr>
              <w:pStyle w:val="Compact"/>
            </w:pPr>
            <w:r>
              <w:t xml:space="preserve">0%</w:t>
            </w:r>
          </w:p>
        </w:tc>
        <w:tc>
          <w:tcPr/>
          <w:p>
            <w:pPr>
              <w:pStyle w:val="Compact"/>
            </w:pPr>
            <w:r>
              <w:t xml:space="preserve">85.0% (95% UI: 66.6%–91.2%)</w:t>
            </w:r>
          </w:p>
        </w:tc>
        <w:tc>
          <w:tcPr/>
          <w:p>
            <w:pPr>
              <w:pStyle w:val="Compact"/>
            </w:pPr>
            <w:r>
              <w:t xml:space="preserve">48.0% (95% UI: 45.6%–50.5%)</w:t>
            </w:r>
          </w:p>
        </w:tc>
      </w:tr>
      <w:tr>
        <w:tc>
          <w:tcPr/>
          <w:p>
            <w:pPr>
              <w:pStyle w:val="Compact"/>
            </w:pPr>
            <w:r>
              <w:t xml:space="preserve">J + 1,000/year, F 50%</w:t>
            </w:r>
          </w:p>
        </w:tc>
        <w:tc>
          <w:tcPr/>
          <w:p>
            <w:pPr>
              <w:pStyle w:val="Compact"/>
            </w:pPr>
            <w:r>
              <w:t xml:space="preserve">88.0% (95% UI: 72.9%–93.0%)</w:t>
            </w:r>
          </w:p>
        </w:tc>
        <w:tc>
          <w:tcPr/>
          <w:p>
            <w:pPr>
              <w:pStyle w:val="Compact"/>
            </w:pPr>
            <w:r>
              <w:t xml:space="preserve">57.3% (95% UI: 54.7%–59.8%)</w:t>
            </w:r>
          </w:p>
        </w:tc>
        <w:tc>
          <w:tcPr/>
          <w:p>
            <w:pPr>
              <w:pStyle w:val="Compact"/>
            </w:pPr>
            <w:r>
              <w:t xml:space="preserve">0%</w:t>
            </w:r>
          </w:p>
        </w:tc>
        <w:tc>
          <w:tcPr/>
          <w:p>
            <w:pPr>
              <w:pStyle w:val="Compact"/>
            </w:pPr>
            <w:r>
              <w:t xml:space="preserve">86.5% (95% UI: 68.4%–92.3%)</w:t>
            </w:r>
          </w:p>
        </w:tc>
        <w:tc>
          <w:tcPr/>
          <w:p>
            <w:pPr>
              <w:pStyle w:val="Compact"/>
            </w:pPr>
            <w:r>
              <w:t xml:space="preserve">49.1% (95% UI: 46.7%–51.6%)</w:t>
            </w:r>
          </w:p>
        </w:tc>
      </w:tr>
      <w:tr>
        <w:tc>
          <w:tcPr/>
          <w:p>
            <w:pPr>
              <w:pStyle w:val="Compact"/>
            </w:pPr>
            <w:r>
              <w:t xml:space="preserve">J + 2,000/year, F 50%</w:t>
            </w:r>
          </w:p>
        </w:tc>
        <w:tc>
          <w:tcPr/>
          <w:p>
            <w:pPr>
              <w:pStyle w:val="Compact"/>
            </w:pPr>
            <w:r>
              <w:t xml:space="preserve">90.9% (95% UI: 75.7%–94.9%)</w:t>
            </w:r>
          </w:p>
        </w:tc>
        <w:tc>
          <w:tcPr/>
          <w:p>
            <w:pPr>
              <w:pStyle w:val="Compact"/>
            </w:pPr>
            <w:r>
              <w:t xml:space="preserve">59.5% (95% UI: 57.0%–62.0%)</w:t>
            </w:r>
          </w:p>
        </w:tc>
        <w:tc>
          <w:tcPr/>
          <w:p>
            <w:pPr>
              <w:pStyle w:val="Compact"/>
            </w:pPr>
            <w:r>
              <w:t xml:space="preserve">0%</w:t>
            </w:r>
          </w:p>
        </w:tc>
        <w:tc>
          <w:tcPr/>
          <w:p>
            <w:pPr>
              <w:pStyle w:val="Compact"/>
            </w:pPr>
            <w:r>
              <w:t xml:space="preserve">89.7% (95% UI: 71.8%–94.5%)</w:t>
            </w:r>
          </w:p>
        </w:tc>
        <w:tc>
          <w:tcPr/>
          <w:p>
            <w:pPr>
              <w:pStyle w:val="Compact"/>
            </w:pPr>
            <w:r>
              <w:t xml:space="preserve">51.8% (95% UI: 49.4%–54.2%)</w:t>
            </w:r>
          </w:p>
        </w:tc>
      </w:tr>
      <w:tr>
        <w:tc>
          <w:tcPr/>
          <w:p>
            <w:pPr>
              <w:pStyle w:val="Compact"/>
            </w:pPr>
            <w:r>
              <w:t xml:space="preserve">J + 5,000/year, F 50%</w:t>
            </w:r>
          </w:p>
        </w:tc>
        <w:tc>
          <w:tcPr/>
          <w:p>
            <w:pPr>
              <w:pStyle w:val="Compact"/>
            </w:pPr>
            <w:r>
              <w:t xml:space="preserve">96.1% (95% UI: 81.5%–98.4%)</w:t>
            </w:r>
          </w:p>
        </w:tc>
        <w:tc>
          <w:tcPr/>
          <w:p>
            <w:pPr>
              <w:pStyle w:val="Compact"/>
            </w:pPr>
            <w:r>
              <w:t xml:space="preserve">65.1% (95% UI: 62.8%–67.3%)</w:t>
            </w:r>
          </w:p>
        </w:tc>
        <w:tc>
          <w:tcPr/>
          <w:p>
            <w:pPr>
              <w:pStyle w:val="Compact"/>
            </w:pPr>
            <w:r>
              <w:t xml:space="preserve">51%</w:t>
            </w:r>
          </w:p>
        </w:tc>
        <w:tc>
          <w:tcPr/>
          <w:p>
            <w:pPr>
              <w:pStyle w:val="Compact"/>
            </w:pPr>
            <w:r>
              <w:t xml:space="preserve">95.6% (95% UI: 78.3%–98.2%)</w:t>
            </w:r>
          </w:p>
        </w:tc>
        <w:tc>
          <w:tcPr/>
          <w:p>
            <w:pPr>
              <w:pStyle w:val="Compact"/>
            </w:pPr>
            <w:r>
              <w:t xml:space="preserve">58.6% (95% UI: 56.4%–60.9%)</w:t>
            </w:r>
          </w:p>
        </w:tc>
      </w:tr>
      <w:tr>
        <w:tc>
          <w:tcPr/>
          <w:p>
            <w:pPr>
              <w:pStyle w:val="Compact"/>
            </w:pPr>
            <w:r>
              <w:t xml:space="preserve">J + 8,000/year, F 50%</w:t>
            </w:r>
          </w:p>
        </w:tc>
        <w:tc>
          <w:tcPr/>
          <w:p>
            <w:pPr>
              <w:pStyle w:val="Compact"/>
            </w:pPr>
            <w:r>
              <w:t xml:space="preserve">98.3% (95% UI: 84.1%–99.6%)</w:t>
            </w:r>
          </w:p>
        </w:tc>
        <w:tc>
          <w:tcPr/>
          <w:p>
            <w:pPr>
              <w:pStyle w:val="Compact"/>
            </w:pPr>
            <w:r>
              <w:t xml:space="preserve">69.6% (95% UI: 67.5%–71.6%)</w:t>
            </w:r>
          </w:p>
        </w:tc>
        <w:tc>
          <w:tcPr/>
          <w:p>
            <w:pPr>
              <w:pStyle w:val="Compact"/>
            </w:pPr>
            <w:r>
              <w:t xml:space="preserve">99%</w:t>
            </w:r>
          </w:p>
        </w:tc>
        <w:tc>
          <w:tcPr/>
          <w:p>
            <w:pPr>
              <w:pStyle w:val="Compact"/>
            </w:pPr>
            <w:r>
              <w:t xml:space="preserve">98.0% (95% UI: 81.4%–99.6%)</w:t>
            </w:r>
          </w:p>
        </w:tc>
        <w:tc>
          <w:tcPr/>
          <w:p>
            <w:pPr>
              <w:pStyle w:val="Compact"/>
            </w:pPr>
            <w:r>
              <w:t xml:space="preserve">64.1% (95% UI: 62.0%–66.2%)</w:t>
            </w:r>
          </w:p>
        </w:tc>
      </w:tr>
      <w:tr>
        <w:tc>
          <w:tcPr/>
          <w:p>
            <w:pPr>
              <w:pStyle w:val="Compact"/>
            </w:pPr>
            <w:r>
              <w:t xml:space="preserve">J + 600/year, F 75%</w:t>
            </w:r>
          </w:p>
        </w:tc>
        <w:tc>
          <w:tcPr/>
          <w:p>
            <w:pPr>
              <w:pStyle w:val="Compact"/>
            </w:pPr>
            <w:r>
              <w:t xml:space="preserve">87.7% (95% UI: 72.6%–92.7%)</w:t>
            </w:r>
          </w:p>
        </w:tc>
        <w:tc>
          <w:tcPr/>
          <w:p>
            <w:pPr>
              <w:pStyle w:val="Compact"/>
            </w:pPr>
            <w:r>
              <w:t xml:space="preserve">55.9% (95% UI: 53.2%–58.5%)</w:t>
            </w:r>
          </w:p>
        </w:tc>
        <w:tc>
          <w:tcPr/>
          <w:p>
            <w:pPr>
              <w:pStyle w:val="Compact"/>
            </w:pPr>
            <w:r>
              <w:t xml:space="preserve">0%</w:t>
            </w:r>
          </w:p>
        </w:tc>
        <w:tc>
          <w:tcPr/>
          <w:p>
            <w:pPr>
              <w:pStyle w:val="Compact"/>
            </w:pPr>
            <w:r>
              <w:t xml:space="preserve">86.1% (95% UI: 67.9%–92.0%)</w:t>
            </w:r>
          </w:p>
        </w:tc>
        <w:tc>
          <w:tcPr/>
          <w:p>
            <w:pPr>
              <w:pStyle w:val="Compact"/>
            </w:pPr>
            <w:r>
              <w:t xml:space="preserve">47.4% (95% UI: 44.9%–49.9%)</w:t>
            </w:r>
          </w:p>
        </w:tc>
      </w:tr>
      <w:tr>
        <w:tc>
          <w:tcPr/>
          <w:p>
            <w:pPr>
              <w:pStyle w:val="Compact"/>
            </w:pPr>
            <w:r>
              <w:t xml:space="preserve">J + 1,000/year, F 75%</w:t>
            </w:r>
          </w:p>
        </w:tc>
        <w:tc>
          <w:tcPr/>
          <w:p>
            <w:pPr>
              <w:pStyle w:val="Compact"/>
            </w:pPr>
            <w:r>
              <w:t xml:space="preserve">89.5% (95% UI: 74.7%–94.0%)</w:t>
            </w:r>
          </w:p>
        </w:tc>
        <w:tc>
          <w:tcPr/>
          <w:p>
            <w:pPr>
              <w:pStyle w:val="Compact"/>
            </w:pPr>
            <w:r>
              <w:t xml:space="preserve">56.4% (95% UI: 53.8%–59.1%)</w:t>
            </w:r>
          </w:p>
        </w:tc>
        <w:tc>
          <w:tcPr/>
          <w:p>
            <w:pPr>
              <w:pStyle w:val="Compact"/>
            </w:pPr>
            <w:r>
              <w:t xml:space="preserve">0%</w:t>
            </w:r>
          </w:p>
        </w:tc>
        <w:tc>
          <w:tcPr/>
          <w:p>
            <w:pPr>
              <w:pStyle w:val="Compact"/>
            </w:pPr>
            <w:r>
              <w:t xml:space="preserve">88.2% (95% UI: 70.4%–93.4%)</w:t>
            </w:r>
          </w:p>
        </w:tc>
        <w:tc>
          <w:tcPr/>
          <w:p>
            <w:pPr>
              <w:pStyle w:val="Compact"/>
            </w:pPr>
            <w:r>
              <w:t xml:space="preserve">48.1% (95% UI: 45.6%–50.6%)</w:t>
            </w:r>
          </w:p>
        </w:tc>
      </w:tr>
      <w:tr>
        <w:tc>
          <w:tcPr/>
          <w:p>
            <w:pPr>
              <w:pStyle w:val="Compact"/>
            </w:pPr>
            <w:r>
              <w:t xml:space="preserve">J + 2,000/year, F 75%</w:t>
            </w:r>
          </w:p>
        </w:tc>
        <w:tc>
          <w:tcPr/>
          <w:p>
            <w:pPr>
              <w:pStyle w:val="Compact"/>
            </w:pPr>
            <w:r>
              <w:t xml:space="preserve">93.1% (95% UI: 78.4%–96.5%)</w:t>
            </w:r>
          </w:p>
        </w:tc>
        <w:tc>
          <w:tcPr/>
          <w:p>
            <w:pPr>
              <w:pStyle w:val="Compact"/>
            </w:pPr>
            <w:r>
              <w:t xml:space="preserve">57.8% (95% UI: 55.1%–60.4%)</w:t>
            </w:r>
          </w:p>
        </w:tc>
        <w:tc>
          <w:tcPr/>
          <w:p>
            <w:pPr>
              <w:pStyle w:val="Compact"/>
            </w:pPr>
            <w:r>
              <w:t xml:space="preserve">0%</w:t>
            </w:r>
          </w:p>
        </w:tc>
        <w:tc>
          <w:tcPr/>
          <w:p>
            <w:pPr>
              <w:pStyle w:val="Compact"/>
            </w:pPr>
            <w:r>
              <w:t xml:space="preserve">92.2% (95% UI: 74.6%–96.1%)</w:t>
            </w:r>
          </w:p>
        </w:tc>
        <w:tc>
          <w:tcPr/>
          <w:p>
            <w:pPr>
              <w:pStyle w:val="Compact"/>
            </w:pPr>
            <w:r>
              <w:t xml:space="preserve">49.6% (95% UI: 47.1%–52.2%)</w:t>
            </w:r>
          </w:p>
        </w:tc>
      </w:tr>
      <w:tr>
        <w:tc>
          <w:tcPr/>
          <w:p>
            <w:pPr>
              <w:pStyle w:val="Compact"/>
            </w:pPr>
            <w:r>
              <w:t xml:space="preserve">J + 5,000/year, F 75%</w:t>
            </w:r>
          </w:p>
        </w:tc>
        <w:tc>
          <w:tcPr/>
          <w:p>
            <w:pPr>
              <w:pStyle w:val="Compact"/>
            </w:pPr>
            <w:r>
              <w:t xml:space="preserve">98.1% (95% UI: 83.8%–99.5%)</w:t>
            </w:r>
          </w:p>
        </w:tc>
        <w:tc>
          <w:tcPr/>
          <w:p>
            <w:pPr>
              <w:pStyle w:val="Compact"/>
            </w:pPr>
            <w:r>
              <w:t xml:space="preserve">61.0% (95% UI: 58.4%–63.6%)</w:t>
            </w:r>
          </w:p>
        </w:tc>
        <w:tc>
          <w:tcPr/>
          <w:p>
            <w:pPr>
              <w:pStyle w:val="Compact"/>
            </w:pPr>
            <w:r>
              <w:t xml:space="preserve">0%</w:t>
            </w:r>
          </w:p>
        </w:tc>
        <w:tc>
          <w:tcPr/>
          <w:p>
            <w:pPr>
              <w:pStyle w:val="Compact"/>
            </w:pPr>
            <w:r>
              <w:t xml:space="preserve">97.8% (95% UI: 80.9%–99.5%)</w:t>
            </w:r>
          </w:p>
        </w:tc>
        <w:tc>
          <w:tcPr/>
          <w:p>
            <w:pPr>
              <w:pStyle w:val="Compact"/>
            </w:pPr>
            <w:r>
              <w:t xml:space="preserve">53.5% (95% UI: 51.1%–56.1%)</w:t>
            </w:r>
          </w:p>
        </w:tc>
      </w:tr>
      <w:tr>
        <w:tc>
          <w:tcPr/>
          <w:p>
            <w:pPr>
              <w:pStyle w:val="Compact"/>
            </w:pPr>
            <w:r>
              <w:t xml:space="preserve">J + 8,000/year, F 75%</w:t>
            </w:r>
          </w:p>
        </w:tc>
        <w:tc>
          <w:tcPr/>
          <w:p>
            <w:pPr>
              <w:pStyle w:val="Compact"/>
            </w:pPr>
            <w:r>
              <w:t xml:space="preserve">99.0% (95% UI: 85.8%–100.0%)</w:t>
            </w:r>
          </w:p>
        </w:tc>
        <w:tc>
          <w:tcPr/>
          <w:p>
            <w:pPr>
              <w:pStyle w:val="Compact"/>
            </w:pPr>
            <w:r>
              <w:t xml:space="preserve">63.7% (95% UI: 61.2%–66.2%)</w:t>
            </w:r>
          </w:p>
        </w:tc>
        <w:tc>
          <w:tcPr/>
          <w:p>
            <w:pPr>
              <w:pStyle w:val="Compact"/>
            </w:pPr>
            <w:r>
              <w:t xml:space="preserve">15%</w:t>
            </w:r>
          </w:p>
        </w:tc>
        <w:tc>
          <w:tcPr/>
          <w:p>
            <w:pPr>
              <w:pStyle w:val="Compact"/>
            </w:pPr>
            <w:r>
              <w:t xml:space="preserve">98.9% (95% UI: 83.2%–100.0%)</w:t>
            </w:r>
          </w:p>
        </w:tc>
        <w:tc>
          <w:tcPr/>
          <w:p>
            <w:pPr>
              <w:pStyle w:val="Compact"/>
            </w:pPr>
            <w:r>
              <w:t xml:space="preserve">56.8% (95% UI: 54.5%–59.3%)</w:t>
            </w:r>
          </w:p>
        </w:tc>
      </w:tr>
      <w:tr>
        <w:tc>
          <w:tcPr/>
          <w:p>
            <w:pPr>
              <w:pStyle w:val="Compact"/>
            </w:pPr>
            <w:r>
              <w:t xml:space="preserve">J + no screening cap</w:t>
            </w:r>
          </w:p>
        </w:tc>
        <w:tc>
          <w:tcPr/>
          <w:p>
            <w:pPr>
              <w:pStyle w:val="Compact"/>
            </w:pPr>
            <w:r>
              <w:t xml:space="preserve">99.0% (95% UI: 85.8%–100.0%)</w:t>
            </w:r>
          </w:p>
        </w:tc>
        <w:tc>
          <w:tcPr/>
          <w:p>
            <w:pPr>
              <w:pStyle w:val="Compact"/>
            </w:pPr>
            <w:r>
              <w:t xml:space="preserve">87.1% (95% UI: 85.8%–88.0%)</w:t>
            </w:r>
          </w:p>
        </w:tc>
        <w:tc>
          <w:tcPr/>
          <w:p>
            <w:pPr>
              <w:pStyle w:val="Compact"/>
            </w:pPr>
            <w:r>
              <w:t xml:space="preserve">100%</w:t>
            </w:r>
          </w:p>
        </w:tc>
        <w:tc>
          <w:tcPr/>
          <w:p>
            <w:pPr>
              <w:pStyle w:val="Compact"/>
            </w:pPr>
            <w:r>
              <w:t xml:space="preserve">98.9% (95% UI: 83.2%–100.0%)</w:t>
            </w:r>
          </w:p>
        </w:tc>
        <w:tc>
          <w:tcPr/>
          <w:p>
            <w:pPr>
              <w:pStyle w:val="Compact"/>
            </w:pPr>
            <w:r>
              <w:t xml:space="preserve">85.7% (95% UI: 84.8%–86.6%)</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743 (95% UI: 554–1,117)</w:t>
            </w:r>
          </w:p>
        </w:tc>
        <w:tc>
          <w:tcPr/>
          <w:p>
            <w:pPr>
              <w:pStyle w:val="Compact"/>
            </w:pPr>
            <w:r>
              <w:t xml:space="preserve">S$30.3 million (95% UI: S$22.9 million–S$44.7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665 (95% UI: 571–770)</w:t>
            </w:r>
          </w:p>
        </w:tc>
        <w:tc>
          <w:tcPr/>
          <w:p>
            <w:pPr>
              <w:pStyle w:val="Compact"/>
            </w:pPr>
            <w:r>
              <w:t xml:space="preserve">208 (95% UI: 174–247)</w:t>
            </w:r>
          </w:p>
        </w:tc>
        <w:tc>
          <w:tcPr/>
          <w:p>
            <w:pPr>
              <w:pStyle w:val="Compact"/>
            </w:pPr>
            <w:r>
              <w:t xml:space="preserve">713 (95% UI: 531–1,085)</w:t>
            </w:r>
          </w:p>
        </w:tc>
        <w:tc>
          <w:tcPr/>
          <w:p>
            <w:pPr>
              <w:pStyle w:val="Compact"/>
            </w:pPr>
            <w:r>
              <w:t xml:space="preserve">S$37.5 million (95% UI: S$29.5 million–S$52.4 million)</w:t>
            </w:r>
          </w:p>
        </w:tc>
        <w:tc>
          <w:tcPr/>
          <w:p>
            <w:pPr>
              <w:pStyle w:val="Compact"/>
            </w:pPr>
            <w:r>
              <w:t xml:space="preserve">S$7.1 million (95% UI: S$5.9 million–S$8.5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1,108 (95% UI: 952–1,284)</w:t>
            </w:r>
          </w:p>
        </w:tc>
        <w:tc>
          <w:tcPr/>
          <w:p>
            <w:pPr>
              <w:pStyle w:val="Compact"/>
            </w:pPr>
            <w:r>
              <w:t xml:space="preserve">341 (95% UI: 285–405)</w:t>
            </w:r>
          </w:p>
        </w:tc>
        <w:tc>
          <w:tcPr/>
          <w:p>
            <w:pPr>
              <w:pStyle w:val="Compact"/>
            </w:pPr>
            <w:r>
              <w:t xml:space="preserve">694 (95% UI: 517–1,062)</w:t>
            </w:r>
          </w:p>
        </w:tc>
        <w:tc>
          <w:tcPr/>
          <w:p>
            <w:pPr>
              <w:pStyle w:val="Compact"/>
            </w:pPr>
            <w:r>
              <w:t xml:space="preserve">S$42.1 million (95% UI: S$33.5 million–S$57.2 million)</w:t>
            </w:r>
          </w:p>
        </w:tc>
        <w:tc>
          <w:tcPr/>
          <w:p>
            <w:pPr>
              <w:pStyle w:val="Compact"/>
            </w:pPr>
            <w:r>
              <w:t xml:space="preserve">S$11.7 million (95% UI: S$9.8 million–S$14.0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2,215 (95% UI: 1,903–2,568)</w:t>
            </w:r>
          </w:p>
        </w:tc>
        <w:tc>
          <w:tcPr/>
          <w:p>
            <w:pPr>
              <w:pStyle w:val="Compact"/>
            </w:pPr>
            <w:r>
              <w:t xml:space="preserve">655 (95% UI: 547–776)</w:t>
            </w:r>
          </w:p>
        </w:tc>
        <w:tc>
          <w:tcPr/>
          <w:p>
            <w:pPr>
              <w:pStyle w:val="Compact"/>
            </w:pPr>
            <w:r>
              <w:t xml:space="preserve">647 (95% UI: 478–1,010)</w:t>
            </w:r>
          </w:p>
        </w:tc>
        <w:tc>
          <w:tcPr/>
          <w:p>
            <w:pPr>
              <w:pStyle w:val="Compact"/>
            </w:pPr>
            <w:r>
              <w:t xml:space="preserve">S$53.2 million (95% UI: S$43.0 million–S$68.6 million)</w:t>
            </w:r>
          </w:p>
        </w:tc>
        <w:tc>
          <w:tcPr/>
          <w:p>
            <w:pPr>
              <w:pStyle w:val="Compact"/>
            </w:pPr>
            <w:r>
              <w:t xml:space="preserve">S$22.5 million (95% UI: S$18.8 million–S$26.9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5,532 (95% UI: 4,754–6,415)</w:t>
            </w:r>
          </w:p>
        </w:tc>
        <w:tc>
          <w:tcPr/>
          <w:p>
            <w:pPr>
              <w:pStyle w:val="Compact"/>
            </w:pPr>
            <w:r>
              <w:t xml:space="preserve">1,450 (95% UI: 1,214–1,716)</w:t>
            </w:r>
          </w:p>
        </w:tc>
        <w:tc>
          <w:tcPr/>
          <w:p>
            <w:pPr>
              <w:pStyle w:val="Compact"/>
            </w:pPr>
            <w:r>
              <w:t xml:space="preserve">527 (95% UI: 382–877)</w:t>
            </w:r>
          </w:p>
        </w:tc>
        <w:tc>
          <w:tcPr/>
          <w:p>
            <w:pPr>
              <w:pStyle w:val="Compact"/>
            </w:pPr>
            <w:r>
              <w:t xml:space="preserve">S$81.0 million (95% UI: S$67.1 million–S$99.3 million)</w:t>
            </w:r>
          </w:p>
        </w:tc>
        <w:tc>
          <w:tcPr/>
          <w:p>
            <w:pPr>
              <w:pStyle w:val="Compact"/>
            </w:pPr>
            <w:r>
              <w:t xml:space="preserve">S$50.2 million (95% UI: S$41.9 million–S$59.8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8,843 (95% UI: 7,595–10,262)</w:t>
            </w:r>
          </w:p>
        </w:tc>
        <w:tc>
          <w:tcPr/>
          <w:p>
            <w:pPr>
              <w:pStyle w:val="Compact"/>
            </w:pPr>
            <w:r>
              <w:t xml:space="preserve">2,058 (95% UI: 1,727–2,433)</w:t>
            </w:r>
          </w:p>
        </w:tc>
        <w:tc>
          <w:tcPr/>
          <w:p>
            <w:pPr>
              <w:pStyle w:val="Compact"/>
            </w:pPr>
            <w:r>
              <w:t xml:space="preserve">432 (95% UI: 307–783)</w:t>
            </w:r>
          </w:p>
        </w:tc>
        <w:tc>
          <w:tcPr/>
          <w:p>
            <w:pPr>
              <w:pStyle w:val="Compact"/>
            </w:pPr>
            <w:r>
              <w:t xml:space="preserve">S$102.7 million (95% UI: S$86.0 million–S$123.4 million)</w:t>
            </w:r>
          </w:p>
        </w:tc>
        <w:tc>
          <w:tcPr/>
          <w:p>
            <w:pPr>
              <w:pStyle w:val="Compact"/>
            </w:pPr>
            <w:r>
              <w:t xml:space="preserve">S$71.9 million (95% UI: S$60.0 million–S$85.3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746 (95% UI: 645–852)</w:t>
            </w:r>
          </w:p>
        </w:tc>
        <w:tc>
          <w:tcPr/>
          <w:p>
            <w:pPr>
              <w:pStyle w:val="Compact"/>
            </w:pPr>
            <w:r>
              <w:t xml:space="preserve">178 (95% UI: 150–214)</w:t>
            </w:r>
          </w:p>
        </w:tc>
        <w:tc>
          <w:tcPr/>
          <w:p>
            <w:pPr>
              <w:pStyle w:val="Compact"/>
            </w:pPr>
            <w:r>
              <w:t xml:space="preserve">684 (95% UI: 509–1,049)</w:t>
            </w:r>
          </w:p>
        </w:tc>
        <w:tc>
          <w:tcPr/>
          <w:p>
            <w:pPr>
              <w:pStyle w:val="Compact"/>
            </w:pPr>
            <w:r>
              <w:t xml:space="preserve">S$35.3 million (95% UI: S$27.5 million–S$50.2 million)</w:t>
            </w:r>
          </w:p>
        </w:tc>
        <w:tc>
          <w:tcPr/>
          <w:p>
            <w:pPr>
              <w:pStyle w:val="Compact"/>
            </w:pPr>
            <w:r>
              <w:t xml:space="preserve">S$5.0 million (95% UI: S$4.2 million–S$6.0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1,242 (95% UI: 1,074–1,420)</w:t>
            </w:r>
          </w:p>
        </w:tc>
        <w:tc>
          <w:tcPr/>
          <w:p>
            <w:pPr>
              <w:pStyle w:val="Compact"/>
            </w:pPr>
            <w:r>
              <w:t xml:space="preserve">292 (95% UI: 245–349)</w:t>
            </w:r>
          </w:p>
        </w:tc>
        <w:tc>
          <w:tcPr/>
          <w:p>
            <w:pPr>
              <w:pStyle w:val="Compact"/>
            </w:pPr>
            <w:r>
              <w:t xml:space="preserve">647 (95% UI: 478–1,010)</w:t>
            </w:r>
          </w:p>
        </w:tc>
        <w:tc>
          <w:tcPr/>
          <w:p>
            <w:pPr>
              <w:pStyle w:val="Compact"/>
            </w:pPr>
            <w:r>
              <w:t xml:space="preserve">S$38.5 million (95% UI: S$30.4 million–S$53.5 million)</w:t>
            </w:r>
          </w:p>
        </w:tc>
        <w:tc>
          <w:tcPr/>
          <w:p>
            <w:pPr>
              <w:pStyle w:val="Compact"/>
            </w:pPr>
            <w:r>
              <w:t xml:space="preserve">S$8.2 million (95% UI: S$6.8 million–S$9.8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2,476 (95% UI: 2,141–2,832)</w:t>
            </w:r>
          </w:p>
        </w:tc>
        <w:tc>
          <w:tcPr/>
          <w:p>
            <w:pPr>
              <w:pStyle w:val="Compact"/>
            </w:pPr>
            <w:r>
              <w:t xml:space="preserve">554 (95% UI: 465–661)</w:t>
            </w:r>
          </w:p>
        </w:tc>
        <w:tc>
          <w:tcPr/>
          <w:p>
            <w:pPr>
              <w:pStyle w:val="Compact"/>
            </w:pPr>
            <w:r>
              <w:t xml:space="preserve">564 (95% UI: 412–918)</w:t>
            </w:r>
          </w:p>
        </w:tc>
        <w:tc>
          <w:tcPr/>
          <w:p>
            <w:pPr>
              <w:pStyle w:val="Compact"/>
            </w:pPr>
            <w:r>
              <w:t xml:space="preserve">S$46.3 million (95% UI: S$37.1 million–S$62.0 million)</w:t>
            </w:r>
          </w:p>
        </w:tc>
        <w:tc>
          <w:tcPr/>
          <w:p>
            <w:pPr>
              <w:pStyle w:val="Compact"/>
            </w:pPr>
            <w:r>
              <w:t xml:space="preserve">S$15.8 million (95% UI: S$13.1 million–S$18.9 million)</w:t>
            </w:r>
          </w:p>
        </w:tc>
      </w:tr>
      <w:tr>
        <w:tc>
          <w:tcPr/>
          <w:p>
            <w:pPr>
              <w:pStyle w:val="Compact"/>
            </w:pPr>
            <w:r>
              <w:t xml:space="preserve">J + 5,000/year, F 50%</w:t>
            </w:r>
          </w:p>
        </w:tc>
        <w:tc>
          <w:tcPr/>
          <w:p>
            <w:pPr>
              <w:pStyle w:val="Compact"/>
            </w:pPr>
            <w:r>
              <w:t xml:space="preserve">25,000 (95% UI: 25,000–25,000)</w:t>
            </w:r>
          </w:p>
        </w:tc>
        <w:tc>
          <w:tcPr/>
          <w:p>
            <w:pPr>
              <w:pStyle w:val="Compact"/>
            </w:pPr>
            <w:r>
              <w:t xml:space="preserve">6,146 (95% UI: 5,321–7,041)</w:t>
            </w:r>
          </w:p>
        </w:tc>
        <w:tc>
          <w:tcPr/>
          <w:p>
            <w:pPr>
              <w:pStyle w:val="Compact"/>
            </w:pPr>
            <w:r>
              <w:t xml:space="preserve">1,203 (95% UI: 1,014–1,428)</w:t>
            </w:r>
          </w:p>
        </w:tc>
        <w:tc>
          <w:tcPr/>
          <w:p>
            <w:pPr>
              <w:pStyle w:val="Compact"/>
            </w:pPr>
            <w:r>
              <w:t xml:space="preserve">382 (95% UI: 265–730)</w:t>
            </w:r>
          </w:p>
        </w:tc>
        <w:tc>
          <w:tcPr/>
          <w:p>
            <w:pPr>
              <w:pStyle w:val="Compact"/>
            </w:pPr>
            <w:r>
              <w:t xml:space="preserve">S$66.4 million (95% UI: S$54.6 million–S$84.2 million)</w:t>
            </w:r>
          </w:p>
        </w:tc>
        <w:tc>
          <w:tcPr/>
          <w:p>
            <w:pPr>
              <w:pStyle w:val="Compact"/>
            </w:pPr>
            <w:r>
              <w:t xml:space="preserve">S$35.7 million (95% UI: S$29.4 million–S$42.8 million)</w:t>
            </w:r>
          </w:p>
        </w:tc>
      </w:tr>
      <w:tr>
        <w:tc>
          <w:tcPr/>
          <w:p>
            <w:pPr>
              <w:pStyle w:val="Compact"/>
            </w:pPr>
            <w:r>
              <w:t xml:space="preserve">J + 8,000/year, F 50%</w:t>
            </w:r>
          </w:p>
        </w:tc>
        <w:tc>
          <w:tcPr/>
          <w:p>
            <w:pPr>
              <w:pStyle w:val="Compact"/>
            </w:pPr>
            <w:r>
              <w:t xml:space="preserve">40,000 (95% UI: 40,000–40,000)</w:t>
            </w:r>
          </w:p>
        </w:tc>
        <w:tc>
          <w:tcPr/>
          <w:p>
            <w:pPr>
              <w:pStyle w:val="Compact"/>
            </w:pPr>
            <w:r>
              <w:t xml:space="preserve">9,786 (95% UI: 8,479–11,228)</w:t>
            </w:r>
          </w:p>
        </w:tc>
        <w:tc>
          <w:tcPr/>
          <w:p>
            <w:pPr>
              <w:pStyle w:val="Compact"/>
            </w:pPr>
            <w:r>
              <w:t xml:space="preserve">1,699 (95% UI: 1,435–2,011)</w:t>
            </w:r>
          </w:p>
        </w:tc>
        <w:tc>
          <w:tcPr/>
          <w:p>
            <w:pPr>
              <w:pStyle w:val="Compact"/>
            </w:pPr>
            <w:r>
              <w:t xml:space="preserve">271 (95% UI: 175–622)</w:t>
            </w:r>
          </w:p>
        </w:tc>
        <w:tc>
          <w:tcPr/>
          <w:p>
            <w:pPr>
              <w:pStyle w:val="Compact"/>
            </w:pPr>
            <w:r>
              <w:t xml:space="preserve">S$83.0 million (95% UI: S$68.9 million–S$102.7 million)</w:t>
            </w:r>
          </w:p>
        </w:tc>
        <w:tc>
          <w:tcPr/>
          <w:p>
            <w:pPr>
              <w:pStyle w:val="Compact"/>
            </w:pPr>
            <w:r>
              <w:t xml:space="preserve">S$52.3 million (95% UI: S$43.0 million–S$62.7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824 (95% UI: 717–941)</w:t>
            </w:r>
          </w:p>
        </w:tc>
        <w:tc>
          <w:tcPr/>
          <w:p>
            <w:pPr>
              <w:pStyle w:val="Compact"/>
            </w:pPr>
            <w:r>
              <w:t xml:space="preserve">146 (95% UI: 122–181)</w:t>
            </w:r>
          </w:p>
        </w:tc>
        <w:tc>
          <w:tcPr/>
          <w:p>
            <w:pPr>
              <w:pStyle w:val="Compact"/>
            </w:pPr>
            <w:r>
              <w:t xml:space="preserve">656 (95% UI: 485–1,018)</w:t>
            </w:r>
          </w:p>
        </w:tc>
        <w:tc>
          <w:tcPr/>
          <w:p>
            <w:pPr>
              <w:pStyle w:val="Compact"/>
            </w:pPr>
            <w:r>
              <w:t xml:space="preserve">S$33.0 million (95% UI: S$25.4 million–S$48.1 million)</w:t>
            </w:r>
          </w:p>
        </w:tc>
        <w:tc>
          <w:tcPr/>
          <w:p>
            <w:pPr>
              <w:pStyle w:val="Compact"/>
            </w:pPr>
            <w:r>
              <w:t xml:space="preserve">S$2.8 million (95% UI: S$2.3 million–S$3.5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1,370 (95% UI: 1,192–1,566)</w:t>
            </w:r>
          </w:p>
        </w:tc>
        <w:tc>
          <w:tcPr/>
          <w:p>
            <w:pPr>
              <w:pStyle w:val="Compact"/>
            </w:pPr>
            <w:r>
              <w:t xml:space="preserve">235 (95% UI: 195–290)</w:t>
            </w:r>
          </w:p>
        </w:tc>
        <w:tc>
          <w:tcPr/>
          <w:p>
            <w:pPr>
              <w:pStyle w:val="Compact"/>
            </w:pPr>
            <w:r>
              <w:t xml:space="preserve">605 (95% UI: 444–964)</w:t>
            </w:r>
          </w:p>
        </w:tc>
        <w:tc>
          <w:tcPr/>
          <w:p>
            <w:pPr>
              <w:pStyle w:val="Compact"/>
            </w:pPr>
            <w:r>
              <w:t xml:space="preserve">S$34.7 million (95% UI: S$27.0 million–S$49.9 million)</w:t>
            </w:r>
          </w:p>
        </w:tc>
        <w:tc>
          <w:tcPr/>
          <w:p>
            <w:pPr>
              <w:pStyle w:val="Compact"/>
            </w:pPr>
            <w:r>
              <w:t xml:space="preserve">S$4.5 million (95% UI: S$3.7 million–S$5.6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2,728 (95% UI: 2,374–3,121)</w:t>
            </w:r>
          </w:p>
        </w:tc>
        <w:tc>
          <w:tcPr/>
          <w:p>
            <w:pPr>
              <w:pStyle w:val="Compact"/>
            </w:pPr>
            <w:r>
              <w:t xml:space="preserve">428 (95% UI: 358–525)</w:t>
            </w:r>
          </w:p>
        </w:tc>
        <w:tc>
          <w:tcPr/>
          <w:p>
            <w:pPr>
              <w:pStyle w:val="Compact"/>
            </w:pPr>
            <w:r>
              <w:t xml:space="preserve">493 (95% UI: 355–842)</w:t>
            </w:r>
          </w:p>
        </w:tc>
        <w:tc>
          <w:tcPr/>
          <w:p>
            <w:pPr>
              <w:pStyle w:val="Compact"/>
            </w:pPr>
            <w:r>
              <w:t xml:space="preserve">S$38.7 million (95% UI: S$30.6 million–S$54.6 million)</w:t>
            </w:r>
          </w:p>
        </w:tc>
        <w:tc>
          <w:tcPr/>
          <w:p>
            <w:pPr>
              <w:pStyle w:val="Compact"/>
            </w:pPr>
            <w:r>
              <w:t xml:space="preserve">S$8.4 million (95% UI: S$6.8 million–S$10.7 million)</w:t>
            </w:r>
          </w:p>
        </w:tc>
      </w:tr>
      <w:tr>
        <w:tc>
          <w:tcPr/>
          <w:p>
            <w:pPr>
              <w:pStyle w:val="Compact"/>
            </w:pPr>
            <w:r>
              <w:t xml:space="preserve">J + 5,000/year, F 75%</w:t>
            </w:r>
          </w:p>
        </w:tc>
        <w:tc>
          <w:tcPr/>
          <w:p>
            <w:pPr>
              <w:pStyle w:val="Compact"/>
            </w:pPr>
            <w:r>
              <w:t xml:space="preserve">25,000 (95% UI: 25,000–25,000)</w:t>
            </w:r>
          </w:p>
        </w:tc>
        <w:tc>
          <w:tcPr/>
          <w:p>
            <w:pPr>
              <w:pStyle w:val="Compact"/>
            </w:pPr>
            <w:r>
              <w:t xml:space="preserve">6,730 (95% UI: 5,868–7,736)</w:t>
            </w:r>
          </w:p>
        </w:tc>
        <w:tc>
          <w:tcPr/>
          <w:p>
            <w:pPr>
              <w:pStyle w:val="Compact"/>
            </w:pPr>
            <w:r>
              <w:t xml:space="preserve">854 (95% UI: 717–1,027)</w:t>
            </w:r>
          </w:p>
        </w:tc>
        <w:tc>
          <w:tcPr/>
          <w:p>
            <w:pPr>
              <w:pStyle w:val="Compact"/>
            </w:pPr>
            <w:r>
              <w:t xml:space="preserve">286 (95% UI: 186–639)</w:t>
            </w:r>
          </w:p>
        </w:tc>
        <w:tc>
          <w:tcPr/>
          <w:p>
            <w:pPr>
              <w:pStyle w:val="Compact"/>
            </w:pPr>
            <w:r>
              <w:t xml:space="preserve">S$49.2 million (95% UI: S$40.0 million–S$66.6 million)</w:t>
            </w:r>
          </w:p>
        </w:tc>
        <w:tc>
          <w:tcPr/>
          <w:p>
            <w:pPr>
              <w:pStyle w:val="Compact"/>
            </w:pPr>
            <w:r>
              <w:t xml:space="preserve">S$18.8 million (95% UI: S$14.7 million–S$23.8 million)</w:t>
            </w:r>
          </w:p>
        </w:tc>
      </w:tr>
      <w:tr>
        <w:tc>
          <w:tcPr/>
          <w:p>
            <w:pPr>
              <w:pStyle w:val="Compact"/>
            </w:pPr>
            <w:r>
              <w:t xml:space="preserve">J + 8,000/year, F 75%</w:t>
            </w:r>
          </w:p>
        </w:tc>
        <w:tc>
          <w:tcPr/>
          <w:p>
            <w:pPr>
              <w:pStyle w:val="Compact"/>
            </w:pPr>
            <w:r>
              <w:t xml:space="preserve">40,000 (95% UI: 39,342–40,000)</w:t>
            </w:r>
          </w:p>
        </w:tc>
        <w:tc>
          <w:tcPr/>
          <w:p>
            <w:pPr>
              <w:pStyle w:val="Compact"/>
            </w:pPr>
            <w:r>
              <w:t xml:space="preserve">10,669 (95% UI: 9,296–12,128)</w:t>
            </w:r>
          </w:p>
        </w:tc>
        <w:tc>
          <w:tcPr/>
          <w:p>
            <w:pPr>
              <w:pStyle w:val="Compact"/>
            </w:pPr>
            <w:r>
              <w:t xml:space="preserve">1,157 (95% UI: 974–1,371)</w:t>
            </w:r>
          </w:p>
        </w:tc>
        <w:tc>
          <w:tcPr/>
          <w:p>
            <w:pPr>
              <w:pStyle w:val="Compact"/>
            </w:pPr>
            <w:r>
              <w:t xml:space="preserve">195 (95% UI: 112–555)</w:t>
            </w:r>
          </w:p>
        </w:tc>
        <w:tc>
          <w:tcPr/>
          <w:p>
            <w:pPr>
              <w:pStyle w:val="Compact"/>
            </w:pPr>
            <w:r>
              <w:t xml:space="preserve">S$59.2 million (95% UI: S$48.9 million–S$77.8 million)</w:t>
            </w:r>
          </w:p>
        </w:tc>
        <w:tc>
          <w:tcPr/>
          <w:p>
            <w:pPr>
              <w:pStyle w:val="Compact"/>
            </w:pPr>
            <w:r>
              <w:t xml:space="preserve">S$28.8 million (95% UI: S$22.5 million–S$36.0 million)</w:t>
            </w:r>
          </w:p>
        </w:tc>
      </w:tr>
      <w:tr>
        <w:tc>
          <w:tcPr/>
          <w:p>
            <w:pPr>
              <w:pStyle w:val="Compact"/>
            </w:pPr>
            <w:r>
              <w:t xml:space="preserve">J + no screening cap</w:t>
            </w:r>
          </w:p>
        </w:tc>
        <w:tc>
          <w:tcPr/>
          <w:p>
            <w:pPr>
              <w:pStyle w:val="Compact"/>
            </w:pPr>
            <w:r>
              <w:t xml:space="preserve">200,884 (95% UI: 188,411–207,758)</w:t>
            </w:r>
          </w:p>
        </w:tc>
        <w:tc>
          <w:tcPr/>
          <w:p>
            <w:pPr>
              <w:pStyle w:val="Compact"/>
            </w:pPr>
            <w:r>
              <w:t xml:space="preserve">42,468 (95% UI: 36,987–48,347)</w:t>
            </w:r>
          </w:p>
        </w:tc>
        <w:tc>
          <w:tcPr/>
          <w:p>
            <w:pPr>
              <w:pStyle w:val="Compact"/>
            </w:pPr>
            <w:r>
              <w:t xml:space="preserve">3,754 (95% UI: 3,168–4,403)</w:t>
            </w:r>
          </w:p>
        </w:tc>
        <w:tc>
          <w:tcPr/>
          <w:p>
            <w:pPr>
              <w:pStyle w:val="Compact"/>
            </w:pPr>
            <w:r>
              <w:t xml:space="preserve">194 (95% UI: 111–555)</w:t>
            </w:r>
          </w:p>
        </w:tc>
        <w:tc>
          <w:tcPr/>
          <w:p>
            <w:pPr>
              <w:pStyle w:val="Compact"/>
            </w:pPr>
            <w:r>
              <w:t xml:space="preserve">S$178.8 million (95% UI: S$152.7 million–S$207.4 million)</w:t>
            </w:r>
          </w:p>
        </w:tc>
        <w:tc>
          <w:tcPr/>
          <w:p>
            <w:pPr>
              <w:pStyle w:val="Compact"/>
            </w:pPr>
            <w:r>
              <w:t xml:space="preserve">S$147.9 million (95% UI: S$124.9 million–S$172.9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3778842"/>
            <wp:effectExtent b="0" l="0" r="0" t="0"/>
            <wp:docPr descr="Fig S6. Cost composition of the prison only scenario and the scenarios that met both targets at the median.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3778842"/>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at the median.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S$15.1 (95% UI: S$11.5–S$22.4)</w:t>
            </w:r>
          </w:p>
        </w:tc>
        <w:tc>
          <w:tcPr/>
          <w:p>
            <w:pPr>
              <w:pStyle w:val="Compact"/>
            </w:pPr>
            <w:r>
              <w:t xml:space="preserve">S$30.3 (95% UI: S$22.9–S$44.7)</w:t>
            </w:r>
          </w:p>
        </w:tc>
        <w:tc>
          <w:tcPr/>
          <w:p>
            <w:pPr>
              <w:pStyle w:val="Compact"/>
            </w:pPr>
            <w:r>
              <w:t xml:space="preserve">S$45.4 (95% UI: S$34.4–S$67.1)</w:t>
            </w:r>
          </w:p>
        </w:tc>
      </w:tr>
      <w:tr>
        <w:tc>
          <w:tcPr/>
          <w:p>
            <w:pPr>
              <w:pStyle w:val="Compact"/>
            </w:pPr>
            <w:r>
              <w:t xml:space="preserve">J + 600/year, F 25%</w:t>
            </w:r>
          </w:p>
        </w:tc>
        <w:tc>
          <w:tcPr/>
          <w:p>
            <w:pPr>
              <w:pStyle w:val="Compact"/>
            </w:pPr>
            <w:r>
              <w:t xml:space="preserve">S$18.7 (95% UI: S$14.7–S$26.2)</w:t>
            </w:r>
          </w:p>
        </w:tc>
        <w:tc>
          <w:tcPr/>
          <w:p>
            <w:pPr>
              <w:pStyle w:val="Compact"/>
            </w:pPr>
            <w:r>
              <w:t xml:space="preserve">S$37.5 (95% UI: S$29.5–S$52.4)</w:t>
            </w:r>
          </w:p>
        </w:tc>
        <w:tc>
          <w:tcPr/>
          <w:p>
            <w:pPr>
              <w:pStyle w:val="Compact"/>
            </w:pPr>
            <w:r>
              <w:t xml:space="preserve">S$56.2 (95% UI: S$44.2–S$78.6)</w:t>
            </w:r>
          </w:p>
        </w:tc>
      </w:tr>
      <w:tr>
        <w:tc>
          <w:tcPr/>
          <w:p>
            <w:pPr>
              <w:pStyle w:val="Compact"/>
            </w:pPr>
            <w:r>
              <w:t xml:space="preserve">J + 1,000/year, F 25%</w:t>
            </w:r>
          </w:p>
        </w:tc>
        <w:tc>
          <w:tcPr/>
          <w:p>
            <w:pPr>
              <w:pStyle w:val="Compact"/>
            </w:pPr>
            <w:r>
              <w:t xml:space="preserve">S$21.1 (95% UI: S$16.7–S$28.6)</w:t>
            </w:r>
          </w:p>
        </w:tc>
        <w:tc>
          <w:tcPr/>
          <w:p>
            <w:pPr>
              <w:pStyle w:val="Compact"/>
            </w:pPr>
            <w:r>
              <w:t xml:space="preserve">S$42.1 (95% UI: S$33.5–S$57.2)</w:t>
            </w:r>
          </w:p>
        </w:tc>
        <w:tc>
          <w:tcPr/>
          <w:p>
            <w:pPr>
              <w:pStyle w:val="Compact"/>
            </w:pPr>
            <w:r>
              <w:t xml:space="preserve">S$63.2 (95% UI: S$50.2–S$85.9)</w:t>
            </w:r>
          </w:p>
        </w:tc>
      </w:tr>
      <w:tr>
        <w:tc>
          <w:tcPr/>
          <w:p>
            <w:pPr>
              <w:pStyle w:val="Compact"/>
            </w:pPr>
            <w:r>
              <w:t xml:space="preserve">J + 2,000/year, F 25%</w:t>
            </w:r>
          </w:p>
        </w:tc>
        <w:tc>
          <w:tcPr/>
          <w:p>
            <w:pPr>
              <w:pStyle w:val="Compact"/>
            </w:pPr>
            <w:r>
              <w:t xml:space="preserve">S$26.6 (95% UI: S$21.5–S$34.3)</w:t>
            </w:r>
          </w:p>
        </w:tc>
        <w:tc>
          <w:tcPr/>
          <w:p>
            <w:pPr>
              <w:pStyle w:val="Compact"/>
            </w:pPr>
            <w:r>
              <w:t xml:space="preserve">S$53.2 (95% UI: S$43.0–S$68.6)</w:t>
            </w:r>
          </w:p>
        </w:tc>
        <w:tc>
          <w:tcPr/>
          <w:p>
            <w:pPr>
              <w:pStyle w:val="Compact"/>
            </w:pPr>
            <w:r>
              <w:t xml:space="preserve">S$79.7 (95% UI: S$64.5–S$102.9)</w:t>
            </w:r>
          </w:p>
        </w:tc>
      </w:tr>
      <w:tr>
        <w:tc>
          <w:tcPr/>
          <w:p>
            <w:pPr>
              <w:pStyle w:val="Compact"/>
            </w:pPr>
            <w:r>
              <w:t xml:space="preserve">J + 5,000/year, F 25%</w:t>
            </w:r>
          </w:p>
        </w:tc>
        <w:tc>
          <w:tcPr/>
          <w:p>
            <w:pPr>
              <w:pStyle w:val="Compact"/>
            </w:pPr>
            <w:r>
              <w:t xml:space="preserve">S$40.5 (95% UI: S$33.6–S$49.6)</w:t>
            </w:r>
          </w:p>
        </w:tc>
        <w:tc>
          <w:tcPr/>
          <w:p>
            <w:pPr>
              <w:pStyle w:val="Compact"/>
            </w:pPr>
            <w:r>
              <w:t xml:space="preserve">S$81.0 (95% UI: S$67.1–S$99.3)</w:t>
            </w:r>
          </w:p>
        </w:tc>
        <w:tc>
          <w:tcPr/>
          <w:p>
            <w:pPr>
              <w:pStyle w:val="Compact"/>
            </w:pPr>
            <w:r>
              <w:t xml:space="preserve">S$121.5 (95% UI: S$100.7–S$148.9)</w:t>
            </w:r>
          </w:p>
        </w:tc>
      </w:tr>
      <w:tr>
        <w:tc>
          <w:tcPr/>
          <w:p>
            <w:pPr>
              <w:pStyle w:val="Compact"/>
            </w:pPr>
            <w:r>
              <w:t xml:space="preserve">J + 8,000/year, F 25%</w:t>
            </w:r>
          </w:p>
        </w:tc>
        <w:tc>
          <w:tcPr/>
          <w:p>
            <w:pPr>
              <w:pStyle w:val="Compact"/>
            </w:pPr>
            <w:r>
              <w:t xml:space="preserve">S$51.3 (95% UI: S$43.0–S$61.7)</w:t>
            </w:r>
          </w:p>
        </w:tc>
        <w:tc>
          <w:tcPr/>
          <w:p>
            <w:pPr>
              <w:pStyle w:val="Compact"/>
            </w:pPr>
            <w:r>
              <w:t xml:space="preserve">S$102.7 (95% UI: S$86.0–S$123.4)</w:t>
            </w:r>
          </w:p>
        </w:tc>
        <w:tc>
          <w:tcPr/>
          <w:p>
            <w:pPr>
              <w:pStyle w:val="Compact"/>
            </w:pPr>
            <w:r>
              <w:t xml:space="preserve">S$154.0 (95% UI: S$129.0–S$185.0)</w:t>
            </w:r>
          </w:p>
        </w:tc>
      </w:tr>
      <w:tr>
        <w:tc>
          <w:tcPr/>
          <w:p>
            <w:pPr>
              <w:pStyle w:val="Compact"/>
            </w:pPr>
            <w:r>
              <w:t xml:space="preserve">J + 600/year, F 50%</w:t>
            </w:r>
          </w:p>
        </w:tc>
        <w:tc>
          <w:tcPr/>
          <w:p>
            <w:pPr>
              <w:pStyle w:val="Compact"/>
            </w:pPr>
            <w:r>
              <w:t xml:space="preserve">S$17.7 (95% UI: S$13.7–S$25.1)</w:t>
            </w:r>
          </w:p>
        </w:tc>
        <w:tc>
          <w:tcPr/>
          <w:p>
            <w:pPr>
              <w:pStyle w:val="Compact"/>
            </w:pPr>
            <w:r>
              <w:t xml:space="preserve">S$35.3 (95% UI: S$27.5–S$50.2)</w:t>
            </w:r>
          </w:p>
        </w:tc>
        <w:tc>
          <w:tcPr/>
          <w:p>
            <w:pPr>
              <w:pStyle w:val="Compact"/>
            </w:pPr>
            <w:r>
              <w:t xml:space="preserve">S$53.0 (95% UI: S$41.2–S$75.3)</w:t>
            </w:r>
          </w:p>
        </w:tc>
      </w:tr>
      <w:tr>
        <w:tc>
          <w:tcPr/>
          <w:p>
            <w:pPr>
              <w:pStyle w:val="Compact"/>
            </w:pPr>
            <w:r>
              <w:t xml:space="preserve">J + 1,000/year, F 50%</w:t>
            </w:r>
          </w:p>
        </w:tc>
        <w:tc>
          <w:tcPr/>
          <w:p>
            <w:pPr>
              <w:pStyle w:val="Compact"/>
            </w:pPr>
            <w:r>
              <w:t xml:space="preserve">S$19.2 (95% UI: S$15.2–S$26.7)</w:t>
            </w:r>
          </w:p>
        </w:tc>
        <w:tc>
          <w:tcPr/>
          <w:p>
            <w:pPr>
              <w:pStyle w:val="Compact"/>
            </w:pPr>
            <w:r>
              <w:t xml:space="preserve">S$38.5 (95% UI: S$30.4–S$53.5)</w:t>
            </w:r>
          </w:p>
        </w:tc>
        <w:tc>
          <w:tcPr/>
          <w:p>
            <w:pPr>
              <w:pStyle w:val="Compact"/>
            </w:pPr>
            <w:r>
              <w:t xml:space="preserve">S$57.7 (95% UI: S$45.5–S$80.2)</w:t>
            </w:r>
          </w:p>
        </w:tc>
      </w:tr>
      <w:tr>
        <w:tc>
          <w:tcPr/>
          <w:p>
            <w:pPr>
              <w:pStyle w:val="Compact"/>
            </w:pPr>
            <w:r>
              <w:t xml:space="preserve">J + 2,000/year, F 50%</w:t>
            </w:r>
          </w:p>
        </w:tc>
        <w:tc>
          <w:tcPr/>
          <w:p>
            <w:pPr>
              <w:pStyle w:val="Compact"/>
            </w:pPr>
            <w:r>
              <w:t xml:space="preserve">S$23.1 (95% UI: S$18.6–S$31.0)</w:t>
            </w:r>
          </w:p>
        </w:tc>
        <w:tc>
          <w:tcPr/>
          <w:p>
            <w:pPr>
              <w:pStyle w:val="Compact"/>
            </w:pPr>
            <w:r>
              <w:t xml:space="preserve">S$46.3 (95% UI: S$37.1–S$62.0)</w:t>
            </w:r>
          </w:p>
        </w:tc>
        <w:tc>
          <w:tcPr/>
          <w:p>
            <w:pPr>
              <w:pStyle w:val="Compact"/>
            </w:pPr>
            <w:r>
              <w:t xml:space="preserve">S$69.4 (95% UI: S$55.7–S$93.1)</w:t>
            </w:r>
          </w:p>
        </w:tc>
      </w:tr>
      <w:tr>
        <w:tc>
          <w:tcPr/>
          <w:p>
            <w:pPr>
              <w:pStyle w:val="Compact"/>
            </w:pPr>
            <w:r>
              <w:t xml:space="preserve">J + 5,000/year, F 50%</w:t>
            </w:r>
          </w:p>
        </w:tc>
        <w:tc>
          <w:tcPr/>
          <w:p>
            <w:pPr>
              <w:pStyle w:val="Compact"/>
            </w:pPr>
            <w:r>
              <w:t xml:space="preserve">S$33.2 (95% UI: S$27.3–S$42.1)</w:t>
            </w:r>
          </w:p>
        </w:tc>
        <w:tc>
          <w:tcPr/>
          <w:p>
            <w:pPr>
              <w:pStyle w:val="Compact"/>
            </w:pPr>
            <w:r>
              <w:t xml:space="preserve">S$66.4 (95% UI: S$54.6–S$84.2)</w:t>
            </w:r>
          </w:p>
        </w:tc>
        <w:tc>
          <w:tcPr/>
          <w:p>
            <w:pPr>
              <w:pStyle w:val="Compact"/>
            </w:pPr>
            <w:r>
              <w:t xml:space="preserve">S$99.6 (95% UI: S$82.0–S$126.3)</w:t>
            </w:r>
          </w:p>
        </w:tc>
      </w:tr>
      <w:tr>
        <w:tc>
          <w:tcPr/>
          <w:p>
            <w:pPr>
              <w:pStyle w:val="Compact"/>
            </w:pPr>
            <w:r>
              <w:t xml:space="preserve">J + 8,000/year, F 50%</w:t>
            </w:r>
          </w:p>
        </w:tc>
        <w:tc>
          <w:tcPr/>
          <w:p>
            <w:pPr>
              <w:pStyle w:val="Compact"/>
            </w:pPr>
            <w:r>
              <w:t xml:space="preserve">S$41.5 (95% UI: S$34.5–S$51.3)</w:t>
            </w:r>
          </w:p>
        </w:tc>
        <w:tc>
          <w:tcPr/>
          <w:p>
            <w:pPr>
              <w:pStyle w:val="Compact"/>
            </w:pPr>
            <w:r>
              <w:t xml:space="preserve">S$83.0 (95% UI: S$68.9–S$102.7)</w:t>
            </w:r>
          </w:p>
        </w:tc>
        <w:tc>
          <w:tcPr/>
          <w:p>
            <w:pPr>
              <w:pStyle w:val="Compact"/>
            </w:pPr>
            <w:r>
              <w:t xml:space="preserve">S$124.6 (95% UI: S$103.4–S$154.0)</w:t>
            </w:r>
          </w:p>
        </w:tc>
      </w:tr>
      <w:tr>
        <w:tc>
          <w:tcPr/>
          <w:p>
            <w:pPr>
              <w:pStyle w:val="Compact"/>
            </w:pPr>
            <w:r>
              <w:t xml:space="preserve">J + 600/year, F 75%</w:t>
            </w:r>
          </w:p>
        </w:tc>
        <w:tc>
          <w:tcPr/>
          <w:p>
            <w:pPr>
              <w:pStyle w:val="Compact"/>
            </w:pPr>
            <w:r>
              <w:t xml:space="preserve">S$16.5 (95% UI: S$12.7–S$24.1)</w:t>
            </w:r>
          </w:p>
        </w:tc>
        <w:tc>
          <w:tcPr/>
          <w:p>
            <w:pPr>
              <w:pStyle w:val="Compact"/>
            </w:pPr>
            <w:r>
              <w:t xml:space="preserve">S$33.0 (95% UI: S$25.4–S$48.1)</w:t>
            </w:r>
          </w:p>
        </w:tc>
        <w:tc>
          <w:tcPr/>
          <w:p>
            <w:pPr>
              <w:pStyle w:val="Compact"/>
            </w:pPr>
            <w:r>
              <w:t xml:space="preserve">S$49.6 (95% UI: S$38.1–S$72.2)</w:t>
            </w:r>
          </w:p>
        </w:tc>
      </w:tr>
      <w:tr>
        <w:tc>
          <w:tcPr/>
          <w:p>
            <w:pPr>
              <w:pStyle w:val="Compact"/>
            </w:pPr>
            <w:r>
              <w:t xml:space="preserve">J + 1,000/year, F 75%</w:t>
            </w:r>
          </w:p>
        </w:tc>
        <w:tc>
          <w:tcPr/>
          <w:p>
            <w:pPr>
              <w:pStyle w:val="Compact"/>
            </w:pPr>
            <w:r>
              <w:t xml:space="preserve">S$17.4 (95% UI: S$13.5–S$24.9)</w:t>
            </w:r>
          </w:p>
        </w:tc>
        <w:tc>
          <w:tcPr/>
          <w:p>
            <w:pPr>
              <w:pStyle w:val="Compact"/>
            </w:pPr>
            <w:r>
              <w:t xml:space="preserve">S$34.7 (95% UI: S$27.0–S$49.9)</w:t>
            </w:r>
          </w:p>
        </w:tc>
        <w:tc>
          <w:tcPr/>
          <w:p>
            <w:pPr>
              <w:pStyle w:val="Compact"/>
            </w:pPr>
            <w:r>
              <w:t xml:space="preserve">S$52.1 (95% UI: S$40.5–S$74.8)</w:t>
            </w:r>
          </w:p>
        </w:tc>
      </w:tr>
      <w:tr>
        <w:tc>
          <w:tcPr/>
          <w:p>
            <w:pPr>
              <w:pStyle w:val="Compact"/>
            </w:pPr>
            <w:r>
              <w:t xml:space="preserve">J + 2,000/year, F 75%</w:t>
            </w:r>
          </w:p>
        </w:tc>
        <w:tc>
          <w:tcPr/>
          <w:p>
            <w:pPr>
              <w:pStyle w:val="Compact"/>
            </w:pPr>
            <w:r>
              <w:t xml:space="preserve">S$19.4 (95% UI: S$15.3–S$27.3)</w:t>
            </w:r>
          </w:p>
        </w:tc>
        <w:tc>
          <w:tcPr/>
          <w:p>
            <w:pPr>
              <w:pStyle w:val="Compact"/>
            </w:pPr>
            <w:r>
              <w:t xml:space="preserve">S$38.7 (95% UI: S$30.6–S$54.6)</w:t>
            </w:r>
          </w:p>
        </w:tc>
        <w:tc>
          <w:tcPr/>
          <w:p>
            <w:pPr>
              <w:pStyle w:val="Compact"/>
            </w:pPr>
            <w:r>
              <w:t xml:space="preserve">S$58.1 (95% UI: S$45.9–S$82.0)</w:t>
            </w:r>
          </w:p>
        </w:tc>
      </w:tr>
      <w:tr>
        <w:tc>
          <w:tcPr/>
          <w:p>
            <w:pPr>
              <w:pStyle w:val="Compact"/>
            </w:pPr>
            <w:r>
              <w:t xml:space="preserve">J + 5,000/year, F 75%</w:t>
            </w:r>
          </w:p>
        </w:tc>
        <w:tc>
          <w:tcPr/>
          <w:p>
            <w:pPr>
              <w:pStyle w:val="Compact"/>
            </w:pPr>
            <w:r>
              <w:t xml:space="preserve">S$24.6 (95% UI: S$20.0–S$33.3)</w:t>
            </w:r>
          </w:p>
        </w:tc>
        <w:tc>
          <w:tcPr/>
          <w:p>
            <w:pPr>
              <w:pStyle w:val="Compact"/>
            </w:pPr>
            <w:r>
              <w:t xml:space="preserve">S$49.2 (95% UI: S$40.0–S$66.6)</w:t>
            </w:r>
          </w:p>
        </w:tc>
        <w:tc>
          <w:tcPr/>
          <w:p>
            <w:pPr>
              <w:pStyle w:val="Compact"/>
            </w:pPr>
            <w:r>
              <w:t xml:space="preserve">S$73.9 (95% UI: S$60.0–S$99.8)</w:t>
            </w:r>
          </w:p>
        </w:tc>
      </w:tr>
      <w:tr>
        <w:tc>
          <w:tcPr/>
          <w:p>
            <w:pPr>
              <w:pStyle w:val="Compact"/>
            </w:pPr>
            <w:r>
              <w:t xml:space="preserve">J + 8,000/year, F 75%</w:t>
            </w:r>
          </w:p>
        </w:tc>
        <w:tc>
          <w:tcPr/>
          <w:p>
            <w:pPr>
              <w:pStyle w:val="Compact"/>
            </w:pPr>
            <w:r>
              <w:t xml:space="preserve">S$29.6 (95% UI: S$24.4–S$38.9)</w:t>
            </w:r>
          </w:p>
        </w:tc>
        <w:tc>
          <w:tcPr/>
          <w:p>
            <w:pPr>
              <w:pStyle w:val="Compact"/>
            </w:pPr>
            <w:r>
              <w:t xml:space="preserve">S$59.2 (95% UI: S$48.9–S$77.8)</w:t>
            </w:r>
          </w:p>
        </w:tc>
        <w:tc>
          <w:tcPr/>
          <w:p>
            <w:pPr>
              <w:pStyle w:val="Compact"/>
            </w:pPr>
            <w:r>
              <w:t xml:space="preserve">S$88.9 (95% UI: S$73.3–S$116.7)</w:t>
            </w:r>
          </w:p>
        </w:tc>
      </w:tr>
      <w:tr>
        <w:tc>
          <w:tcPr/>
          <w:p>
            <w:pPr>
              <w:pStyle w:val="Compact"/>
            </w:pPr>
            <w:r>
              <w:t xml:space="preserve">J + no screening cap</w:t>
            </w:r>
          </w:p>
        </w:tc>
        <w:tc>
          <w:tcPr/>
          <w:p>
            <w:pPr>
              <w:pStyle w:val="Compact"/>
            </w:pPr>
            <w:r>
              <w:t xml:space="preserve">S$89.4 (95% UI: S$76.4–S$103.7)</w:t>
            </w:r>
          </w:p>
        </w:tc>
        <w:tc>
          <w:tcPr/>
          <w:p>
            <w:pPr>
              <w:pStyle w:val="Compact"/>
            </w:pPr>
            <w:r>
              <w:t xml:space="preserve">S$178.8 (95% UI: S$152.7–S$207.4)</w:t>
            </w:r>
          </w:p>
        </w:tc>
        <w:tc>
          <w:tcPr/>
          <w:p>
            <w:pPr>
              <w:pStyle w:val="Compact"/>
            </w:pPr>
            <w:r>
              <w:t xml:space="preserve">S$268.2 (95% UI: S$229.1–S$311.1)</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4.0 hours on four processor cores. The project test suite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204 (95% UI: 161–276)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Mortality ratios.</w:t>
      </w:r>
      <w:r>
        <w:t xml:space="preserve"> </w:t>
      </w:r>
      <w:r>
        <w:t xml:space="preserve">The standardised mortality ratios come from the Amsterdam Cohort Studies of people who use drugs, 1985 to 2012, against the Dutch general population</w:t>
      </w:r>
      <w:r>
        <w:t xml:space="preserve"> </w:t>
      </w:r>
      <w:r>
        <w:t xml:space="preserve">[11]</w:t>
      </w:r>
      <w:r>
        <w:t xml:space="preserve">. They group people by HCV antibody status, so the viraemic ratio (HCV monoinfected, 9.52) includes people who cleared infection and liver deaths, which the model also counts separately. No cohort reports these ratios by viraemic status.</w:t>
      </w:r>
    </w:p>
    <w:p>
      <w:pPr>
        <w:pStyle w:val="Compact"/>
        <w:numPr>
          <w:ilvl w:val="0"/>
          <w:numId w:val="1003"/>
        </w:numPr>
      </w:pPr>
      <w:r>
        <w:rPr>
          <w:b/>
          <w:bCs/>
        </w:rPr>
        <w:t xml:space="preserve">Population size.</w:t>
      </w:r>
      <w:r>
        <w:t xml:space="preserve"> </w:t>
      </w:r>
      <w:r>
        <w:t xml:space="preserve">Only seroprevalence was fitted. The modelled 2015 prison population (8,451 (8,283–8,520)) was much larger than the 3,367 people with a known screening result in prison records, so absolute counts of infections, deaths, screening and treatment, and costs, are uncertain beyond the UIs.</w:t>
      </w:r>
    </w:p>
    <w:p>
      <w:pPr>
        <w:pStyle w:val="Compact"/>
        <w:numPr>
          <w:ilvl w:val="0"/>
          <w:numId w:val="1003"/>
        </w:numPr>
      </w:pPr>
      <w:r>
        <w:rPr>
          <w:b/>
          <w:bCs/>
        </w:rPr>
        <w:t xml:space="preserve">First arrest rate.</w:t>
      </w:r>
      <w:r>
        <w:t xml:space="preserve"> </w:t>
      </w:r>
      <w:r>
        <w:t xml:space="preserve">The prison records cannot identify the first arrest rate of people who have never been imprisoned. It was a multiple</w:t>
      </w:r>
      <w:r>
        <w:t xml:space="preserve"> </w:t>
      </w:r>
      <m:oMath>
        <m:r>
          <m:t>c</m:t>
        </m:r>
        <m:r>
          <m:rPr>
            <m:sty m:val="p"/>
          </m:rPr>
          <m:t>≥</m:t>
        </m:r>
        <m:r>
          <m:t>0.5</m:t>
        </m:r>
      </m:oMath>
      <w:r>
        <w:t xml:space="preserve"> </w:t>
      </w:r>
      <w:r>
        <w:t xml:space="preserve">of the re-arrest rate, and its posterior (1.24 (95% interval 0.57 to 3.13)) follows its prior. A lower first arrest rate would leave more people in D, who are never reached by prison treatment.</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With six targets and seven parameters, the prior matters. For θ5, θ6 and θ7 the posterior standard deviation was 76% to 88% of the prior standard deviation.</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8" w:name="references"/>
    <w:p>
      <w:pPr>
        <w:pStyle w:val="Heading1"/>
      </w:pPr>
      <w:r>
        <w:t xml:space="preserve">References</w:t>
      </w:r>
    </w:p>
    <w:bookmarkStart w:id="117"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vansanten2014"/>
    <w:p>
      <w:pPr>
        <w:pStyle w:val="Bibliography"/>
      </w:pPr>
      <w:r>
        <w:t xml:space="preserve">11.</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5">
        <w:r>
          <w:rPr>
            <w:rStyle w:val="Hyperlink"/>
          </w:rPr>
          <w:t xml:space="preserve">10.1097/QAD.0000000000000450</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2026-10-23T09:25:15Z</dcterms:created>
  <dcterms:modified xsi:type="dcterms:W3CDTF">2026-10-23T09:25:15Z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