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0.59</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Arrest and release rates are fixed inputs based on Singapore Prison Service records. People in X stay in X.</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PWID</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r>
                <m:t>ω</m:t>
              </m:r>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[13]</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[13]</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[13,14]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[13,14]</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[15]</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r>
                <m:t>ω</m:t>
              </m:r>
            </m:oMath>
          </w:p>
        </w:tc>
        <w:tc>
          <w:tcPr/>
          <w:p>
            <w:pPr>
              <w:pStyle w:val="Compact"/>
            </w:pPr>
            <w:r>
              <w:t xml:space="preserve">Standardised mortality ratio for PWID</w:t>
            </w:r>
          </w:p>
        </w:tc>
        <w:tc>
          <w:tcPr/>
          <w:p>
            <w:pPr>
              <w:pStyle w:val="Compact"/>
            </w:pPr>
            <w:r>
              <w:t xml:space="preserve">14.68</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0.45</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0.59</w:t>
            </w:r>
          </w:p>
        </w:tc>
        <w:tc>
          <w:tcPr/>
          <w:p>
            <w:pPr>
              <w:pStyle w:val="Compact"/>
            </w:pPr>
            <w:r>
              <w:t xml:space="preserve">Based on prison records</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[13,14]</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[13]</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2015 Singapore Prison Service data on HCV seroprevalence and the number of people in prison with a history of drug use, in six age groups. Seroprevalence in the model is the share of people in states a, c, t and r among all people in J. The prevalence terms used a binomial likelihood. The population terms used a log normal likelihood with standard deviation 0.10 on the log scale.</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[16]</w:t>
      </w:r>
      <w:r>
        <w:t xml:space="preserve"> </w:t>
      </w:r>
      <w:r>
        <w:t xml:space="preserve">(Table S2). Each age specific series was multiplied by a calibrated scale.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12 parameters on the log scale. Parameters θ1 to θ6 multiply the contact rates of the six age groups. Parameters θ7 to θ12 multiply the entry rates of the six age groups. A deterministic fit with seven Nelder Mead starts gave the centre of the prior. The best fit had a prevalence root mean square error of 0.0087 and a population mean absolute percentage error of 3.8%. Every model evaluation ran from model year 0 to 150. The last five years had to be at equilibrium. The prior for each parameter was normal on the log scale, centred on the best fit, with standard deviation 0.20.</w:t>
      </w:r>
    </w:p>
    <w:bookmarkEnd w:id="17"/>
    <w:bookmarkStart w:id="18" w:name="neural-posterior-estimation"/>
    <w:p>
      <w:pPr>
        <w:pStyle w:val="Heading2"/>
      </w:pPr>
      <w:r>
        <w:t xml:space="preserve">2.4 Neural posterior estimation</w:t>
      </w:r>
    </w:p>
    <w:p>
      <w:pPr>
        <w:pStyle w:val="FirstParagraph"/>
      </w:pPr>
      <w:r>
        <w:t xml:space="preserve">We used neural posterior estimation (NPE-C)</w:t>
      </w:r>
      <w:r>
        <w:t xml:space="preserve"> </w:t>
      </w:r>
      <w:r>
        <w:t xml:space="preserve">[17]</w:t>
      </w:r>
      <w:r>
        <w:t xml:space="preserve"> </w:t>
      </w:r>
      <w:r>
        <w:t xml:space="preserve">with a masked autoregressive flow</w:t>
      </w:r>
      <w:r>
        <w:t xml:space="preserve"> </w:t>
      </w:r>
      <w:r>
        <w:t xml:space="preserve">[18]</w:t>
      </w:r>
      <w:r>
        <w:t xml:space="preserve">, implemented in the sbi package</w:t>
      </w:r>
      <w:r>
        <w:t xml:space="preserve"> </w:t>
      </w:r>
      <w:r>
        <w:t xml:space="preserve">[19]</w:t>
      </w:r>
      <w:r>
        <w:t xml:space="preserve">. The network had 128 hidden features and 10 transforms. We trained it for up to 500 epochs on 3,000 simulations from the prior. Simulated data included binomial noise on prevalence and log normal noise on population. We trained the network twice with different seeds and drew 5,000 posterior samples from each.</w:t>
      </w:r>
    </w:p>
    <w:p>
      <w:pPr>
        <w:pStyle w:val="BodyText"/>
      </w:pPr>
      <w:r>
        <w:t xml:space="preserve">We checked each network with simulation based calibration (SBC) on 300 test simulations</w:t>
      </w:r>
      <w:r>
        <w:t xml:space="preserve"> </w:t>
      </w:r>
      <w:r>
        <w:t xml:space="preserve">[20]</w:t>
      </w:r>
      <w:r>
        <w:t xml:space="preserve">. We accepted a network if coverage of the 95% and 90% intervals was close to nominal for every parameter and if no posterior standard deviation was below 0.05. Both seeds passed (Table S3).</w:t>
      </w:r>
    </w:p>
    <w:p>
      <w:pPr>
        <w:pStyle w:val="BodyText"/>
      </w:pPr>
      <w:r>
        <w:rPr>
          <w:b/>
          <w:bCs/>
        </w:rPr>
        <w:t xml:space="preserve">Table S3. Simulation based calibration and posterior spread by training seed.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Seed 1, 95% coverage</w:t>
            </w:r>
          </w:p>
        </w:tc>
        <w:tc>
          <w:tcPr/>
          <w:p>
            <w:pPr>
              <w:pStyle w:val="Compact"/>
            </w:pPr>
            <w:r>
              <w:t xml:space="preserve">Seed 1, 90% coverage</w:t>
            </w:r>
          </w:p>
        </w:tc>
        <w:tc>
          <w:tcPr/>
          <w:p>
            <w:pPr>
              <w:pStyle w:val="Compact"/>
            </w:pPr>
            <w:r>
              <w:t xml:space="preserve">Seed 1, posterior SD</w:t>
            </w:r>
          </w:p>
        </w:tc>
        <w:tc>
          <w:tcPr/>
          <w:p>
            <w:pPr>
              <w:pStyle w:val="Compact"/>
            </w:pPr>
            <w:r>
              <w:t xml:space="preserve">Seed 2, 95% coverage</w:t>
            </w:r>
          </w:p>
        </w:tc>
        <w:tc>
          <w:tcPr/>
          <w:p>
            <w:pPr>
              <w:pStyle w:val="Compact"/>
            </w:pPr>
            <w:r>
              <w:t xml:space="preserve">Seed 2, 90% coverage</w:t>
            </w:r>
          </w:p>
        </w:tc>
        <w:tc>
          <w:tcPr/>
          <w:p>
            <w:pPr>
              <w:pStyle w:val="Compact"/>
            </w:pPr>
            <w:r>
              <w:t xml:space="preserve">Seed 2, posterior SD</w:t>
            </w:r>
          </w:p>
        </w:tc>
      </w:tr>
      <w:tr>
        <w:tc>
          <w:tcPr/>
          <w:p>
            <w:pPr>
              <w:pStyle w:val="Compact"/>
            </w:pPr>
            <w:r>
              <w:t xml:space="preserve">θ1</w:t>
            </w:r>
          </w:p>
        </w:tc>
        <w:tc>
          <w:tcPr/>
          <w:p>
            <w:pPr>
              <w:pStyle w:val="Compact"/>
            </w:pPr>
            <w:r>
              <w:t xml:space="preserve">0.967</w:t>
            </w:r>
          </w:p>
        </w:tc>
        <w:tc>
          <w:tcPr/>
          <w:p>
            <w:pPr>
              <w:pStyle w:val="Compact"/>
            </w:pPr>
            <w:r>
              <w:t xml:space="preserve">0.917</w:t>
            </w:r>
          </w:p>
        </w:tc>
        <w:tc>
          <w:tcPr/>
          <w:p>
            <w:pPr>
              <w:pStyle w:val="Compact"/>
            </w:pPr>
            <w:r>
              <w:t xml:space="preserve">0.121</w:t>
            </w:r>
          </w:p>
        </w:tc>
        <w:tc>
          <w:tcPr/>
          <w:p>
            <w:pPr>
              <w:pStyle w:val="Compact"/>
            </w:pPr>
            <w:r>
              <w:t xml:space="preserve">0.930</w:t>
            </w:r>
          </w:p>
        </w:tc>
        <w:tc>
          <w:tcPr/>
          <w:p>
            <w:pPr>
              <w:pStyle w:val="Compact"/>
            </w:pPr>
            <w:r>
              <w:t xml:space="preserve">0.893</w:t>
            </w:r>
          </w:p>
        </w:tc>
        <w:tc>
          <w:tcPr/>
          <w:p>
            <w:pPr>
              <w:pStyle w:val="Compact"/>
            </w:pPr>
            <w:r>
              <w:t xml:space="preserve">0.122</w:t>
            </w:r>
          </w:p>
        </w:tc>
      </w:tr>
      <w:tr>
        <w:tc>
          <w:tcPr/>
          <w:p>
            <w:pPr>
              <w:pStyle w:val="Compact"/>
            </w:pPr>
            <w:r>
              <w:t xml:space="preserve">θ2</w:t>
            </w:r>
          </w:p>
        </w:tc>
        <w:tc>
          <w:tcPr/>
          <w:p>
            <w:pPr>
              <w:pStyle w:val="Compact"/>
            </w:pPr>
            <w:r>
              <w:t xml:space="preserve">0.953</w:t>
            </w:r>
          </w:p>
        </w:tc>
        <w:tc>
          <w:tcPr/>
          <w:p>
            <w:pPr>
              <w:pStyle w:val="Compact"/>
            </w:pPr>
            <w:r>
              <w:t xml:space="preserve">0.917</w:t>
            </w:r>
          </w:p>
        </w:tc>
        <w:tc>
          <w:tcPr/>
          <w:p>
            <w:pPr>
              <w:pStyle w:val="Compact"/>
            </w:pPr>
            <w:r>
              <w:t xml:space="preserve">0.055</w:t>
            </w:r>
          </w:p>
        </w:tc>
        <w:tc>
          <w:tcPr/>
          <w:p>
            <w:pPr>
              <w:pStyle w:val="Compact"/>
            </w:pPr>
            <w:r>
              <w:t xml:space="preserve">0.957</w:t>
            </w:r>
          </w:p>
        </w:tc>
        <w:tc>
          <w:tcPr/>
          <w:p>
            <w:pPr>
              <w:pStyle w:val="Compact"/>
            </w:pPr>
            <w:r>
              <w:t xml:space="preserve">0.893</w:t>
            </w:r>
          </w:p>
        </w:tc>
        <w:tc>
          <w:tcPr/>
          <w:p>
            <w:pPr>
              <w:pStyle w:val="Compact"/>
            </w:pPr>
            <w:r>
              <w:t xml:space="preserve">0.054</w:t>
            </w:r>
          </w:p>
        </w:tc>
      </w:tr>
      <w:tr>
        <w:tc>
          <w:tcPr/>
          <w:p>
            <w:pPr>
              <w:pStyle w:val="Compact"/>
            </w:pPr>
            <w:r>
              <w:t xml:space="preserve">θ3</w:t>
            </w:r>
          </w:p>
        </w:tc>
        <w:tc>
          <w:tcPr/>
          <w:p>
            <w:pPr>
              <w:pStyle w:val="Compact"/>
            </w:pPr>
            <w:r>
              <w:t xml:space="preserve">0.930</w:t>
            </w:r>
          </w:p>
        </w:tc>
        <w:tc>
          <w:tcPr/>
          <w:p>
            <w:pPr>
              <w:pStyle w:val="Compact"/>
            </w:pPr>
            <w:r>
              <w:t xml:space="preserve">0.857</w:t>
            </w:r>
          </w:p>
        </w:tc>
        <w:tc>
          <w:tcPr/>
          <w:p>
            <w:pPr>
              <w:pStyle w:val="Compact"/>
            </w:pPr>
            <w:r>
              <w:t xml:space="preserve">0.083</w:t>
            </w:r>
          </w:p>
        </w:tc>
        <w:tc>
          <w:tcPr/>
          <w:p>
            <w:pPr>
              <w:pStyle w:val="Compact"/>
            </w:pPr>
            <w:r>
              <w:t xml:space="preserve">0.947</w:t>
            </w:r>
          </w:p>
        </w:tc>
        <w:tc>
          <w:tcPr/>
          <w:p>
            <w:pPr>
              <w:pStyle w:val="Compact"/>
            </w:pPr>
            <w:r>
              <w:t xml:space="preserve">0.903</w:t>
            </w:r>
          </w:p>
        </w:tc>
        <w:tc>
          <w:tcPr/>
          <w:p>
            <w:pPr>
              <w:pStyle w:val="Compact"/>
            </w:pPr>
            <w:r>
              <w:t xml:space="preserve">0.080</w:t>
            </w:r>
          </w:p>
        </w:tc>
      </w:tr>
      <w:tr>
        <w:tc>
          <w:tcPr/>
          <w:p>
            <w:pPr>
              <w:pStyle w:val="Compact"/>
            </w:pPr>
            <w:r>
              <w:t xml:space="preserve">θ4</w:t>
            </w:r>
          </w:p>
        </w:tc>
        <w:tc>
          <w:tcPr/>
          <w:p>
            <w:pPr>
              <w:pStyle w:val="Compact"/>
            </w:pPr>
            <w:r>
              <w:t xml:space="preserve">0.947</w:t>
            </w:r>
          </w:p>
        </w:tc>
        <w:tc>
          <w:tcPr/>
          <w:p>
            <w:pPr>
              <w:pStyle w:val="Compact"/>
            </w:pPr>
            <w:r>
              <w:t xml:space="preserve">0.870</w:t>
            </w:r>
          </w:p>
        </w:tc>
        <w:tc>
          <w:tcPr/>
          <w:p>
            <w:pPr>
              <w:pStyle w:val="Compact"/>
            </w:pPr>
            <w:r>
              <w:t xml:space="preserve">0.079</w:t>
            </w:r>
          </w:p>
        </w:tc>
        <w:tc>
          <w:tcPr/>
          <w:p>
            <w:pPr>
              <w:pStyle w:val="Compact"/>
            </w:pPr>
            <w:r>
              <w:t xml:space="preserve">0.940</w:t>
            </w:r>
          </w:p>
        </w:tc>
        <w:tc>
          <w:tcPr/>
          <w:p>
            <w:pPr>
              <w:pStyle w:val="Compact"/>
            </w:pPr>
            <w:r>
              <w:t xml:space="preserve">0.887</w:t>
            </w:r>
          </w:p>
        </w:tc>
        <w:tc>
          <w:tcPr/>
          <w:p>
            <w:pPr>
              <w:pStyle w:val="Compact"/>
            </w:pPr>
            <w:r>
              <w:t xml:space="preserve">0.072</w:t>
            </w:r>
          </w:p>
        </w:tc>
      </w:tr>
      <w:tr>
        <w:tc>
          <w:tcPr/>
          <w:p>
            <w:pPr>
              <w:pStyle w:val="Compact"/>
            </w:pPr>
            <w:r>
              <w:t xml:space="preserve">θ5</w:t>
            </w:r>
          </w:p>
        </w:tc>
        <w:tc>
          <w:tcPr/>
          <w:p>
            <w:pPr>
              <w:pStyle w:val="Compact"/>
            </w:pPr>
            <w:r>
              <w:t xml:space="preserve">0.957</w:t>
            </w:r>
          </w:p>
        </w:tc>
        <w:tc>
          <w:tcPr/>
          <w:p>
            <w:pPr>
              <w:pStyle w:val="Compact"/>
            </w:pPr>
            <w:r>
              <w:t xml:space="preserve">0.927</w:t>
            </w:r>
          </w:p>
        </w:tc>
        <w:tc>
          <w:tcPr/>
          <w:p>
            <w:pPr>
              <w:pStyle w:val="Compact"/>
            </w:pPr>
            <w:r>
              <w:t xml:space="preserve">0.106</w:t>
            </w:r>
          </w:p>
        </w:tc>
        <w:tc>
          <w:tcPr/>
          <w:p>
            <w:pPr>
              <w:pStyle w:val="Compact"/>
            </w:pPr>
            <w:r>
              <w:t xml:space="preserve">0.970</w:t>
            </w:r>
          </w:p>
        </w:tc>
        <w:tc>
          <w:tcPr/>
          <w:p>
            <w:pPr>
              <w:pStyle w:val="Compact"/>
            </w:pPr>
            <w:r>
              <w:t xml:space="preserve">0.937</w:t>
            </w:r>
          </w:p>
        </w:tc>
        <w:tc>
          <w:tcPr/>
          <w:p>
            <w:pPr>
              <w:pStyle w:val="Compact"/>
            </w:pPr>
            <w:r>
              <w:t xml:space="preserve">0.105</w:t>
            </w:r>
          </w:p>
        </w:tc>
      </w:tr>
      <w:tr>
        <w:tc>
          <w:tcPr/>
          <w:p>
            <w:pPr>
              <w:pStyle w:val="Compact"/>
            </w:pPr>
            <w:r>
              <w:t xml:space="preserve">θ6</w:t>
            </w:r>
          </w:p>
        </w:tc>
        <w:tc>
          <w:tcPr/>
          <w:p>
            <w:pPr>
              <w:pStyle w:val="Compact"/>
            </w:pPr>
            <w:r>
              <w:t xml:space="preserve">0.943</w:t>
            </w:r>
          </w:p>
        </w:tc>
        <w:tc>
          <w:tcPr/>
          <w:p>
            <w:pPr>
              <w:pStyle w:val="Compact"/>
            </w:pPr>
            <w:r>
              <w:t xml:space="preserve">0.917</w:t>
            </w:r>
          </w:p>
        </w:tc>
        <w:tc>
          <w:tcPr/>
          <w:p>
            <w:pPr>
              <w:pStyle w:val="Compact"/>
            </w:pPr>
            <w:r>
              <w:t xml:space="preserve">0.173</w:t>
            </w:r>
          </w:p>
        </w:tc>
        <w:tc>
          <w:tcPr/>
          <w:p>
            <w:pPr>
              <w:pStyle w:val="Compact"/>
            </w:pPr>
            <w:r>
              <w:t xml:space="preserve">0.967</w:t>
            </w:r>
          </w:p>
        </w:tc>
        <w:tc>
          <w:tcPr/>
          <w:p>
            <w:pPr>
              <w:pStyle w:val="Compact"/>
            </w:pPr>
            <w:r>
              <w:t xml:space="preserve">0.910</w:t>
            </w:r>
          </w:p>
        </w:tc>
        <w:tc>
          <w:tcPr/>
          <w:p>
            <w:pPr>
              <w:pStyle w:val="Compact"/>
            </w:pPr>
            <w:r>
              <w:t xml:space="preserve">0.173</w:t>
            </w:r>
          </w:p>
        </w:tc>
      </w:tr>
      <w:tr>
        <w:tc>
          <w:tcPr/>
          <w:p>
            <w:pPr>
              <w:pStyle w:val="Compact"/>
            </w:pPr>
            <w:r>
              <w:t xml:space="preserve">θ7</w:t>
            </w:r>
          </w:p>
        </w:tc>
        <w:tc>
          <w:tcPr/>
          <w:p>
            <w:pPr>
              <w:pStyle w:val="Compact"/>
            </w:pPr>
            <w:r>
              <w:t xml:space="preserve">0.927</w:t>
            </w:r>
          </w:p>
        </w:tc>
        <w:tc>
          <w:tcPr/>
          <w:p>
            <w:pPr>
              <w:pStyle w:val="Compact"/>
            </w:pPr>
            <w:r>
              <w:t xml:space="preserve">0.867</w:t>
            </w:r>
          </w:p>
        </w:tc>
        <w:tc>
          <w:tcPr/>
          <w:p>
            <w:pPr>
              <w:pStyle w:val="Compact"/>
            </w:pPr>
            <w:r>
              <w:t xml:space="preserve">0.068</w:t>
            </w:r>
          </w:p>
        </w:tc>
        <w:tc>
          <w:tcPr/>
          <w:p>
            <w:pPr>
              <w:pStyle w:val="Compact"/>
            </w:pPr>
            <w:r>
              <w:t xml:space="preserve">0.927</w:t>
            </w:r>
          </w:p>
        </w:tc>
        <w:tc>
          <w:tcPr/>
          <w:p>
            <w:pPr>
              <w:pStyle w:val="Compact"/>
            </w:pPr>
            <w:r>
              <w:t xml:space="preserve">0.880</w:t>
            </w:r>
          </w:p>
        </w:tc>
        <w:tc>
          <w:tcPr/>
          <w:p>
            <w:pPr>
              <w:pStyle w:val="Compact"/>
            </w:pPr>
            <w:r>
              <w:t xml:space="preserve">0.070</w:t>
            </w:r>
          </w:p>
        </w:tc>
      </w:tr>
      <w:tr>
        <w:tc>
          <w:tcPr/>
          <w:p>
            <w:pPr>
              <w:pStyle w:val="Compact"/>
            </w:pPr>
            <w:r>
              <w:t xml:space="preserve">θ8</w:t>
            </w:r>
          </w:p>
        </w:tc>
        <w:tc>
          <w:tcPr/>
          <w:p>
            <w:pPr>
              <w:pStyle w:val="Compact"/>
            </w:pPr>
            <w:r>
              <w:t xml:space="preserve">0.963</w:t>
            </w:r>
          </w:p>
        </w:tc>
        <w:tc>
          <w:tcPr/>
          <w:p>
            <w:pPr>
              <w:pStyle w:val="Compact"/>
            </w:pPr>
            <w:r>
              <w:t xml:space="preserve">0.927</w:t>
            </w:r>
          </w:p>
        </w:tc>
        <w:tc>
          <w:tcPr/>
          <w:p>
            <w:pPr>
              <w:pStyle w:val="Compact"/>
            </w:pPr>
            <w:r>
              <w:t xml:space="preserve">0.062</w:t>
            </w:r>
          </w:p>
        </w:tc>
        <w:tc>
          <w:tcPr/>
          <w:p>
            <w:pPr>
              <w:pStyle w:val="Compact"/>
            </w:pPr>
            <w:r>
              <w:t xml:space="preserve">0.960</w:t>
            </w:r>
          </w:p>
        </w:tc>
        <w:tc>
          <w:tcPr/>
          <w:p>
            <w:pPr>
              <w:pStyle w:val="Compact"/>
            </w:pPr>
            <w:r>
              <w:t xml:space="preserve">0.900</w:t>
            </w:r>
          </w:p>
        </w:tc>
        <w:tc>
          <w:tcPr/>
          <w:p>
            <w:pPr>
              <w:pStyle w:val="Compact"/>
            </w:pPr>
            <w:r>
              <w:t xml:space="preserve">0.064</w:t>
            </w:r>
          </w:p>
        </w:tc>
      </w:tr>
      <w:tr>
        <w:tc>
          <w:tcPr/>
          <w:p>
            <w:pPr>
              <w:pStyle w:val="Compact"/>
            </w:pPr>
            <w:r>
              <w:t xml:space="preserve">θ9</w:t>
            </w:r>
          </w:p>
        </w:tc>
        <w:tc>
          <w:tcPr/>
          <w:p>
            <w:pPr>
              <w:pStyle w:val="Compact"/>
            </w:pPr>
            <w:r>
              <w:t xml:space="preserve">0.943</w:t>
            </w:r>
          </w:p>
        </w:tc>
        <w:tc>
          <w:tcPr/>
          <w:p>
            <w:pPr>
              <w:pStyle w:val="Compact"/>
            </w:pPr>
            <w:r>
              <w:t xml:space="preserve">0.873</w:t>
            </w:r>
          </w:p>
        </w:tc>
        <w:tc>
          <w:tcPr/>
          <w:p>
            <w:pPr>
              <w:pStyle w:val="Compact"/>
            </w:pPr>
            <w:r>
              <w:t xml:space="preserve">0.143</w:t>
            </w:r>
          </w:p>
        </w:tc>
        <w:tc>
          <w:tcPr/>
          <w:p>
            <w:pPr>
              <w:pStyle w:val="Compact"/>
            </w:pPr>
            <w:r>
              <w:t xml:space="preserve">0.953</w:t>
            </w:r>
          </w:p>
        </w:tc>
        <w:tc>
          <w:tcPr/>
          <w:p>
            <w:pPr>
              <w:pStyle w:val="Compact"/>
            </w:pPr>
            <w:r>
              <w:t xml:space="preserve">0.913</w:t>
            </w:r>
          </w:p>
        </w:tc>
        <w:tc>
          <w:tcPr/>
          <w:p>
            <w:pPr>
              <w:pStyle w:val="Compact"/>
            </w:pPr>
            <w:r>
              <w:t xml:space="preserve">0.134</w:t>
            </w:r>
          </w:p>
        </w:tc>
      </w:tr>
      <w:tr>
        <w:tc>
          <w:tcPr/>
          <w:p>
            <w:pPr>
              <w:pStyle w:val="Compact"/>
            </w:pPr>
            <w:r>
              <w:t xml:space="preserve">θ10</w:t>
            </w:r>
          </w:p>
        </w:tc>
        <w:tc>
          <w:tcPr/>
          <w:p>
            <w:pPr>
              <w:pStyle w:val="Compact"/>
            </w:pPr>
            <w:r>
              <w:t xml:space="preserve">0.953</w:t>
            </w:r>
          </w:p>
        </w:tc>
        <w:tc>
          <w:tcPr/>
          <w:p>
            <w:pPr>
              <w:pStyle w:val="Compact"/>
            </w:pPr>
            <w:r>
              <w:t xml:space="preserve">0.920</w:t>
            </w:r>
          </w:p>
        </w:tc>
        <w:tc>
          <w:tcPr/>
          <w:p>
            <w:pPr>
              <w:pStyle w:val="Compact"/>
            </w:pPr>
            <w:r>
              <w:t xml:space="preserve">0.131</w:t>
            </w:r>
          </w:p>
        </w:tc>
        <w:tc>
          <w:tcPr/>
          <w:p>
            <w:pPr>
              <w:pStyle w:val="Compact"/>
            </w:pPr>
            <w:r>
              <w:t xml:space="preserve">0.967</w:t>
            </w:r>
          </w:p>
        </w:tc>
        <w:tc>
          <w:tcPr/>
          <w:p>
            <w:pPr>
              <w:pStyle w:val="Compact"/>
            </w:pPr>
            <w:r>
              <w:t xml:space="preserve">0.923</w:t>
            </w:r>
          </w:p>
        </w:tc>
        <w:tc>
          <w:tcPr/>
          <w:p>
            <w:pPr>
              <w:pStyle w:val="Compact"/>
            </w:pPr>
            <w:r>
              <w:t xml:space="preserve">0.137</w:t>
            </w:r>
          </w:p>
        </w:tc>
      </w:tr>
      <w:tr>
        <w:tc>
          <w:tcPr/>
          <w:p>
            <w:pPr>
              <w:pStyle w:val="Compact"/>
            </w:pPr>
            <w:r>
              <w:t xml:space="preserve">θ11</w:t>
            </w:r>
          </w:p>
        </w:tc>
        <w:tc>
          <w:tcPr/>
          <w:p>
            <w:pPr>
              <w:pStyle w:val="Compact"/>
            </w:pPr>
            <w:r>
              <w:t xml:space="preserve">0.973</w:t>
            </w:r>
          </w:p>
        </w:tc>
        <w:tc>
          <w:tcPr/>
          <w:p>
            <w:pPr>
              <w:pStyle w:val="Compact"/>
            </w:pPr>
            <w:r>
              <w:t xml:space="preserve">0.937</w:t>
            </w:r>
          </w:p>
        </w:tc>
        <w:tc>
          <w:tcPr/>
          <w:p>
            <w:pPr>
              <w:pStyle w:val="Compact"/>
            </w:pPr>
            <w:r>
              <w:t xml:space="preserve">0.117</w:t>
            </w:r>
          </w:p>
        </w:tc>
        <w:tc>
          <w:tcPr/>
          <w:p>
            <w:pPr>
              <w:pStyle w:val="Compact"/>
            </w:pPr>
            <w:r>
              <w:t xml:space="preserve">0.927</w:t>
            </w:r>
          </w:p>
        </w:tc>
        <w:tc>
          <w:tcPr/>
          <w:p>
            <w:pPr>
              <w:pStyle w:val="Compact"/>
            </w:pPr>
            <w:r>
              <w:t xml:space="preserve">0.883</w:t>
            </w:r>
          </w:p>
        </w:tc>
        <w:tc>
          <w:tcPr/>
          <w:p>
            <w:pPr>
              <w:pStyle w:val="Compact"/>
            </w:pPr>
            <w:r>
              <w:t xml:space="preserve">0.115</w:t>
            </w:r>
          </w:p>
        </w:tc>
      </w:tr>
      <w:tr>
        <w:tc>
          <w:tcPr/>
          <w:p>
            <w:pPr>
              <w:pStyle w:val="Compact"/>
            </w:pPr>
            <w:r>
              <w:t xml:space="preserve">θ12</w:t>
            </w:r>
          </w:p>
        </w:tc>
        <w:tc>
          <w:tcPr/>
          <w:p>
            <w:pPr>
              <w:pStyle w:val="Compact"/>
            </w:pPr>
            <w:r>
              <w:t xml:space="preserve">0.943</w:t>
            </w:r>
          </w:p>
        </w:tc>
        <w:tc>
          <w:tcPr/>
          <w:p>
            <w:pPr>
              <w:pStyle w:val="Compact"/>
            </w:pPr>
            <w:r>
              <w:t xml:space="preserve">0.887</w:t>
            </w:r>
          </w:p>
        </w:tc>
        <w:tc>
          <w:tcPr/>
          <w:p>
            <w:pPr>
              <w:pStyle w:val="Compact"/>
            </w:pPr>
            <w:r>
              <w:t xml:space="preserve">0.145</w:t>
            </w:r>
          </w:p>
        </w:tc>
        <w:tc>
          <w:tcPr/>
          <w:p>
            <w:pPr>
              <w:pStyle w:val="Compact"/>
            </w:pPr>
            <w:r>
              <w:t xml:space="preserve">0.943</w:t>
            </w:r>
          </w:p>
        </w:tc>
        <w:tc>
          <w:tcPr/>
          <w:p>
            <w:pPr>
              <w:pStyle w:val="Compact"/>
            </w:pPr>
            <w:r>
              <w:t xml:space="preserve">0.880</w:t>
            </w:r>
          </w:p>
        </w:tc>
        <w:tc>
          <w:tcPr/>
          <w:p>
            <w:pPr>
              <w:pStyle w:val="Compact"/>
            </w:pPr>
            <w:r>
              <w:t xml:space="preserve">0.141</w:t>
            </w:r>
          </w:p>
        </w:tc>
      </w:tr>
    </w:tbl>
    <w:bookmarkEnd w:id="18"/>
    <w:bookmarkStart w:id="19" w:name="posterior-distribution"/>
    <w:p>
      <w:pPr>
        <w:pStyle w:val="Heading2"/>
      </w:pPr>
      <w:r>
        <w:t xml:space="preserve">2.5 Posterior distribution</w:t>
      </w:r>
    </w:p>
    <w:p>
      <w:pPr>
        <w:pStyle w:val="FirstParagraph"/>
      </w:pPr>
      <w:r>
        <w:t xml:space="preserve">Table S4 gives the posterior of each parameter by seed and pooled. As a check we also ran a Markov chain Monte Carlo sampler with four chains of 120,000 iterations each, after 20,000 burn in iterations. All parameters had an effective sample size above 10,000 and R-hat below 1.001. MCMC medians differed from pooled NPE medians by at most 0.02 on the log scale.</w:t>
      </w:r>
    </w:p>
    <w:p>
      <w:pPr>
        <w:pStyle w:val="BodyText"/>
      </w:pPr>
      <w:r>
        <w:rPr>
          <w:b/>
          <w:bCs/>
        </w:rPr>
        <w:t xml:space="preserve">Table S4. Posterior median (95% interval) of the calibrated log scale parameters.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NPE seed 1</w:t>
            </w:r>
          </w:p>
        </w:tc>
        <w:tc>
          <w:tcPr/>
          <w:p>
            <w:pPr>
              <w:pStyle w:val="Compact"/>
            </w:pPr>
            <w:r>
              <w:t xml:space="preserve">NPE seed 2</w:t>
            </w:r>
          </w:p>
        </w:tc>
        <w:tc>
          <w:tcPr/>
          <w:p>
            <w:pPr>
              <w:pStyle w:val="Compact"/>
            </w:pPr>
            <w:r>
              <w:t xml:space="preserve">NPE pooled</w:t>
            </w:r>
          </w:p>
        </w:tc>
        <w:tc>
          <w:tcPr/>
          <w:p>
            <w:pPr>
              <w:pStyle w:val="Compact"/>
            </w:pPr>
            <w:r>
              <w:t xml:space="preserve">MCMC</w:t>
            </w:r>
          </w:p>
        </w:tc>
      </w:tr>
      <w:tr>
        <w:tc>
          <w:tcPr/>
          <w:p>
            <w:pPr>
              <w:pStyle w:val="Compact"/>
            </w:pPr>
            <w:r>
              <w:t xml:space="preserve">θ1</w:t>
            </w:r>
          </w:p>
        </w:tc>
        <w:tc>
          <w:tcPr/>
          <w:p>
            <w:pPr>
              <w:pStyle w:val="Compact"/>
            </w:pPr>
            <w:r>
              <w:t xml:space="preserve">Contact scale, age &lt;20</w:t>
            </w:r>
          </w:p>
        </w:tc>
        <w:tc>
          <w:tcPr/>
          <w:p>
            <w:pPr>
              <w:pStyle w:val="Compact"/>
            </w:pPr>
            <w:r>
              <w:t xml:space="preserve">1.865 (1.630 to 2.097)</w:t>
            </w:r>
          </w:p>
        </w:tc>
        <w:tc>
          <w:tcPr/>
          <w:p>
            <w:pPr>
              <w:pStyle w:val="Compact"/>
            </w:pPr>
            <w:r>
              <w:t xml:space="preserve">1.854 (1.617 to 2.092)</w:t>
            </w:r>
          </w:p>
        </w:tc>
        <w:tc>
          <w:tcPr/>
          <w:p>
            <w:pPr>
              <w:pStyle w:val="Compact"/>
            </w:pPr>
            <w:r>
              <w:t xml:space="preserve">1.859 (1.623 to 2.094)</w:t>
            </w:r>
          </w:p>
        </w:tc>
        <w:tc>
          <w:tcPr/>
          <w:p>
            <w:pPr>
              <w:pStyle w:val="Compact"/>
            </w:pPr>
            <w:r>
              <w:t xml:space="preserve">1.877 (1.575 to 2.155)</w:t>
            </w:r>
          </w:p>
        </w:tc>
      </w:tr>
      <w:tr>
        <w:tc>
          <w:tcPr/>
          <w:p>
            <w:pPr>
              <w:pStyle w:val="Compact"/>
            </w:pPr>
            <w:r>
              <w:t xml:space="preserve">θ2</w:t>
            </w:r>
          </w:p>
        </w:tc>
        <w:tc>
          <w:tcPr/>
          <w:p>
            <w:pPr>
              <w:pStyle w:val="Compact"/>
            </w:pPr>
            <w:r>
              <w:t xml:space="preserve">Contact scale, age 20–29</w:t>
            </w:r>
          </w:p>
        </w:tc>
        <w:tc>
          <w:tcPr/>
          <w:p>
            <w:pPr>
              <w:pStyle w:val="Compact"/>
            </w:pPr>
            <w:r>
              <w:t xml:space="preserve">-2.614 (-2.729 to -2.513)</w:t>
            </w:r>
          </w:p>
        </w:tc>
        <w:tc>
          <w:tcPr/>
          <w:p>
            <w:pPr>
              <w:pStyle w:val="Compact"/>
            </w:pPr>
            <w:r>
              <w:t xml:space="preserve">-2.607 (-2.725 to -2.513)</w:t>
            </w:r>
          </w:p>
        </w:tc>
        <w:tc>
          <w:tcPr/>
          <w:p>
            <w:pPr>
              <w:pStyle w:val="Compact"/>
            </w:pPr>
            <w:r>
              <w:t xml:space="preserve">-2.610 (-2.727 to -2.513)</w:t>
            </w:r>
          </w:p>
        </w:tc>
        <w:tc>
          <w:tcPr/>
          <w:p>
            <w:pPr>
              <w:pStyle w:val="Compact"/>
            </w:pPr>
            <w:r>
              <w:t xml:space="preserve">-2.617 (-2.750 to -2.492)</w:t>
            </w:r>
          </w:p>
        </w:tc>
      </w:tr>
      <w:tr>
        <w:tc>
          <w:tcPr/>
          <w:p>
            <w:pPr>
              <w:pStyle w:val="Compact"/>
            </w:pPr>
            <w:r>
              <w:t xml:space="preserve">θ3</w:t>
            </w:r>
          </w:p>
        </w:tc>
        <w:tc>
          <w:tcPr/>
          <w:p>
            <w:pPr>
              <w:pStyle w:val="Compact"/>
            </w:pPr>
            <w:r>
              <w:t xml:space="preserve">Contact scale, age 30–39</w:t>
            </w:r>
          </w:p>
        </w:tc>
        <w:tc>
          <w:tcPr/>
          <w:p>
            <w:pPr>
              <w:pStyle w:val="Compact"/>
            </w:pPr>
            <w:r>
              <w:t xml:space="preserve">-3.050 (-3.219 to -2.892)</w:t>
            </w:r>
          </w:p>
        </w:tc>
        <w:tc>
          <w:tcPr/>
          <w:p>
            <w:pPr>
              <w:pStyle w:val="Compact"/>
            </w:pPr>
            <w:r>
              <w:t xml:space="preserve">-3.059 (-3.221 to -2.908)</w:t>
            </w:r>
          </w:p>
        </w:tc>
        <w:tc>
          <w:tcPr/>
          <w:p>
            <w:pPr>
              <w:pStyle w:val="Compact"/>
            </w:pPr>
            <w:r>
              <w:t xml:space="preserve">-3.055 (-3.221 to -2.898)</w:t>
            </w:r>
          </w:p>
        </w:tc>
        <w:tc>
          <w:tcPr/>
          <w:p>
            <w:pPr>
              <w:pStyle w:val="Compact"/>
            </w:pPr>
            <w:r>
              <w:t xml:space="preserve">-3.054 (-3.257 to -2.877)</w:t>
            </w:r>
          </w:p>
        </w:tc>
      </w:tr>
      <w:tr>
        <w:tc>
          <w:tcPr/>
          <w:p>
            <w:pPr>
              <w:pStyle w:val="Compact"/>
            </w:pPr>
            <w:r>
              <w:t xml:space="preserve">θ4</w:t>
            </w:r>
          </w:p>
        </w:tc>
        <w:tc>
          <w:tcPr/>
          <w:p>
            <w:pPr>
              <w:pStyle w:val="Compact"/>
            </w:pPr>
            <w:r>
              <w:t xml:space="preserve">Contact scale, age 40–49</w:t>
            </w:r>
          </w:p>
        </w:tc>
        <w:tc>
          <w:tcPr/>
          <w:p>
            <w:pPr>
              <w:pStyle w:val="Compact"/>
            </w:pPr>
            <w:r>
              <w:t xml:space="preserve">-0.499 (-0.666 to -0.359)</w:t>
            </w:r>
          </w:p>
        </w:tc>
        <w:tc>
          <w:tcPr/>
          <w:p>
            <w:pPr>
              <w:pStyle w:val="Compact"/>
            </w:pPr>
            <w:r>
              <w:t xml:space="preserve">-0.510 (-0.654 to -0.376)</w:t>
            </w:r>
          </w:p>
        </w:tc>
        <w:tc>
          <w:tcPr/>
          <w:p>
            <w:pPr>
              <w:pStyle w:val="Compact"/>
            </w:pPr>
            <w:r>
              <w:t xml:space="preserve">-0.505 (-0.661 to -0.366)</w:t>
            </w:r>
          </w:p>
        </w:tc>
        <w:tc>
          <w:tcPr/>
          <w:p>
            <w:pPr>
              <w:pStyle w:val="Compact"/>
            </w:pPr>
            <w:r>
              <w:t xml:space="preserve">-0.500 (-0.688 to -0.323)</w:t>
            </w:r>
          </w:p>
        </w:tc>
      </w:tr>
      <w:tr>
        <w:tc>
          <w:tcPr/>
          <w:p>
            <w:pPr>
              <w:pStyle w:val="Compact"/>
            </w:pPr>
            <w:r>
              <w:t xml:space="preserve">θ5</w:t>
            </w:r>
          </w:p>
        </w:tc>
        <w:tc>
          <w:tcPr/>
          <w:p>
            <w:pPr>
              <w:pStyle w:val="Compact"/>
            </w:pPr>
            <w:r>
              <w:t xml:space="preserve">Contact scale, age 50–59</w:t>
            </w:r>
          </w:p>
        </w:tc>
        <w:tc>
          <w:tcPr/>
          <w:p>
            <w:pPr>
              <w:pStyle w:val="Compact"/>
            </w:pPr>
            <w:r>
              <w:t xml:space="preserve">2.241 (2.026 to 2.438)</w:t>
            </w:r>
          </w:p>
        </w:tc>
        <w:tc>
          <w:tcPr/>
          <w:p>
            <w:pPr>
              <w:pStyle w:val="Compact"/>
            </w:pPr>
            <w:r>
              <w:t xml:space="preserve">2.264 (2.061 to 2.476)</w:t>
            </w:r>
          </w:p>
        </w:tc>
        <w:tc>
          <w:tcPr/>
          <w:p>
            <w:pPr>
              <w:pStyle w:val="Compact"/>
            </w:pPr>
            <w:r>
              <w:t xml:space="preserve">2.253 (2.041 to 2.461)</w:t>
            </w:r>
          </w:p>
        </w:tc>
        <w:tc>
          <w:tcPr/>
          <w:p>
            <w:pPr>
              <w:pStyle w:val="Compact"/>
            </w:pPr>
            <w:r>
              <w:t xml:space="preserve">2.261 (1.998 to 2.508)</w:t>
            </w:r>
          </w:p>
        </w:tc>
      </w:tr>
      <w:tr>
        <w:tc>
          <w:tcPr/>
          <w:p>
            <w:pPr>
              <w:pStyle w:val="Compact"/>
            </w:pPr>
            <w:r>
              <w:t xml:space="preserve">θ6</w:t>
            </w:r>
          </w:p>
        </w:tc>
        <w:tc>
          <w:tcPr/>
          <w:p>
            <w:pPr>
              <w:pStyle w:val="Compact"/>
            </w:pPr>
            <w:r>
              <w:t xml:space="preserve">Contact scale, age 60+</w:t>
            </w:r>
          </w:p>
        </w:tc>
        <w:tc>
          <w:tcPr/>
          <w:p>
            <w:pPr>
              <w:pStyle w:val="Compact"/>
            </w:pPr>
            <w:r>
              <w:t xml:space="preserve">0.479 (0.137 to 0.819)</w:t>
            </w:r>
          </w:p>
        </w:tc>
        <w:tc>
          <w:tcPr/>
          <w:p>
            <w:pPr>
              <w:pStyle w:val="Compact"/>
            </w:pPr>
            <w:r>
              <w:t xml:space="preserve">0.489 (0.155 to 0.828)</w:t>
            </w:r>
          </w:p>
        </w:tc>
        <w:tc>
          <w:tcPr/>
          <w:p>
            <w:pPr>
              <w:pStyle w:val="Compact"/>
            </w:pPr>
            <w:r>
              <w:t xml:space="preserve">0.484 (0.144 to 0.824)</w:t>
            </w:r>
          </w:p>
        </w:tc>
        <w:tc>
          <w:tcPr/>
          <w:p>
            <w:pPr>
              <w:pStyle w:val="Compact"/>
            </w:pPr>
            <w:r>
              <w:t xml:space="preserve">0.488 (0.105 to 0.867)</w:t>
            </w:r>
          </w:p>
        </w:tc>
      </w:tr>
      <w:tr>
        <w:tc>
          <w:tcPr/>
          <w:p>
            <w:pPr>
              <w:pStyle w:val="Compact"/>
            </w:pPr>
            <w:r>
              <w:t xml:space="preserve">θ7</w:t>
            </w:r>
          </w:p>
        </w:tc>
        <w:tc>
          <w:tcPr/>
          <w:p>
            <w:pPr>
              <w:pStyle w:val="Compact"/>
            </w:pPr>
            <w:r>
              <w:t xml:space="preserve">Entry scale, age &lt;20</w:t>
            </w:r>
          </w:p>
        </w:tc>
        <w:tc>
          <w:tcPr/>
          <w:p>
            <w:pPr>
              <w:pStyle w:val="Compact"/>
            </w:pPr>
            <w:r>
              <w:t xml:space="preserve">-1.852 (-1.986 to -1.723)</w:t>
            </w:r>
          </w:p>
        </w:tc>
        <w:tc>
          <w:tcPr/>
          <w:p>
            <w:pPr>
              <w:pStyle w:val="Compact"/>
            </w:pPr>
            <w:r>
              <w:t xml:space="preserve">-1.861 (-2.000 to -1.724)</w:t>
            </w:r>
          </w:p>
        </w:tc>
        <w:tc>
          <w:tcPr/>
          <w:p>
            <w:pPr>
              <w:pStyle w:val="Compact"/>
            </w:pPr>
            <w:r>
              <w:t xml:space="preserve">-1.857 (-1.993 to -1.723)</w:t>
            </w:r>
          </w:p>
        </w:tc>
        <w:tc>
          <w:tcPr/>
          <w:p>
            <w:pPr>
              <w:pStyle w:val="Compact"/>
            </w:pPr>
            <w:r>
              <w:t xml:space="preserve">-1.857 (-2.032 to -1.681)</w:t>
            </w:r>
          </w:p>
        </w:tc>
      </w:tr>
      <w:tr>
        <w:tc>
          <w:tcPr/>
          <w:p>
            <w:pPr>
              <w:pStyle w:val="Compact"/>
            </w:pPr>
            <w:r>
              <w:t xml:space="preserve">θ8</w:t>
            </w:r>
          </w:p>
        </w:tc>
        <w:tc>
          <w:tcPr/>
          <w:p>
            <w:pPr>
              <w:pStyle w:val="Compact"/>
            </w:pPr>
            <w:r>
              <w:t xml:space="preserve">Entry scale, age 20–29</w:t>
            </w:r>
          </w:p>
        </w:tc>
        <w:tc>
          <w:tcPr/>
          <w:p>
            <w:pPr>
              <w:pStyle w:val="Compact"/>
            </w:pPr>
            <w:r>
              <w:t xml:space="preserve">-0.329 (-0.452 to -0.211)</w:t>
            </w:r>
          </w:p>
        </w:tc>
        <w:tc>
          <w:tcPr/>
          <w:p>
            <w:pPr>
              <w:pStyle w:val="Compact"/>
            </w:pPr>
            <w:r>
              <w:t xml:space="preserve">-0.330 (-0.456 to -0.206)</w:t>
            </w:r>
          </w:p>
        </w:tc>
        <w:tc>
          <w:tcPr/>
          <w:p>
            <w:pPr>
              <w:pStyle w:val="Compact"/>
            </w:pPr>
            <w:r>
              <w:t xml:space="preserve">-0.329 (-0.455 to -0.208)</w:t>
            </w:r>
          </w:p>
        </w:tc>
        <w:tc>
          <w:tcPr/>
          <w:p>
            <w:pPr>
              <w:pStyle w:val="Compact"/>
            </w:pPr>
            <w:r>
              <w:t xml:space="preserve">-0.322 (-0.479 to -0.170)</w:t>
            </w:r>
          </w:p>
        </w:tc>
      </w:tr>
      <w:tr>
        <w:tc>
          <w:tcPr/>
          <w:p>
            <w:pPr>
              <w:pStyle w:val="Compact"/>
            </w:pPr>
            <w:r>
              <w:t xml:space="preserve">θ9</w:t>
            </w:r>
          </w:p>
        </w:tc>
        <w:tc>
          <w:tcPr/>
          <w:p>
            <w:pPr>
              <w:pStyle w:val="Compact"/>
            </w:pPr>
            <w:r>
              <w:t xml:space="preserve">Entry scale, age 30–39</w:t>
            </w:r>
          </w:p>
        </w:tc>
        <w:tc>
          <w:tcPr/>
          <w:p>
            <w:pPr>
              <w:pStyle w:val="Compact"/>
            </w:pPr>
            <w:r>
              <w:t xml:space="preserve">-1.110 (-1.404 to -0.844)</w:t>
            </w:r>
          </w:p>
        </w:tc>
        <w:tc>
          <w:tcPr/>
          <w:p>
            <w:pPr>
              <w:pStyle w:val="Compact"/>
            </w:pPr>
            <w:r>
              <w:t xml:space="preserve">-1.115 (-1.380 to -0.851)</w:t>
            </w:r>
          </w:p>
        </w:tc>
        <w:tc>
          <w:tcPr/>
          <w:p>
            <w:pPr>
              <w:pStyle w:val="Compact"/>
            </w:pPr>
            <w:r>
              <w:t xml:space="preserve">-1.113 (-1.394 to -0.848)</w:t>
            </w:r>
          </w:p>
        </w:tc>
        <w:tc>
          <w:tcPr/>
          <w:p>
            <w:pPr>
              <w:pStyle w:val="Compact"/>
            </w:pPr>
            <w:r>
              <w:t xml:space="preserve">-1.117 (-1.462 to -0.792)</w:t>
            </w:r>
          </w:p>
        </w:tc>
      </w:tr>
      <w:tr>
        <w:tc>
          <w:tcPr/>
          <w:p>
            <w:pPr>
              <w:pStyle w:val="Compact"/>
            </w:pPr>
            <w:r>
              <w:t xml:space="preserve">θ10</w:t>
            </w:r>
          </w:p>
        </w:tc>
        <w:tc>
          <w:tcPr/>
          <w:p>
            <w:pPr>
              <w:pStyle w:val="Compact"/>
            </w:pPr>
            <w:r>
              <w:t xml:space="preserve">Entry scale, age 40–49</w:t>
            </w:r>
          </w:p>
        </w:tc>
        <w:tc>
          <w:tcPr/>
          <w:p>
            <w:pPr>
              <w:pStyle w:val="Compact"/>
            </w:pPr>
            <w:r>
              <w:t xml:space="preserve">-0.090 (-0.353 to 0.168)</w:t>
            </w:r>
          </w:p>
        </w:tc>
        <w:tc>
          <w:tcPr/>
          <w:p>
            <w:pPr>
              <w:pStyle w:val="Compact"/>
            </w:pPr>
            <w:r>
              <w:t xml:space="preserve">-0.083 (-0.351 to 0.190)</w:t>
            </w:r>
          </w:p>
        </w:tc>
        <w:tc>
          <w:tcPr/>
          <w:p>
            <w:pPr>
              <w:pStyle w:val="Compact"/>
            </w:pPr>
            <w:r>
              <w:t xml:space="preserve">-0.086 (-0.352 to 0.180)</w:t>
            </w:r>
          </w:p>
        </w:tc>
        <w:tc>
          <w:tcPr/>
          <w:p>
            <w:pPr>
              <w:pStyle w:val="Compact"/>
            </w:pPr>
            <w:r>
              <w:t xml:space="preserve">-0.082 (-0.413 to 0.220)</w:t>
            </w:r>
          </w:p>
        </w:tc>
      </w:tr>
      <w:tr>
        <w:tc>
          <w:tcPr/>
          <w:p>
            <w:pPr>
              <w:pStyle w:val="Compact"/>
            </w:pPr>
            <w:r>
              <w:t xml:space="preserve">θ11</w:t>
            </w:r>
          </w:p>
        </w:tc>
        <w:tc>
          <w:tcPr/>
          <w:p>
            <w:pPr>
              <w:pStyle w:val="Compact"/>
            </w:pPr>
            <w:r>
              <w:t xml:space="preserve">Entry scale, age 50–59</w:t>
            </w:r>
          </w:p>
        </w:tc>
        <w:tc>
          <w:tcPr/>
          <w:p>
            <w:pPr>
              <w:pStyle w:val="Compact"/>
            </w:pPr>
            <w:r>
              <w:t xml:space="preserve">1.497 (1.271 to 1.728)</w:t>
            </w:r>
          </w:p>
        </w:tc>
        <w:tc>
          <w:tcPr/>
          <w:p>
            <w:pPr>
              <w:pStyle w:val="Compact"/>
            </w:pPr>
            <w:r>
              <w:t xml:space="preserve">1.469 (1.236 to 1.684)</w:t>
            </w:r>
          </w:p>
        </w:tc>
        <w:tc>
          <w:tcPr/>
          <w:p>
            <w:pPr>
              <w:pStyle w:val="Compact"/>
            </w:pPr>
            <w:r>
              <w:t xml:space="preserve">1.483 (1.252 to 1.712)</w:t>
            </w:r>
          </w:p>
        </w:tc>
        <w:tc>
          <w:tcPr/>
          <w:p>
            <w:pPr>
              <w:pStyle w:val="Compact"/>
            </w:pPr>
            <w:r>
              <w:t xml:space="preserve">1.490 (1.208 to 1.750)</w:t>
            </w:r>
          </w:p>
        </w:tc>
      </w:tr>
      <w:tr>
        <w:tc>
          <w:tcPr/>
          <w:p>
            <w:pPr>
              <w:pStyle w:val="Compact"/>
            </w:pPr>
            <w:r>
              <w:t xml:space="preserve">θ12</w:t>
            </w:r>
          </w:p>
        </w:tc>
        <w:tc>
          <w:tcPr/>
          <w:p>
            <w:pPr>
              <w:pStyle w:val="Compact"/>
            </w:pPr>
            <w:r>
              <w:t xml:space="preserve">Entry scale, age 60+</w:t>
            </w:r>
          </w:p>
        </w:tc>
        <w:tc>
          <w:tcPr/>
          <w:p>
            <w:pPr>
              <w:pStyle w:val="Compact"/>
            </w:pPr>
            <w:r>
              <w:t xml:space="preserve">3.653 (3.357 to 3.928)</w:t>
            </w:r>
          </w:p>
        </w:tc>
        <w:tc>
          <w:tcPr/>
          <w:p>
            <w:pPr>
              <w:pStyle w:val="Compact"/>
            </w:pPr>
            <w:r>
              <w:t xml:space="preserve">3.653 (3.368 to 3.918)</w:t>
            </w:r>
          </w:p>
        </w:tc>
        <w:tc>
          <w:tcPr/>
          <w:p>
            <w:pPr>
              <w:pStyle w:val="Compact"/>
            </w:pPr>
            <w:r>
              <w:t xml:space="preserve">3.653 (3.362 to 3.925)</w:t>
            </w:r>
          </w:p>
        </w:tc>
        <w:tc>
          <w:tcPr/>
          <w:p>
            <w:pPr>
              <w:pStyle w:val="Compact"/>
            </w:pPr>
            <w:r>
              <w:t xml:space="preserve">3.672 (3.319 to 4.006)</w:t>
            </w:r>
          </w:p>
        </w:tc>
      </w:tr>
    </w:tbl>
    <w:bookmarkEnd w:id="19"/>
    <w:bookmarkStart w:id="23" w:name="model-fit"/>
    <w:p>
      <w:pPr>
        <w:pStyle w:val="Heading2"/>
      </w:pPr>
      <w:r>
        <w:t xml:space="preserve">2.6 Model fit</w:t>
      </w:r>
    </w:p>
    <w:p>
      <w:pPr>
        <w:pStyle w:val="FirstParagraph"/>
      </w:pPr>
      <w:r>
        <w:t xml:space="preserve">Table S5 compares the targets with the best deterministic fit and the NPE 95% predictive interval. All 12 NPE and MCMC predictive intervals overlapped the target intervals. Fig S1 shows the fit.</w:t>
      </w:r>
    </w:p>
    <w:p>
      <w:pPr>
        <w:pStyle w:val="BodyText"/>
      </w:pPr>
      <w:r>
        <w:rPr>
          <w:b/>
          <w:bCs/>
        </w:rPr>
        <w:t xml:space="preserve">Table S5. Calibration targets and model fit,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group</w:t>
            </w:r>
          </w:p>
        </w:tc>
        <w:tc>
          <w:tcPr/>
          <w:p>
            <w:pPr>
              <w:pStyle w:val="Compact"/>
            </w:pPr>
            <w:r>
              <w:t xml:space="preserve">Seroprevalence target</w:t>
            </w:r>
          </w:p>
        </w:tc>
        <w:tc>
          <w:tcPr/>
          <w:p>
            <w:pPr>
              <w:pStyle w:val="Compact"/>
            </w:pPr>
            <w:r>
              <w:t xml:space="preserve">Best fit</w:t>
            </w:r>
          </w:p>
        </w:tc>
        <w:tc>
          <w:tcPr/>
          <w:p>
            <w:pPr>
              <w:pStyle w:val="Compact"/>
            </w:pPr>
            <w:r>
              <w:t xml:space="preserve">NPE 95% interval</w:t>
            </w:r>
          </w:p>
        </w:tc>
        <w:tc>
          <w:tcPr/>
          <w:p>
            <w:pPr>
              <w:pStyle w:val="Compact"/>
            </w:pPr>
            <w:r>
              <w:t xml:space="preserve">Population target</w:t>
            </w:r>
          </w:p>
        </w:tc>
        <w:tc>
          <w:tcPr/>
          <w:p>
            <w:pPr>
              <w:pStyle w:val="Compact"/>
            </w:pPr>
            <w:r>
              <w:t xml:space="preserve">Best fit</w:t>
            </w:r>
          </w:p>
        </w:tc>
        <w:tc>
          <w:tcPr/>
          <w:p>
            <w:pPr>
              <w:pStyle w:val="Compact"/>
            </w:pPr>
            <w:r>
              <w:t xml:space="preserve">NPE 95% interval</w:t>
            </w:r>
          </w:p>
        </w:tc>
      </w:tr>
      <w:tr>
        <w:tc>
          <w:tcPr/>
          <w:p>
            <w:pPr>
              <w:pStyle w:val="Compact"/>
            </w:pPr>
            <w:r>
              <w:t xml:space="preserve">&lt;20</w:t>
            </w:r>
          </w:p>
        </w:tc>
        <w:tc>
          <w:tcPr/>
          <w:p>
            <w:pPr>
              <w:pStyle w:val="Compact"/>
            </w:pPr>
            <w:r>
              <w:t xml:space="preserve">12.7%</w:t>
            </w:r>
          </w:p>
        </w:tc>
        <w:tc>
          <w:tcPr/>
          <w:p>
            <w:pPr>
              <w:pStyle w:val="Compact"/>
            </w:pPr>
            <w:r>
              <w:t xml:space="preserve">13.1%</w:t>
            </w:r>
          </w:p>
        </w:tc>
        <w:tc>
          <w:tcPr/>
          <w:p>
            <w:pPr>
              <w:pStyle w:val="Compact"/>
            </w:pPr>
            <w:r>
              <w:t xml:space="preserve">9.5% to 16.9%</w:t>
            </w:r>
          </w:p>
        </w:tc>
        <w:tc>
          <w:tcPr/>
          <w:p>
            <w:pPr>
              <w:pStyle w:val="Compact"/>
            </w:pPr>
            <w:r>
              <w:t xml:space="preserve">102</w:t>
            </w:r>
          </w:p>
        </w:tc>
        <w:tc>
          <w:tcPr/>
          <w:p>
            <w:pPr>
              <w:pStyle w:val="Compact"/>
            </w:pPr>
            <w:r>
              <w:t xml:space="preserve">103</w:t>
            </w:r>
          </w:p>
        </w:tc>
        <w:tc>
          <w:tcPr/>
          <w:p>
            <w:pPr>
              <w:pStyle w:val="Compact"/>
            </w:pPr>
            <w:r>
              <w:t xml:space="preserve">90 to 118</w:t>
            </w:r>
          </w:p>
        </w:tc>
      </w:tr>
      <w:tr>
        <w:tc>
          <w:tcPr/>
          <w:p>
            <w:pPr>
              <w:pStyle w:val="Compact"/>
            </w:pPr>
            <w:r>
              <w:t xml:space="preserve">20-29</w:t>
            </w:r>
          </w:p>
        </w:tc>
        <w:tc>
          <w:tcPr/>
          <w:p>
            <w:pPr>
              <w:pStyle w:val="Compact"/>
            </w:pPr>
            <w:r>
              <w:t xml:space="preserve">19.2%</w:t>
            </w:r>
          </w:p>
        </w:tc>
        <w:tc>
          <w:tcPr/>
          <w:p>
            <w:pPr>
              <w:pStyle w:val="Compact"/>
            </w:pPr>
            <w:r>
              <w:t xml:space="preserve">19.7%</w:t>
            </w:r>
          </w:p>
        </w:tc>
        <w:tc>
          <w:tcPr/>
          <w:p>
            <w:pPr>
              <w:pStyle w:val="Compact"/>
            </w:pPr>
            <w:r>
              <w:t xml:space="preserve">17.5% to 21.1%</w:t>
            </w:r>
          </w:p>
        </w:tc>
        <w:tc>
          <w:tcPr/>
          <w:p>
            <w:pPr>
              <w:pStyle w:val="Compact"/>
            </w:pPr>
            <w:r>
              <w:t xml:space="preserve">1001</w:t>
            </w:r>
          </w:p>
        </w:tc>
        <w:tc>
          <w:tcPr/>
          <w:p>
            <w:pPr>
              <w:pStyle w:val="Compact"/>
            </w:pPr>
            <w:r>
              <w:t xml:space="preserve">973</w:t>
            </w:r>
          </w:p>
        </w:tc>
        <w:tc>
          <w:tcPr/>
          <w:p>
            <w:pPr>
              <w:pStyle w:val="Compact"/>
            </w:pPr>
            <w:r>
              <w:t xml:space="preserve">862 to 1090</w:t>
            </w:r>
          </w:p>
        </w:tc>
      </w:tr>
      <w:tr>
        <w:tc>
          <w:tcPr/>
          <w:p>
            <w:pPr>
              <w:pStyle w:val="Compact"/>
            </w:pPr>
            <w:r>
              <w:t xml:space="preserve">30-39</w:t>
            </w:r>
          </w:p>
        </w:tc>
        <w:tc>
          <w:tcPr/>
          <w:p>
            <w:pPr>
              <w:pStyle w:val="Compact"/>
            </w:pPr>
            <w:r>
              <w:t xml:space="preserve">30.0%</w:t>
            </w:r>
          </w:p>
        </w:tc>
        <w:tc>
          <w:tcPr/>
          <w:p>
            <w:pPr>
              <w:pStyle w:val="Compact"/>
            </w:pPr>
            <w:r>
              <w:t xml:space="preserve">29.7%</w:t>
            </w:r>
          </w:p>
        </w:tc>
        <w:tc>
          <w:tcPr/>
          <w:p>
            <w:pPr>
              <w:pStyle w:val="Compact"/>
            </w:pPr>
            <w:r>
              <w:t xml:space="preserve">27.8% to 32.2%</w:t>
            </w:r>
          </w:p>
        </w:tc>
        <w:tc>
          <w:tcPr/>
          <w:p>
            <w:pPr>
              <w:pStyle w:val="Compact"/>
            </w:pPr>
            <w:r>
              <w:t xml:space="preserve">806</w:t>
            </w:r>
          </w:p>
        </w:tc>
        <w:tc>
          <w:tcPr/>
          <w:p>
            <w:pPr>
              <w:pStyle w:val="Compact"/>
            </w:pPr>
            <w:r>
              <w:t xml:space="preserve">855</w:t>
            </w:r>
          </w:p>
        </w:tc>
        <w:tc>
          <w:tcPr/>
          <w:p>
            <w:pPr>
              <w:pStyle w:val="Compact"/>
            </w:pPr>
            <w:r>
              <w:t xml:space="preserve">771 to 926</w:t>
            </w:r>
          </w:p>
        </w:tc>
      </w:tr>
      <w:tr>
        <w:tc>
          <w:tcPr/>
          <w:p>
            <w:pPr>
              <w:pStyle w:val="Compact"/>
            </w:pPr>
            <w:r>
              <w:t xml:space="preserve">40-49</w:t>
            </w:r>
          </w:p>
        </w:tc>
        <w:tc>
          <w:tcPr/>
          <w:p>
            <w:pPr>
              <w:pStyle w:val="Compact"/>
            </w:pPr>
            <w:r>
              <w:t xml:space="preserve">48.3%</w:t>
            </w:r>
          </w:p>
        </w:tc>
        <w:tc>
          <w:tcPr/>
          <w:p>
            <w:pPr>
              <w:pStyle w:val="Compact"/>
            </w:pPr>
            <w:r>
              <w:t xml:space="preserve">48.7%</w:t>
            </w:r>
          </w:p>
        </w:tc>
        <w:tc>
          <w:tcPr/>
          <w:p>
            <w:pPr>
              <w:pStyle w:val="Compact"/>
            </w:pPr>
            <w:r>
              <w:t xml:space="preserve">46.1% to 50.9%</w:t>
            </w:r>
          </w:p>
        </w:tc>
        <w:tc>
          <w:tcPr/>
          <w:p>
            <w:pPr>
              <w:pStyle w:val="Compact"/>
            </w:pPr>
            <w:r>
              <w:t xml:space="preserve">754</w:t>
            </w:r>
          </w:p>
        </w:tc>
        <w:tc>
          <w:tcPr/>
          <w:p>
            <w:pPr>
              <w:pStyle w:val="Compact"/>
            </w:pPr>
            <w:r>
              <w:t xml:space="preserve">730</w:t>
            </w:r>
          </w:p>
        </w:tc>
        <w:tc>
          <w:tcPr/>
          <w:p>
            <w:pPr>
              <w:pStyle w:val="Compact"/>
            </w:pPr>
            <w:r>
              <w:t xml:space="preserve">664 to 803</w:t>
            </w:r>
          </w:p>
        </w:tc>
      </w:tr>
      <w:tr>
        <w:tc>
          <w:tcPr/>
          <w:p>
            <w:pPr>
              <w:pStyle w:val="Compact"/>
            </w:pPr>
            <w:r>
              <w:t xml:space="preserve">50-59</w:t>
            </w:r>
          </w:p>
        </w:tc>
        <w:tc>
          <w:tcPr/>
          <w:p>
            <w:pPr>
              <w:pStyle w:val="Compact"/>
            </w:pPr>
            <w:r>
              <w:t xml:space="preserve">53.1%</w:t>
            </w:r>
          </w:p>
        </w:tc>
        <w:tc>
          <w:tcPr/>
          <w:p>
            <w:pPr>
              <w:pStyle w:val="Compact"/>
            </w:pPr>
            <w:r>
              <w:t xml:space="preserve">52.5%</w:t>
            </w:r>
          </w:p>
        </w:tc>
        <w:tc>
          <w:tcPr/>
          <w:p>
            <w:pPr>
              <w:pStyle w:val="Compact"/>
            </w:pPr>
            <w:r>
              <w:t xml:space="preserve">49.8% to 55.1%</w:t>
            </w:r>
          </w:p>
        </w:tc>
        <w:tc>
          <w:tcPr/>
          <w:p>
            <w:pPr>
              <w:pStyle w:val="Compact"/>
            </w:pPr>
            <w:r>
              <w:t xml:space="preserve">557</w:t>
            </w:r>
          </w:p>
        </w:tc>
        <w:tc>
          <w:tcPr/>
          <w:p>
            <w:pPr>
              <w:pStyle w:val="Compact"/>
            </w:pPr>
            <w:r>
              <w:t xml:space="preserve">567</w:t>
            </w:r>
          </w:p>
        </w:tc>
        <w:tc>
          <w:tcPr/>
          <w:p>
            <w:pPr>
              <w:pStyle w:val="Compact"/>
            </w:pPr>
            <w:r>
              <w:t xml:space="preserve">497 to 600</w:t>
            </w:r>
          </w:p>
        </w:tc>
      </w:tr>
      <w:tr>
        <w:tc>
          <w:tcPr/>
          <w:p>
            <w:pPr>
              <w:pStyle w:val="Compact"/>
            </w:pPr>
            <w:r>
              <w:t xml:space="preserve">60+</w:t>
            </w:r>
          </w:p>
        </w:tc>
        <w:tc>
          <w:tcPr/>
          <w:p>
            <w:pPr>
              <w:pStyle w:val="Compact"/>
            </w:pPr>
            <w:r>
              <w:t xml:space="preserve">42.9%</w:t>
            </w:r>
          </w:p>
        </w:tc>
        <w:tc>
          <w:tcPr/>
          <w:p>
            <w:pPr>
              <w:pStyle w:val="Compact"/>
            </w:pPr>
            <w:r>
              <w:t xml:space="preserve">44.7%</w:t>
            </w:r>
          </w:p>
        </w:tc>
        <w:tc>
          <w:tcPr/>
          <w:p>
            <w:pPr>
              <w:pStyle w:val="Compact"/>
            </w:pPr>
            <w:r>
              <w:t xml:space="preserve">41.5% to 47.5%</w:t>
            </w:r>
          </w:p>
        </w:tc>
        <w:tc>
          <w:tcPr/>
          <w:p>
            <w:pPr>
              <w:pStyle w:val="Compact"/>
            </w:pPr>
            <w:r>
              <w:t xml:space="preserve">147</w:t>
            </w:r>
          </w:p>
        </w:tc>
        <w:tc>
          <w:tcPr/>
          <w:p>
            <w:pPr>
              <w:pStyle w:val="Compact"/>
            </w:pPr>
            <w:r>
              <w:t xml:space="preserve">158</w:t>
            </w:r>
          </w:p>
        </w:tc>
        <w:tc>
          <w:tcPr/>
          <w:p>
            <w:pPr>
              <w:pStyle w:val="Compact"/>
            </w:pPr>
            <w:r>
              <w:t xml:space="preserve">139 to 166</w:t>
            </w:r>
          </w:p>
        </w:tc>
      </w:tr>
    </w:tbl>
    <w:p>
      <w:pPr>
        <w:pStyle w:val="CaptionedFigure"/>
      </w:pPr>
      <w:r>
        <w:drawing>
          <wp:inline>
            <wp:extent cx="5334000" cy="3282461"/>
            <wp:effectExtent b="0" l="0" r="0" t="0"/>
            <wp:docPr descr="Fig S1. Calibration of age specific seroprevalence and prison population in 2015. NPE and MCMC predictive intervals are compared with target intervals." title="" id="21" name="Picture"/>
            <a:graphic>
              <a:graphicData uri="http://schemas.openxmlformats.org/drawingml/2006/picture">
                <pic:pic>
                  <pic:nvPicPr>
                    <pic:cNvPr descr="/Users/yichenhe/Documents/Work/HepC-Transimission-Modelling-feature-AddRecovery/figures/calibration_agepop.png" id="22" name="Picture"/>
                    <pic:cNvPicPr>
                      <a:picLocks noChangeArrowheads="1" noChangeAspect="1"/>
                    </pic:cNvPicPr>
                  </pic:nvPicPr>
                  <pic:blipFill>
                    <a:blip r:embed="rId20"/>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 S1. Calibration of age specific seroprevalence and prison population in 2015. NPE and MCMC predictive intervals are compared with target intervals.</w:t>
      </w:r>
    </w:p>
    <w:p>
      <w:pPr>
        <w:pStyle w:val="BodyText"/>
      </w:pPr>
      <w:r>
        <w:t xml:space="preserve">In 2015 the model estimated 1,386 (95% interval: 1,299–1,483) people in D, 3,340 (3,128–3,571) in J, 1,513 (1,407–1,631) in F and 14,680 (13,511–15,989) in X. The total was 20,915 (19,360–22,643) people with a history of injecting drugs. Of these, 4,241 (3,919–4,613) were viraemic.</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S6.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S7). In F and X, each person screened had one antibody test. Each expected antibody positive person had one RNA test. Each treatment start had one consultation and one full drug course. In J, each antibody positive person entering prison had one antibody test. Each treatment start in J had one RNA test,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[21]</w:t>
      </w:r>
      <w:r>
        <w:t xml:space="preserve">. This is USD 30,924 per course. We converted it at the 2025 average rate of 1.3066 Singapore dollars per US dollar</w:t>
      </w:r>
      <w:r>
        <w:t xml:space="preserve"> </w:t>
      </w:r>
      <w:r>
        <w:t xml:space="preserve">[22]</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S7.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[21]</w:t>
      </w:r>
      <w:r>
        <w:t xml:space="preserve">, antibody test and consultation</w:t>
      </w:r>
      <w:r>
        <w:t xml:space="preserve"> </w:t>
      </w:r>
      <w:r>
        <w:t xml:space="preserve">[23]</w:t>
      </w:r>
      <w:r>
        <w:t xml:space="preserve">, RNA test</w:t>
      </w:r>
      <w:r>
        <w:t xml:space="preserve"> </w:t>
      </w:r>
      <w:r>
        <w:t xml:space="preserve">[24]</w:t>
      </w:r>
      <w:r>
        <w:t xml:space="preserve">.</w:t>
      </w:r>
    </w:p>
    <w:bookmarkEnd w:id="28"/>
    <w:bookmarkEnd w:id="29"/>
    <w:bookmarkStart w:id="52"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S8.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75.9% (95% UI: 70.5%–79.8%)</w:t>
            </w:r>
          </w:p>
        </w:tc>
        <w:tc>
          <w:tcPr/>
          <w:p>
            <w:pPr>
              <w:pStyle w:val="Compact"/>
            </w:pPr>
            <w:r>
              <w:t xml:space="preserve">42.6% (95% UI: 41.8%–43.5%)</w:t>
            </w:r>
          </w:p>
        </w:tc>
        <w:tc>
          <w:tcPr/>
          <w:p>
            <w:pPr>
              <w:pStyle w:val="Compact"/>
            </w:pPr>
            <w:r>
              <w:t xml:space="preserve">0%</w:t>
            </w:r>
          </w:p>
        </w:tc>
        <w:tc>
          <w:tcPr/>
          <w:p>
            <w:pPr>
              <w:pStyle w:val="Compact"/>
            </w:pPr>
            <w:r>
              <w:t xml:space="preserve">76.4% (95% UI: 70.9%–80.2%)</w:t>
            </w:r>
          </w:p>
        </w:tc>
        <w:tc>
          <w:tcPr/>
          <w:p>
            <w:pPr>
              <w:pStyle w:val="Compact"/>
            </w:pPr>
            <w:r>
              <w:t xml:space="preserve">36.5% (95% UI: 35.9%–37.2%)</w:t>
            </w:r>
          </w:p>
        </w:tc>
      </w:tr>
      <w:tr>
        <w:tc>
          <w:tcPr/>
          <w:p>
            <w:pPr>
              <w:pStyle w:val="Compact"/>
            </w:pPr>
            <w:r>
              <w:t xml:space="preserve">J + 600/year, F 25%</w:t>
            </w:r>
          </w:p>
        </w:tc>
        <w:tc>
          <w:tcPr/>
          <w:p>
            <w:pPr>
              <w:pStyle w:val="Compact"/>
            </w:pPr>
            <w:r>
              <w:t xml:space="preserve">80.1% (95% UI: 75.3%–83.5%)</w:t>
            </w:r>
          </w:p>
        </w:tc>
        <w:tc>
          <w:tcPr/>
          <w:p>
            <w:pPr>
              <w:pStyle w:val="Compact"/>
            </w:pPr>
            <w:r>
              <w:t xml:space="preserve">46.6% (95% UI: 45.6%–47.5%)</w:t>
            </w:r>
          </w:p>
        </w:tc>
        <w:tc>
          <w:tcPr/>
          <w:p>
            <w:pPr>
              <w:pStyle w:val="Compact"/>
            </w:pPr>
            <w:r>
              <w:t xml:space="preserve">0%</w:t>
            </w:r>
          </w:p>
        </w:tc>
        <w:tc>
          <w:tcPr/>
          <w:p>
            <w:pPr>
              <w:pStyle w:val="Compact"/>
            </w:pPr>
            <w:r>
              <w:t xml:space="preserve">80.5% (95% UI: 75.7%–83.8%)</w:t>
            </w:r>
          </w:p>
        </w:tc>
        <w:tc>
          <w:tcPr/>
          <w:p>
            <w:pPr>
              <w:pStyle w:val="Compact"/>
            </w:pPr>
            <w:r>
              <w:t xml:space="preserve">41.0% (95% UI: 40.1%–41.8%)</w:t>
            </w:r>
          </w:p>
        </w:tc>
      </w:tr>
      <w:tr>
        <w:tc>
          <w:tcPr/>
          <w:p>
            <w:pPr>
              <w:pStyle w:val="Compact"/>
            </w:pPr>
            <w:r>
              <w:t xml:space="preserve">J + 1,000/year, F 25%</w:t>
            </w:r>
          </w:p>
        </w:tc>
        <w:tc>
          <w:tcPr/>
          <w:p>
            <w:pPr>
              <w:pStyle w:val="Compact"/>
            </w:pPr>
            <w:r>
              <w:t xml:space="preserve">82.5% (95% UI: 78.1%–85.5%)</w:t>
            </w:r>
          </w:p>
        </w:tc>
        <w:tc>
          <w:tcPr/>
          <w:p>
            <w:pPr>
              <w:pStyle w:val="Compact"/>
            </w:pPr>
            <w:r>
              <w:t xml:space="preserve">49.0% (95% UI: 47.9%–50.0%)</w:t>
            </w:r>
          </w:p>
        </w:tc>
        <w:tc>
          <w:tcPr/>
          <w:p>
            <w:pPr>
              <w:pStyle w:val="Compact"/>
            </w:pPr>
            <w:r>
              <w:t xml:space="preserve">0%</w:t>
            </w:r>
          </w:p>
        </w:tc>
        <w:tc>
          <w:tcPr/>
          <w:p>
            <w:pPr>
              <w:pStyle w:val="Compact"/>
            </w:pPr>
            <w:r>
              <w:t xml:space="preserve">82.7% (95% UI: 78.3%–85.8%)</w:t>
            </w:r>
          </w:p>
        </w:tc>
        <w:tc>
          <w:tcPr/>
          <w:p>
            <w:pPr>
              <w:pStyle w:val="Compact"/>
            </w:pPr>
            <w:r>
              <w:t xml:space="preserve">43.7% (95% UI: 42.7%–44.6%)</w:t>
            </w:r>
          </w:p>
        </w:tc>
      </w:tr>
      <w:tr>
        <w:tc>
          <w:tcPr/>
          <w:p>
            <w:pPr>
              <w:pStyle w:val="Compact"/>
            </w:pPr>
            <w:r>
              <w:t xml:space="preserve">J + 2,000/year, F 25%</w:t>
            </w:r>
          </w:p>
        </w:tc>
        <w:tc>
          <w:tcPr/>
          <w:p>
            <w:pPr>
              <w:pStyle w:val="Compact"/>
            </w:pPr>
            <w:r>
              <w:t xml:space="preserve">87.1% (95% UI: 83.6%–89.4%)</w:t>
            </w:r>
          </w:p>
        </w:tc>
        <w:tc>
          <w:tcPr/>
          <w:p>
            <w:pPr>
              <w:pStyle w:val="Compact"/>
            </w:pPr>
            <w:r>
              <w:t xml:space="preserve">54.3% (95% UI: 53.0%–55.4%)</w:t>
            </w:r>
          </w:p>
        </w:tc>
        <w:tc>
          <w:tcPr/>
          <w:p>
            <w:pPr>
              <w:pStyle w:val="Compact"/>
            </w:pPr>
            <w:r>
              <w:t xml:space="preserve">0%</w:t>
            </w:r>
          </w:p>
        </w:tc>
        <w:tc>
          <w:tcPr/>
          <w:p>
            <w:pPr>
              <w:pStyle w:val="Compact"/>
            </w:pPr>
            <w:r>
              <w:t xml:space="preserve">87.2% (95% UI: 83.7%–89.6%)</w:t>
            </w:r>
          </w:p>
        </w:tc>
        <w:tc>
          <w:tcPr/>
          <w:p>
            <w:pPr>
              <w:pStyle w:val="Compact"/>
            </w:pPr>
            <w:r>
              <w:t xml:space="preserve">49.6% (95% UI: 48.4%–50.8%)</w:t>
            </w:r>
          </w:p>
        </w:tc>
      </w:tr>
      <w:tr>
        <w:tc>
          <w:tcPr/>
          <w:p>
            <w:pPr>
              <w:pStyle w:val="Compact"/>
            </w:pPr>
            <w:r>
              <w:t xml:space="preserve">J + 5,000/year, F 25%</w:t>
            </w:r>
          </w:p>
        </w:tc>
        <w:tc>
          <w:tcPr/>
          <w:p>
            <w:pPr>
              <w:pStyle w:val="Compact"/>
            </w:pPr>
            <w:r>
              <w:t xml:space="preserve">93.3% (95% UI: 91.3%–94.5%)</w:t>
            </w:r>
          </w:p>
        </w:tc>
        <w:tc>
          <w:tcPr/>
          <w:p>
            <w:pPr>
              <w:pStyle w:val="Compact"/>
            </w:pPr>
            <w:r>
              <w:t xml:space="preserve">65.1% (95% UI: 63.7%–66.4%)</w:t>
            </w:r>
          </w:p>
        </w:tc>
        <w:tc>
          <w:tcPr/>
          <w:p>
            <w:pPr>
              <w:pStyle w:val="Compact"/>
            </w:pPr>
            <w:r>
              <w:t xml:space="preserve">56%</w:t>
            </w:r>
          </w:p>
        </w:tc>
        <w:tc>
          <w:tcPr/>
          <w:p>
            <w:pPr>
              <w:pStyle w:val="Compact"/>
            </w:pPr>
            <w:r>
              <w:t xml:space="preserve">93.3% (95% UI: 91.4%–94.6%)</w:t>
            </w:r>
          </w:p>
        </w:tc>
        <w:tc>
          <w:tcPr/>
          <w:p>
            <w:pPr>
              <w:pStyle w:val="Compact"/>
            </w:pPr>
            <w:r>
              <w:t xml:space="preserve">61.9% (95% UI: 60.4%–63.2%)</w:t>
            </w:r>
          </w:p>
        </w:tc>
      </w:tr>
      <w:tr>
        <w:tc>
          <w:tcPr/>
          <w:p>
            <w:pPr>
              <w:pStyle w:val="Compact"/>
            </w:pPr>
            <w:r>
              <w:t xml:space="preserve">J + 8,000/year, F 25%</w:t>
            </w:r>
          </w:p>
        </w:tc>
        <w:tc>
          <w:tcPr/>
          <w:p>
            <w:pPr>
              <w:pStyle w:val="Compact"/>
            </w:pPr>
            <w:r>
              <w:t xml:space="preserve">94.2% (95% UI: 92.5%–95.3%)</w:t>
            </w:r>
          </w:p>
        </w:tc>
        <w:tc>
          <w:tcPr/>
          <w:p>
            <w:pPr>
              <w:pStyle w:val="Compact"/>
            </w:pPr>
            <w:r>
              <w:t xml:space="preserve">70.7% (95% UI: 69.6%–71.7%)</w:t>
            </w:r>
          </w:p>
        </w:tc>
        <w:tc>
          <w:tcPr/>
          <w:p>
            <w:pPr>
              <w:pStyle w:val="Compact"/>
            </w:pPr>
            <w:r>
              <w:t xml:space="preserve">100%</w:t>
            </w:r>
          </w:p>
        </w:tc>
        <w:tc>
          <w:tcPr/>
          <w:p>
            <w:pPr>
              <w:pStyle w:val="Compact"/>
            </w:pPr>
            <w:r>
              <w:t xml:space="preserve">94.2% (95% UI: 92.5%–95.4%)</w:t>
            </w:r>
          </w:p>
        </w:tc>
        <w:tc>
          <w:tcPr/>
          <w:p>
            <w:pPr>
              <w:pStyle w:val="Compact"/>
            </w:pPr>
            <w:r>
              <w:t xml:space="preserve">68.2% (95% UI: 67.1%–69.2%)</w:t>
            </w:r>
          </w:p>
        </w:tc>
      </w:tr>
      <w:tr>
        <w:tc>
          <w:tcPr/>
          <w:p>
            <w:pPr>
              <w:pStyle w:val="Compact"/>
            </w:pPr>
            <w:r>
              <w:t xml:space="preserve">J + 600/year, F 50%</w:t>
            </w:r>
          </w:p>
        </w:tc>
        <w:tc>
          <w:tcPr/>
          <w:p>
            <w:pPr>
              <w:pStyle w:val="Compact"/>
            </w:pPr>
            <w:r>
              <w:t xml:space="preserve">83.5% (95% UI: 79.4%–86.4%)</w:t>
            </w:r>
          </w:p>
        </w:tc>
        <w:tc>
          <w:tcPr/>
          <w:p>
            <w:pPr>
              <w:pStyle w:val="Compact"/>
            </w:pPr>
            <w:r>
              <w:t xml:space="preserve">45.4% (95% UI: 44.5%–46.3%)</w:t>
            </w:r>
          </w:p>
        </w:tc>
        <w:tc>
          <w:tcPr/>
          <w:p>
            <w:pPr>
              <w:pStyle w:val="Compact"/>
            </w:pPr>
            <w:r>
              <w:t xml:space="preserve">0%</w:t>
            </w:r>
          </w:p>
        </w:tc>
        <w:tc>
          <w:tcPr/>
          <w:p>
            <w:pPr>
              <w:pStyle w:val="Compact"/>
            </w:pPr>
            <w:r>
              <w:t xml:space="preserve">83.8% (95% UI: 79.6%–86.6%)</w:t>
            </w:r>
          </w:p>
        </w:tc>
        <w:tc>
          <w:tcPr/>
          <w:p>
            <w:pPr>
              <w:pStyle w:val="Compact"/>
            </w:pPr>
            <w:r>
              <w:t xml:space="preserve">39.6% (95% UI: 38.8%–40.4%)</w:t>
            </w:r>
          </w:p>
        </w:tc>
      </w:tr>
      <w:tr>
        <w:tc>
          <w:tcPr/>
          <w:p>
            <w:pPr>
              <w:pStyle w:val="Compact"/>
            </w:pPr>
            <w:r>
              <w:t xml:space="preserve">J + 1,000/year, F 50%</w:t>
            </w:r>
          </w:p>
        </w:tc>
        <w:tc>
          <w:tcPr/>
          <w:p>
            <w:pPr>
              <w:pStyle w:val="Compact"/>
            </w:pPr>
            <w:r>
              <w:t xml:space="preserve">87.1% (95% UI: 83.6%–89.4%)</w:t>
            </w:r>
          </w:p>
        </w:tc>
        <w:tc>
          <w:tcPr/>
          <w:p>
            <w:pPr>
              <w:pStyle w:val="Compact"/>
            </w:pPr>
            <w:r>
              <w:t xml:space="preserve">47.1% (95% UI: 46.1%–48.1%)</w:t>
            </w:r>
          </w:p>
        </w:tc>
        <w:tc>
          <w:tcPr/>
          <w:p>
            <w:pPr>
              <w:pStyle w:val="Compact"/>
            </w:pPr>
            <w:r>
              <w:t xml:space="preserve">0%</w:t>
            </w:r>
          </w:p>
        </w:tc>
        <w:tc>
          <w:tcPr/>
          <w:p>
            <w:pPr>
              <w:pStyle w:val="Compact"/>
            </w:pPr>
            <w:r>
              <w:t xml:space="preserve">87.2% (95% UI: 83.7%–89.6%)</w:t>
            </w:r>
          </w:p>
        </w:tc>
        <w:tc>
          <w:tcPr/>
          <w:p>
            <w:pPr>
              <w:pStyle w:val="Compact"/>
            </w:pPr>
            <w:r>
              <w:t xml:space="preserve">41.6% (95% UI: 40.7%–42.4%)</w:t>
            </w:r>
          </w:p>
        </w:tc>
      </w:tr>
      <w:tr>
        <w:tc>
          <w:tcPr/>
          <w:p>
            <w:pPr>
              <w:pStyle w:val="Compact"/>
            </w:pPr>
            <w:r>
              <w:t xml:space="preserve">J + 2,000/year, F 50%</w:t>
            </w:r>
          </w:p>
        </w:tc>
        <w:tc>
          <w:tcPr/>
          <w:p>
            <w:pPr>
              <w:pStyle w:val="Compact"/>
            </w:pPr>
            <w:r>
              <w:t xml:space="preserve">92.0% (95% UI: 89.8%–93.5%)</w:t>
            </w:r>
          </w:p>
        </w:tc>
        <w:tc>
          <w:tcPr/>
          <w:p>
            <w:pPr>
              <w:pStyle w:val="Compact"/>
            </w:pPr>
            <w:r>
              <w:t xml:space="preserve">51.0% (95% UI: 49.9%–52.1%)</w:t>
            </w:r>
          </w:p>
        </w:tc>
        <w:tc>
          <w:tcPr/>
          <w:p>
            <w:pPr>
              <w:pStyle w:val="Compact"/>
            </w:pPr>
            <w:r>
              <w:t xml:space="preserve">0%</w:t>
            </w:r>
          </w:p>
        </w:tc>
        <w:tc>
          <w:tcPr/>
          <w:p>
            <w:pPr>
              <w:pStyle w:val="Compact"/>
            </w:pPr>
            <w:r>
              <w:t xml:space="preserve">92.1% (95% UI: 89.8%–93.7%)</w:t>
            </w:r>
          </w:p>
        </w:tc>
        <w:tc>
          <w:tcPr/>
          <w:p>
            <w:pPr>
              <w:pStyle w:val="Compact"/>
            </w:pPr>
            <w:r>
              <w:t xml:space="preserve">45.9% (95% UI: 44.9%–47.0%)</w:t>
            </w:r>
          </w:p>
        </w:tc>
      </w:tr>
      <w:tr>
        <w:tc>
          <w:tcPr/>
          <w:p>
            <w:pPr>
              <w:pStyle w:val="Compact"/>
            </w:pPr>
            <w:r>
              <w:t xml:space="preserve">J + 5,000/year, F 50%</w:t>
            </w:r>
          </w:p>
        </w:tc>
        <w:tc>
          <w:tcPr/>
          <w:p>
            <w:pPr>
              <w:pStyle w:val="Compact"/>
            </w:pPr>
            <w:r>
              <w:t xml:space="preserve">94.2% (95% UI: 92.5%–95.3%)</w:t>
            </w:r>
          </w:p>
        </w:tc>
        <w:tc>
          <w:tcPr/>
          <w:p>
            <w:pPr>
              <w:pStyle w:val="Compact"/>
            </w:pPr>
            <w:r>
              <w:t xml:space="preserve">60.0% (95% UI: 58.6%–61.3%)</w:t>
            </w:r>
          </w:p>
        </w:tc>
        <w:tc>
          <w:tcPr/>
          <w:p>
            <w:pPr>
              <w:pStyle w:val="Compact"/>
            </w:pPr>
            <w:r>
              <w:t xml:space="preserve">0%</w:t>
            </w:r>
          </w:p>
        </w:tc>
        <w:tc>
          <w:tcPr/>
          <w:p>
            <w:pPr>
              <w:pStyle w:val="Compact"/>
            </w:pPr>
            <w:r>
              <w:t xml:space="preserve">94.2% (95% UI: 92.5%–95.4%)</w:t>
            </w:r>
          </w:p>
        </w:tc>
        <w:tc>
          <w:tcPr/>
          <w:p>
            <w:pPr>
              <w:pStyle w:val="Compact"/>
            </w:pPr>
            <w:r>
              <w:t xml:space="preserve">56.0% (95% UI: 54.6%–57.4%)</w:t>
            </w:r>
          </w:p>
        </w:tc>
      </w:tr>
      <w:tr>
        <w:tc>
          <w:tcPr/>
          <w:p>
            <w:pPr>
              <w:pStyle w:val="Compact"/>
            </w:pPr>
            <w:r>
              <w:t xml:space="preserve">J + 8,000/year, F 50%</w:t>
            </w:r>
          </w:p>
        </w:tc>
        <w:tc>
          <w:tcPr/>
          <w:p>
            <w:pPr>
              <w:pStyle w:val="Compact"/>
            </w:pPr>
            <w:r>
              <w:t xml:space="preserve">94.2% (95% UI: 92.5%–95.3%)</w:t>
            </w:r>
          </w:p>
        </w:tc>
        <w:tc>
          <w:tcPr/>
          <w:p>
            <w:pPr>
              <w:pStyle w:val="Compact"/>
            </w:pPr>
            <w:r>
              <w:t xml:space="preserve">66.0% (95% UI: 64.6%–67.2%)</w:t>
            </w:r>
          </w:p>
        </w:tc>
        <w:tc>
          <w:tcPr/>
          <w:p>
            <w:pPr>
              <w:pStyle w:val="Compact"/>
            </w:pPr>
            <w:r>
              <w:t xml:space="preserve">92%</w:t>
            </w:r>
          </w:p>
        </w:tc>
        <w:tc>
          <w:tcPr/>
          <w:p>
            <w:pPr>
              <w:pStyle w:val="Compact"/>
            </w:pPr>
            <w:r>
              <w:t xml:space="preserve">94.2% (95% UI: 92.5%–95.4%)</w:t>
            </w:r>
          </w:p>
        </w:tc>
        <w:tc>
          <w:tcPr/>
          <w:p>
            <w:pPr>
              <w:pStyle w:val="Compact"/>
            </w:pPr>
            <w:r>
              <w:t xml:space="preserve">62.8% (95% UI: 61.4%–64.1%)</w:t>
            </w:r>
          </w:p>
        </w:tc>
      </w:tr>
      <w:tr>
        <w:tc>
          <w:tcPr/>
          <w:p>
            <w:pPr>
              <w:pStyle w:val="Compact"/>
            </w:pPr>
            <w:r>
              <w:t xml:space="preserve">J + 600/year, F 75%</w:t>
            </w:r>
          </w:p>
        </w:tc>
        <w:tc>
          <w:tcPr/>
          <w:p>
            <w:pPr>
              <w:pStyle w:val="Compact"/>
            </w:pPr>
            <w:r>
              <w:t xml:space="preserve">86.3% (95% UI: 82.7%–88.7%)</w:t>
            </w:r>
          </w:p>
        </w:tc>
        <w:tc>
          <w:tcPr/>
          <w:p>
            <w:pPr>
              <w:pStyle w:val="Compact"/>
            </w:pPr>
            <w:r>
              <w:t xml:space="preserve">44.2% (95% UI: 43.3%–45.1%)</w:t>
            </w:r>
          </w:p>
        </w:tc>
        <w:tc>
          <w:tcPr/>
          <w:p>
            <w:pPr>
              <w:pStyle w:val="Compact"/>
            </w:pPr>
            <w:r>
              <w:t xml:space="preserve">0%</w:t>
            </w:r>
          </w:p>
        </w:tc>
        <w:tc>
          <w:tcPr/>
          <w:p>
            <w:pPr>
              <w:pStyle w:val="Compact"/>
            </w:pPr>
            <w:r>
              <w:t xml:space="preserve">86.4% (95% UI: 82.8%–88.9%)</w:t>
            </w:r>
          </w:p>
        </w:tc>
        <w:tc>
          <w:tcPr/>
          <w:p>
            <w:pPr>
              <w:pStyle w:val="Compact"/>
            </w:pPr>
            <w:r>
              <w:t xml:space="preserve">38.2% (95% UI: 37.5%–39.0%)</w:t>
            </w:r>
          </w:p>
        </w:tc>
      </w:tr>
      <w:tr>
        <w:tc>
          <w:tcPr/>
          <w:p>
            <w:pPr>
              <w:pStyle w:val="Compact"/>
            </w:pPr>
            <w:r>
              <w:t xml:space="preserve">J + 1,000/year, F 75%</w:t>
            </w:r>
          </w:p>
        </w:tc>
        <w:tc>
          <w:tcPr/>
          <w:p>
            <w:pPr>
              <w:pStyle w:val="Compact"/>
            </w:pPr>
            <w:r>
              <w:t xml:space="preserve">90.1% (95% UI: 87.3%–91.9%)</w:t>
            </w:r>
          </w:p>
        </w:tc>
        <w:tc>
          <w:tcPr/>
          <w:p>
            <w:pPr>
              <w:pStyle w:val="Compact"/>
            </w:pPr>
            <w:r>
              <w:t xml:space="preserve">45.1% (95% UI: 44.2%–46.0%)</w:t>
            </w:r>
          </w:p>
        </w:tc>
        <w:tc>
          <w:tcPr/>
          <w:p>
            <w:pPr>
              <w:pStyle w:val="Compact"/>
            </w:pPr>
            <w:r>
              <w:t xml:space="preserve">0%</w:t>
            </w:r>
          </w:p>
        </w:tc>
        <w:tc>
          <w:tcPr/>
          <w:p>
            <w:pPr>
              <w:pStyle w:val="Compact"/>
            </w:pPr>
            <w:r>
              <w:t xml:space="preserve">90.2% (95% UI: 87.4%–92.1%)</w:t>
            </w:r>
          </w:p>
        </w:tc>
        <w:tc>
          <w:tcPr/>
          <w:p>
            <w:pPr>
              <w:pStyle w:val="Compact"/>
            </w:pPr>
            <w:r>
              <w:t xml:space="preserve">39.3% (95% UI: 38.5%–40.1%)</w:t>
            </w:r>
          </w:p>
        </w:tc>
      </w:tr>
      <w:tr>
        <w:tc>
          <w:tcPr/>
          <w:p>
            <w:pPr>
              <w:pStyle w:val="Compact"/>
            </w:pPr>
            <w:r>
              <w:t xml:space="preserve">J + 2,000/year, F 75%</w:t>
            </w:r>
          </w:p>
        </w:tc>
        <w:tc>
          <w:tcPr/>
          <w:p>
            <w:pPr>
              <w:pStyle w:val="Compact"/>
            </w:pPr>
            <w:r>
              <w:t xml:space="preserve">94.0% (95% UI: 92.4%–95.2%)</w:t>
            </w:r>
          </w:p>
        </w:tc>
        <w:tc>
          <w:tcPr/>
          <w:p>
            <w:pPr>
              <w:pStyle w:val="Compact"/>
            </w:pPr>
            <w:r>
              <w:t xml:space="preserve">47.3% (95% UI: 46.3%–48.2%)</w:t>
            </w:r>
          </w:p>
        </w:tc>
        <w:tc>
          <w:tcPr/>
          <w:p>
            <w:pPr>
              <w:pStyle w:val="Compact"/>
            </w:pPr>
            <w:r>
              <w:t xml:space="preserve">0%</w:t>
            </w:r>
          </w:p>
        </w:tc>
        <w:tc>
          <w:tcPr/>
          <w:p>
            <w:pPr>
              <w:pStyle w:val="Compact"/>
            </w:pPr>
            <w:r>
              <w:t xml:space="preserve">94.1% (95% UI: 92.3%–95.2%)</w:t>
            </w:r>
          </w:p>
        </w:tc>
        <w:tc>
          <w:tcPr/>
          <w:p>
            <w:pPr>
              <w:pStyle w:val="Compact"/>
            </w:pPr>
            <w:r>
              <w:t xml:space="preserve">41.7% (95% UI: 40.8%–42.5%)</w:t>
            </w:r>
          </w:p>
        </w:tc>
      </w:tr>
      <w:tr>
        <w:tc>
          <w:tcPr/>
          <w:p>
            <w:pPr>
              <w:pStyle w:val="Compact"/>
            </w:pPr>
            <w:r>
              <w:t xml:space="preserve">J + 5,000/year, F 75%</w:t>
            </w:r>
          </w:p>
        </w:tc>
        <w:tc>
          <w:tcPr/>
          <w:p>
            <w:pPr>
              <w:pStyle w:val="Compact"/>
            </w:pPr>
            <w:r>
              <w:t xml:space="preserve">94.2% (95% UI: 92.5%–95.3%)</w:t>
            </w:r>
          </w:p>
        </w:tc>
        <w:tc>
          <w:tcPr/>
          <w:p>
            <w:pPr>
              <w:pStyle w:val="Compact"/>
            </w:pPr>
            <w:r>
              <w:t xml:space="preserve">52.8% (95% UI: 51.6%–53.9%)</w:t>
            </w:r>
          </w:p>
        </w:tc>
        <w:tc>
          <w:tcPr/>
          <w:p>
            <w:pPr>
              <w:pStyle w:val="Compact"/>
            </w:pPr>
            <w:r>
              <w:t xml:space="preserve">0%</w:t>
            </w:r>
          </w:p>
        </w:tc>
        <w:tc>
          <w:tcPr/>
          <w:p>
            <w:pPr>
              <w:pStyle w:val="Compact"/>
            </w:pPr>
            <w:r>
              <w:t xml:space="preserve">94.2% (95% UI: 92.5%–95.4%)</w:t>
            </w:r>
          </w:p>
        </w:tc>
        <w:tc>
          <w:tcPr/>
          <w:p>
            <w:pPr>
              <w:pStyle w:val="Compact"/>
            </w:pPr>
            <w:r>
              <w:t xml:space="preserve">47.9% (95% UI: 46.7%–49.0%)</w:t>
            </w:r>
          </w:p>
        </w:tc>
      </w:tr>
      <w:tr>
        <w:tc>
          <w:tcPr/>
          <w:p>
            <w:pPr>
              <w:pStyle w:val="Compact"/>
            </w:pPr>
            <w:r>
              <w:t xml:space="preserve">J + 8,000/year, F 75%</w:t>
            </w:r>
          </w:p>
        </w:tc>
        <w:tc>
          <w:tcPr/>
          <w:p>
            <w:pPr>
              <w:pStyle w:val="Compact"/>
            </w:pPr>
            <w:r>
              <w:t xml:space="preserve">94.2% (95% UI: 92.5%–95.3%)</w:t>
            </w:r>
          </w:p>
        </w:tc>
        <w:tc>
          <w:tcPr/>
          <w:p>
            <w:pPr>
              <w:pStyle w:val="Compact"/>
            </w:pPr>
            <w:r>
              <w:t xml:space="preserve">57.4% (95% UI: 56.1%–58.6%)</w:t>
            </w:r>
          </w:p>
        </w:tc>
        <w:tc>
          <w:tcPr/>
          <w:p>
            <w:pPr>
              <w:pStyle w:val="Compact"/>
            </w:pPr>
            <w:r>
              <w:t xml:space="preserve">0%</w:t>
            </w:r>
          </w:p>
        </w:tc>
        <w:tc>
          <w:tcPr/>
          <w:p>
            <w:pPr>
              <w:pStyle w:val="Compact"/>
            </w:pPr>
            <w:r>
              <w:t xml:space="preserve">94.2% (95% UI: 92.5%–95.4%)</w:t>
            </w:r>
          </w:p>
        </w:tc>
        <w:tc>
          <w:tcPr/>
          <w:p>
            <w:pPr>
              <w:pStyle w:val="Compact"/>
            </w:pPr>
            <w:r>
              <w:t xml:space="preserve">53.1% (95% UI: 51.7%–54.4%)</w:t>
            </w:r>
          </w:p>
        </w:tc>
      </w:tr>
      <w:tr>
        <w:tc>
          <w:tcPr/>
          <w:p>
            <w:pPr>
              <w:pStyle w:val="Compact"/>
            </w:pPr>
            <w:r>
              <w:t xml:space="preserve">J + no screening cap</w:t>
            </w:r>
          </w:p>
        </w:tc>
        <w:tc>
          <w:tcPr/>
          <w:p>
            <w:pPr>
              <w:pStyle w:val="Compact"/>
            </w:pPr>
            <w:r>
              <w:t xml:space="preserve">94.2% (95% UI: 92.5%–95.3%)</w:t>
            </w:r>
          </w:p>
        </w:tc>
        <w:tc>
          <w:tcPr/>
          <w:p>
            <w:pPr>
              <w:pStyle w:val="Compact"/>
            </w:pPr>
            <w:r>
              <w:t xml:space="preserve">74.6% (95% UI: 74.4%–74.8%)</w:t>
            </w:r>
          </w:p>
        </w:tc>
        <w:tc>
          <w:tcPr/>
          <w:p>
            <w:pPr>
              <w:pStyle w:val="Compact"/>
            </w:pPr>
            <w:r>
              <w:t xml:space="preserve">100%</w:t>
            </w:r>
          </w:p>
        </w:tc>
        <w:tc>
          <w:tcPr/>
          <w:p>
            <w:pPr>
              <w:pStyle w:val="Compact"/>
            </w:pPr>
            <w:r>
              <w:t xml:space="preserve">94.2% (95% UI: 92.5%–95.4%)</w:t>
            </w:r>
          </w:p>
        </w:tc>
        <w:tc>
          <w:tcPr/>
          <w:p>
            <w:pPr>
              <w:pStyle w:val="Compact"/>
            </w:pPr>
            <w:r>
              <w:t xml:space="preserve">72.6% (95% UI: 72.4%–72.8%)</w:t>
            </w:r>
          </w:p>
        </w:tc>
      </w:tr>
    </w:tbl>
    <w:p>
      <w:pPr>
        <w:pStyle w:val="BodyText"/>
      </w:pPr>
      <w:r>
        <w:t xml:space="preserve">Values are medians (95% UI) across 2,000 posterior draws.</w:t>
      </w:r>
    </w:p>
    <w:p>
      <w:pPr>
        <w:pStyle w:val="CaptionedFigure"/>
      </w:pPr>
      <w:r>
        <w:drawing>
          <wp:inline>
            <wp:extent cx="5334000" cy="2424545"/>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feature-AddRecovery/output/scenarios_2026/scenario_target_trajectories.png" id="32" name="Picture"/>
                    <pic:cNvPicPr>
                      <a:picLocks noChangeArrowheads="1" noChangeAspect="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800600" cy="4000500"/>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feature-AddRecovery/output/scenarios_2026/scenario_target_heatmap.png" id="35" name="Picture"/>
                    <pic:cNvPicPr>
                      <a:picLocks noChangeArrowheads="1" noChangeAspect="1"/>
                    </pic:cNvPicPr>
                  </pic:nvPicPr>
                  <pic:blipFill>
                    <a:blip r:embed="rId33"/>
                    <a:stretch>
                      <a:fillRect/>
                    </a:stretch>
                  </pic:blipFill>
                  <pic:spPr bwMode="auto">
                    <a:xfrm>
                      <a:off x="0" y="0"/>
                      <a:ext cx="4800600" cy="4000500"/>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S9.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450 (95% UI: 398–517)</w:t>
            </w:r>
          </w:p>
        </w:tc>
        <w:tc>
          <w:tcPr/>
          <w:p>
            <w:pPr>
              <w:pStyle w:val="Compact"/>
            </w:pPr>
            <w:r>
              <w:t xml:space="preserve">S$17.5 million (95% UI: S$15.5 million–S$20.0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691 (95% UI: 659–724)</w:t>
            </w:r>
          </w:p>
        </w:tc>
        <w:tc>
          <w:tcPr/>
          <w:p>
            <w:pPr>
              <w:pStyle w:val="Compact"/>
            </w:pPr>
            <w:r>
              <w:t xml:space="preserve">239 (95% UI: 227–253)</w:t>
            </w:r>
          </w:p>
        </w:tc>
        <w:tc>
          <w:tcPr/>
          <w:p>
            <w:pPr>
              <w:pStyle w:val="Compact"/>
            </w:pPr>
            <w:r>
              <w:t xml:space="preserve">407 (95% UI: 358–468)</w:t>
            </w:r>
          </w:p>
        </w:tc>
        <w:tc>
          <w:tcPr/>
          <w:p>
            <w:pPr>
              <w:pStyle w:val="Compact"/>
            </w:pPr>
            <w:r>
              <w:t xml:space="preserve">S$25.3 million (95% UI: S$23.2 million–S$27.9 million)</w:t>
            </w:r>
          </w:p>
        </w:tc>
        <w:tc>
          <w:tcPr/>
          <w:p>
            <w:pPr>
              <w:pStyle w:val="Compact"/>
            </w:pPr>
            <w:r>
              <w:t xml:space="preserve">S$7.8 million (95% UI: S$7.4 million–S$8.3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1,149 (95% UI: 1,097–1,204)</w:t>
            </w:r>
          </w:p>
        </w:tc>
        <w:tc>
          <w:tcPr/>
          <w:p>
            <w:pPr>
              <w:pStyle w:val="Compact"/>
            </w:pPr>
            <w:r>
              <w:t xml:space="preserve">383 (95% UI: 364–405)</w:t>
            </w:r>
          </w:p>
        </w:tc>
        <w:tc>
          <w:tcPr/>
          <w:p>
            <w:pPr>
              <w:pStyle w:val="Compact"/>
            </w:pPr>
            <w:r>
              <w:t xml:space="preserve">381 (95% UI: 335–440)</w:t>
            </w:r>
          </w:p>
        </w:tc>
        <w:tc>
          <w:tcPr/>
          <w:p>
            <w:pPr>
              <w:pStyle w:val="Compact"/>
            </w:pPr>
            <w:r>
              <w:t xml:space="preserve">S$30.0 million (95% UI: S$27.8 million–S$32.7 million)</w:t>
            </w:r>
          </w:p>
        </w:tc>
        <w:tc>
          <w:tcPr/>
          <w:p>
            <w:pPr>
              <w:pStyle w:val="Compact"/>
            </w:pPr>
            <w:r>
              <w:t xml:space="preserve">S$12.6 million (95% UI: S$11.8 million–S$13.3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2,290 (95% UI: 2,186–2,400)</w:t>
            </w:r>
          </w:p>
        </w:tc>
        <w:tc>
          <w:tcPr/>
          <w:p>
            <w:pPr>
              <w:pStyle w:val="Compact"/>
            </w:pPr>
            <w:r>
              <w:t xml:space="preserve">694 (95% UI: 659–734)</w:t>
            </w:r>
          </w:p>
        </w:tc>
        <w:tc>
          <w:tcPr/>
          <w:p>
            <w:pPr>
              <w:pStyle w:val="Compact"/>
            </w:pPr>
            <w:r>
              <w:t xml:space="preserve">327 (95% UI: 287–380)</w:t>
            </w:r>
          </w:p>
        </w:tc>
        <w:tc>
          <w:tcPr/>
          <w:p>
            <w:pPr>
              <w:pStyle w:val="Compact"/>
            </w:pPr>
            <w:r>
              <w:t xml:space="preserve">S$40.5 million (95% UI: S$38.0 million–S$43.5 million)</w:t>
            </w:r>
          </w:p>
        </w:tc>
        <w:tc>
          <w:tcPr/>
          <w:p>
            <w:pPr>
              <w:pStyle w:val="Compact"/>
            </w:pPr>
            <w:r>
              <w:t xml:space="preserve">S$23.0 million (95% UI: S$21.7 million–S$24.4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5,686 (95% UI: 5,427–5,959)</w:t>
            </w:r>
          </w:p>
        </w:tc>
        <w:tc>
          <w:tcPr/>
          <w:p>
            <w:pPr>
              <w:pStyle w:val="Compact"/>
            </w:pPr>
            <w:r>
              <w:t xml:space="preserve">1,305 (95% UI: 1,232–1,395)</w:t>
            </w:r>
          </w:p>
        </w:tc>
        <w:tc>
          <w:tcPr/>
          <w:p>
            <w:pPr>
              <w:pStyle w:val="Compact"/>
            </w:pPr>
            <w:r>
              <w:t xml:space="preserve">230 (95% UI: 200–269)</w:t>
            </w:r>
          </w:p>
        </w:tc>
        <w:tc>
          <w:tcPr/>
          <w:p>
            <w:pPr>
              <w:pStyle w:val="Compact"/>
            </w:pPr>
            <w:r>
              <w:t xml:space="preserve">S$62.2 million (95% UI: S$58.6 million–S$66.5 million)</w:t>
            </w:r>
          </w:p>
        </w:tc>
        <w:tc>
          <w:tcPr/>
          <w:p>
            <w:pPr>
              <w:pStyle w:val="Compact"/>
            </w:pPr>
            <w:r>
              <w:t xml:space="preserve">S$44.7 million (95% UI: S$41.9 million–S$48.0 million)</w:t>
            </w:r>
          </w:p>
        </w:tc>
      </w:tr>
      <w:tr>
        <w:tc>
          <w:tcPr/>
          <w:p>
            <w:pPr>
              <w:pStyle w:val="Compact"/>
            </w:pPr>
            <w:r>
              <w:t xml:space="preserve">J + 8,000/year, F 25%</w:t>
            </w:r>
          </w:p>
        </w:tc>
        <w:tc>
          <w:tcPr/>
          <w:p>
            <w:pPr>
              <w:pStyle w:val="Compact"/>
            </w:pPr>
            <w:r>
              <w:t xml:space="preserve">37,762 (95% UI: 37,284–38,265)</w:t>
            </w:r>
          </w:p>
        </w:tc>
        <w:tc>
          <w:tcPr/>
          <w:p>
            <w:pPr>
              <w:pStyle w:val="Compact"/>
            </w:pPr>
            <w:r>
              <w:t xml:space="preserve">8,509 (95% UI: 8,115–8,964)</w:t>
            </w:r>
          </w:p>
        </w:tc>
        <w:tc>
          <w:tcPr/>
          <w:p>
            <w:pPr>
              <w:pStyle w:val="Compact"/>
            </w:pPr>
            <w:r>
              <w:t xml:space="preserve">1,607 (95% UI: 1,501–1,733)</w:t>
            </w:r>
          </w:p>
        </w:tc>
        <w:tc>
          <w:tcPr/>
          <w:p>
            <w:pPr>
              <w:pStyle w:val="Compact"/>
            </w:pPr>
            <w:r>
              <w:t xml:space="preserve">211 (95% UI: 185–244)</w:t>
            </w:r>
          </w:p>
        </w:tc>
        <w:tc>
          <w:tcPr/>
          <w:p>
            <w:pPr>
              <w:pStyle w:val="Compact"/>
            </w:pPr>
            <w:r>
              <w:t xml:space="preserve">S$74.8 million (95% UI: S$70.2 million–S$80.3 million)</w:t>
            </w:r>
          </w:p>
        </w:tc>
        <w:tc>
          <w:tcPr/>
          <w:p>
            <w:pPr>
              <w:pStyle w:val="Compact"/>
            </w:pPr>
            <w:r>
              <w:t xml:space="preserve">S$57.3 million (95% UI: S$53.5 million–S$61.9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729 (95% UI: 696–765)</w:t>
            </w:r>
          </w:p>
        </w:tc>
        <w:tc>
          <w:tcPr/>
          <w:p>
            <w:pPr>
              <w:pStyle w:val="Compact"/>
            </w:pPr>
            <w:r>
              <w:t xml:space="preserve">200 (95% UI: 190–212)</w:t>
            </w:r>
          </w:p>
        </w:tc>
        <w:tc>
          <w:tcPr/>
          <w:p>
            <w:pPr>
              <w:pStyle w:val="Compact"/>
            </w:pPr>
            <w:r>
              <w:t xml:space="preserve">369 (95% UI: 324–426)</w:t>
            </w:r>
          </w:p>
        </w:tc>
        <w:tc>
          <w:tcPr/>
          <w:p>
            <w:pPr>
              <w:pStyle w:val="Compact"/>
            </w:pPr>
            <w:r>
              <w:t xml:space="preserve">S$22.4 million (95% UI: S$20.4 million–S$24.9 million)</w:t>
            </w:r>
          </w:p>
        </w:tc>
        <w:tc>
          <w:tcPr/>
          <w:p>
            <w:pPr>
              <w:pStyle w:val="Compact"/>
            </w:pPr>
            <w:r>
              <w:t xml:space="preserve">S$4.9 million (95% UI: S$4.6 million–S$5.3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1,209 (95% UI: 1,153–1,268)</w:t>
            </w:r>
          </w:p>
        </w:tc>
        <w:tc>
          <w:tcPr/>
          <w:p>
            <w:pPr>
              <w:pStyle w:val="Compact"/>
            </w:pPr>
            <w:r>
              <w:t xml:space="preserve">316 (95% UI: 300–334)</w:t>
            </w:r>
          </w:p>
        </w:tc>
        <w:tc>
          <w:tcPr/>
          <w:p>
            <w:pPr>
              <w:pStyle w:val="Compact"/>
            </w:pPr>
            <w:r>
              <w:t xml:space="preserve">327 (95% UI: 287–380)</w:t>
            </w:r>
          </w:p>
        </w:tc>
        <w:tc>
          <w:tcPr/>
          <w:p>
            <w:pPr>
              <w:pStyle w:val="Compact"/>
            </w:pPr>
            <w:r>
              <w:t xml:space="preserve">S$25.4 million (95% UI: S$23.4 million–S$27.9 million)</w:t>
            </w:r>
          </w:p>
        </w:tc>
        <w:tc>
          <w:tcPr/>
          <w:p>
            <w:pPr>
              <w:pStyle w:val="Compact"/>
            </w:pPr>
            <w:r>
              <w:t xml:space="preserve">S$8.0 million (95% UI: S$7.5 million–S$8.5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2,392 (95% UI: 2,282–2,507)</w:t>
            </w:r>
          </w:p>
        </w:tc>
        <w:tc>
          <w:tcPr/>
          <w:p>
            <w:pPr>
              <w:pStyle w:val="Compact"/>
            </w:pPr>
            <w:r>
              <w:t xml:space="preserve">558 (95% UI: 530–591)</w:t>
            </w:r>
          </w:p>
        </w:tc>
        <w:tc>
          <w:tcPr/>
          <w:p>
            <w:pPr>
              <w:pStyle w:val="Compact"/>
            </w:pPr>
            <w:r>
              <w:t xml:space="preserve">254 (95% UI: 221–297)</w:t>
            </w:r>
          </w:p>
        </w:tc>
        <w:tc>
          <w:tcPr/>
          <w:p>
            <w:pPr>
              <w:pStyle w:val="Compact"/>
            </w:pPr>
            <w:r>
              <w:t xml:space="preserve">S$32.5 million (95% UI: S$30.4 million–S$35.1 million)</w:t>
            </w:r>
          </w:p>
        </w:tc>
        <w:tc>
          <w:tcPr/>
          <w:p>
            <w:pPr>
              <w:pStyle w:val="Compact"/>
            </w:pPr>
            <w:r>
              <w:t xml:space="preserve">S$15.0 million (95% UI: S$14.1 million–S$16.1 million)</w:t>
            </w:r>
          </w:p>
        </w:tc>
      </w:tr>
      <w:tr>
        <w:tc>
          <w:tcPr/>
          <w:p>
            <w:pPr>
              <w:pStyle w:val="Compact"/>
            </w:pPr>
            <w:r>
              <w:t xml:space="preserve">J + 5,000/year, F 50%</w:t>
            </w:r>
          </w:p>
        </w:tc>
        <w:tc>
          <w:tcPr/>
          <w:p>
            <w:pPr>
              <w:pStyle w:val="Compact"/>
            </w:pPr>
            <w:r>
              <w:t xml:space="preserve">20,262 (95% UI: 19,784–20,765)</w:t>
            </w:r>
          </w:p>
        </w:tc>
        <w:tc>
          <w:tcPr/>
          <w:p>
            <w:pPr>
              <w:pStyle w:val="Compact"/>
            </w:pPr>
            <w:r>
              <w:t xml:space="preserve">4,708 (95% UI: 4,480–4,971)</w:t>
            </w:r>
          </w:p>
        </w:tc>
        <w:tc>
          <w:tcPr/>
          <w:p>
            <w:pPr>
              <w:pStyle w:val="Compact"/>
            </w:pPr>
            <w:r>
              <w:t xml:space="preserve">1,046 (95% UI: 990–1,114)</w:t>
            </w:r>
          </w:p>
        </w:tc>
        <w:tc>
          <w:tcPr/>
          <w:p>
            <w:pPr>
              <w:pStyle w:val="Compact"/>
            </w:pPr>
            <w:r>
              <w:t xml:space="preserve">211 (95% UI: 185–244)</w:t>
            </w:r>
          </w:p>
        </w:tc>
        <w:tc>
          <w:tcPr/>
          <w:p>
            <w:pPr>
              <w:pStyle w:val="Compact"/>
            </w:pPr>
            <w:r>
              <w:t xml:space="preserve">S$50.8 million (95% UI: S$48.0 million–S$54.2 million)</w:t>
            </w:r>
          </w:p>
        </w:tc>
        <w:tc>
          <w:tcPr/>
          <w:p>
            <w:pPr>
              <w:pStyle w:val="Compact"/>
            </w:pPr>
            <w:r>
              <w:t xml:space="preserve">S$33.3 million (95% UI: S$31.3 million–S$35.6 million)</w:t>
            </w:r>
          </w:p>
        </w:tc>
      </w:tr>
      <w:tr>
        <w:tc>
          <w:tcPr/>
          <w:p>
            <w:pPr>
              <w:pStyle w:val="Compact"/>
            </w:pPr>
            <w:r>
              <w:t xml:space="preserve">J + 8,000/year, F 50%</w:t>
            </w:r>
          </w:p>
        </w:tc>
        <w:tc>
          <w:tcPr/>
          <w:p>
            <w:pPr>
              <w:pStyle w:val="Compact"/>
            </w:pPr>
            <w:r>
              <w:t xml:space="preserve">27,762 (95% UI: 27,284–28,265)</w:t>
            </w:r>
          </w:p>
        </w:tc>
        <w:tc>
          <w:tcPr/>
          <w:p>
            <w:pPr>
              <w:pStyle w:val="Compact"/>
            </w:pPr>
            <w:r>
              <w:t xml:space="preserve">6,334 (95% UI: 6,038–6,675)</w:t>
            </w:r>
          </w:p>
        </w:tc>
        <w:tc>
          <w:tcPr/>
          <w:p>
            <w:pPr>
              <w:pStyle w:val="Compact"/>
            </w:pPr>
            <w:r>
              <w:t xml:space="preserve">1,357 (95% UI: 1,279–1,453)</w:t>
            </w:r>
          </w:p>
        </w:tc>
        <w:tc>
          <w:tcPr/>
          <w:p>
            <w:pPr>
              <w:pStyle w:val="Compact"/>
            </w:pPr>
            <w:r>
              <w:t xml:space="preserve">211 (95% UI: 185–244)</w:t>
            </w:r>
          </w:p>
        </w:tc>
        <w:tc>
          <w:tcPr/>
          <w:p>
            <w:pPr>
              <w:pStyle w:val="Compact"/>
            </w:pPr>
            <w:r>
              <w:t xml:space="preserve">S$63.8 million (95% UI: S$60.1 million–S$68.2 million)</w:t>
            </w:r>
          </w:p>
        </w:tc>
        <w:tc>
          <w:tcPr/>
          <w:p>
            <w:pPr>
              <w:pStyle w:val="Compact"/>
            </w:pPr>
            <w:r>
              <w:t xml:space="preserve">S$46.3 million (95% UI: S$43.4 million–S$49.7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765 (95% UI: 730–804)</w:t>
            </w:r>
          </w:p>
        </w:tc>
        <w:tc>
          <w:tcPr/>
          <w:p>
            <w:pPr>
              <w:pStyle w:val="Compact"/>
            </w:pPr>
            <w:r>
              <w:t xml:space="preserve">154 (95% UI: 145–165)</w:t>
            </w:r>
          </w:p>
        </w:tc>
        <w:tc>
          <w:tcPr/>
          <w:p>
            <w:pPr>
              <w:pStyle w:val="Compact"/>
            </w:pPr>
            <w:r>
              <w:t xml:space="preserve">337 (95% UI: 295–391)</w:t>
            </w:r>
          </w:p>
        </w:tc>
        <w:tc>
          <w:tcPr/>
          <w:p>
            <w:pPr>
              <w:pStyle w:val="Compact"/>
            </w:pPr>
            <w:r>
              <w:t xml:space="preserve">S$19.4 million (95% UI: S$17.5 million–S$21.9 million)</w:t>
            </w:r>
          </w:p>
        </w:tc>
        <w:tc>
          <w:tcPr/>
          <w:p>
            <w:pPr>
              <w:pStyle w:val="Compact"/>
            </w:pPr>
            <w:r>
              <w:t xml:space="preserve">S$1.9 million (95% UI: S$1.7 million–S$2.1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1,262 (95% UI: 1,204–1,326)</w:t>
            </w:r>
          </w:p>
        </w:tc>
        <w:tc>
          <w:tcPr/>
          <w:p>
            <w:pPr>
              <w:pStyle w:val="Compact"/>
            </w:pPr>
            <w:r>
              <w:t xml:space="preserve">231 (95% UI: 218–247)</w:t>
            </w:r>
          </w:p>
        </w:tc>
        <w:tc>
          <w:tcPr/>
          <w:p>
            <w:pPr>
              <w:pStyle w:val="Compact"/>
            </w:pPr>
            <w:r>
              <w:t xml:space="preserve">286 (95% UI: 249–332)</w:t>
            </w:r>
          </w:p>
        </w:tc>
        <w:tc>
          <w:tcPr/>
          <w:p>
            <w:pPr>
              <w:pStyle w:val="Compact"/>
            </w:pPr>
            <w:r>
              <w:t xml:space="preserve">S$20.6 million (95% UI: S$18.8 million–S$23.0 million)</w:t>
            </w:r>
          </w:p>
        </w:tc>
        <w:tc>
          <w:tcPr/>
          <w:p>
            <w:pPr>
              <w:pStyle w:val="Compact"/>
            </w:pPr>
            <w:r>
              <w:t xml:space="preserve">S$3.2 million (95% UI: S$2.8 million–S$3.5 million)</w:t>
            </w:r>
          </w:p>
        </w:tc>
      </w:tr>
      <w:tr>
        <w:tc>
          <w:tcPr/>
          <w:p>
            <w:pPr>
              <w:pStyle w:val="Compact"/>
            </w:pPr>
            <w:r>
              <w:t xml:space="preserve">J + 2,000/year, F 75%</w:t>
            </w:r>
          </w:p>
        </w:tc>
        <w:tc>
          <w:tcPr/>
          <w:p>
            <w:pPr>
              <w:pStyle w:val="Compact"/>
            </w:pPr>
            <w:r>
              <w:t xml:space="preserve">10,000 (95% UI: 9,784–10,000)</w:t>
            </w:r>
          </w:p>
        </w:tc>
        <w:tc>
          <w:tcPr/>
          <w:p>
            <w:pPr>
              <w:pStyle w:val="Compact"/>
            </w:pPr>
            <w:r>
              <w:t xml:space="preserve">2,475 (95% UI: 2,363–2,601)</w:t>
            </w:r>
          </w:p>
        </w:tc>
        <w:tc>
          <w:tcPr/>
          <w:p>
            <w:pPr>
              <w:pStyle w:val="Compact"/>
            </w:pPr>
            <w:r>
              <w:t xml:space="preserve">377 (95% UI: 356–401)</w:t>
            </w:r>
          </w:p>
        </w:tc>
        <w:tc>
          <w:tcPr/>
          <w:p>
            <w:pPr>
              <w:pStyle w:val="Compact"/>
            </w:pPr>
            <w:r>
              <w:t xml:space="preserve">214 (95% UI: 186–250)</w:t>
            </w:r>
          </w:p>
        </w:tc>
        <w:tc>
          <w:tcPr/>
          <w:p>
            <w:pPr>
              <w:pStyle w:val="Compact"/>
            </w:pPr>
            <w:r>
              <w:t xml:space="preserve">S$24.0 million (95% UI: S$22.2 million–S$26.2 million)</w:t>
            </w:r>
          </w:p>
        </w:tc>
        <w:tc>
          <w:tcPr/>
          <w:p>
            <w:pPr>
              <w:pStyle w:val="Compact"/>
            </w:pPr>
            <w:r>
              <w:t xml:space="preserve">S$6.6 million (95% UI: S$5.9 million–S$7.2 million)</w:t>
            </w:r>
          </w:p>
        </w:tc>
      </w:tr>
      <w:tr>
        <w:tc>
          <w:tcPr/>
          <w:p>
            <w:pPr>
              <w:pStyle w:val="Compact"/>
            </w:pPr>
            <w:r>
              <w:t xml:space="preserve">J + 5,000/year, F 75%</w:t>
            </w:r>
          </w:p>
        </w:tc>
        <w:tc>
          <w:tcPr/>
          <w:p>
            <w:pPr>
              <w:pStyle w:val="Compact"/>
            </w:pPr>
            <w:r>
              <w:t xml:space="preserve">14,012 (95% UI: 13,534–14,515)</w:t>
            </w:r>
          </w:p>
        </w:tc>
        <w:tc>
          <w:tcPr/>
          <w:p>
            <w:pPr>
              <w:pStyle w:val="Compact"/>
            </w:pPr>
            <w:r>
              <w:t xml:space="preserve">3,355 (95% UI: 3,175–3,570)</w:t>
            </w:r>
          </w:p>
        </w:tc>
        <w:tc>
          <w:tcPr/>
          <w:p>
            <w:pPr>
              <w:pStyle w:val="Compact"/>
            </w:pPr>
            <w:r>
              <w:t xml:space="preserve">670 (95% UI: 635–711)</w:t>
            </w:r>
          </w:p>
        </w:tc>
        <w:tc>
          <w:tcPr/>
          <w:p>
            <w:pPr>
              <w:pStyle w:val="Compact"/>
            </w:pPr>
            <w:r>
              <w:t xml:space="preserve">211 (95% UI: 185–244)</w:t>
            </w:r>
          </w:p>
        </w:tc>
        <w:tc>
          <w:tcPr/>
          <w:p>
            <w:pPr>
              <w:pStyle w:val="Compact"/>
            </w:pPr>
            <w:r>
              <w:t xml:space="preserve">S$35.6 million (95% UI: S$33.5 million–S$38.2 million)</w:t>
            </w:r>
          </w:p>
        </w:tc>
        <w:tc>
          <w:tcPr/>
          <w:p>
            <w:pPr>
              <w:pStyle w:val="Compact"/>
            </w:pPr>
            <w:r>
              <w:t xml:space="preserve">S$18.1 million (95% UI: S$16.9 million–S$19.3 million)</w:t>
            </w:r>
          </w:p>
        </w:tc>
      </w:tr>
      <w:tr>
        <w:tc>
          <w:tcPr/>
          <w:p>
            <w:pPr>
              <w:pStyle w:val="Compact"/>
            </w:pPr>
            <w:r>
              <w:t xml:space="preserve">J + 8,000/year, F 75%</w:t>
            </w:r>
          </w:p>
        </w:tc>
        <w:tc>
          <w:tcPr/>
          <w:p>
            <w:pPr>
              <w:pStyle w:val="Compact"/>
            </w:pPr>
            <w:r>
              <w:t xml:space="preserve">17,762 (95% UI: 17,284–18,265)</w:t>
            </w:r>
          </w:p>
        </w:tc>
        <w:tc>
          <w:tcPr/>
          <w:p>
            <w:pPr>
              <w:pStyle w:val="Compact"/>
            </w:pPr>
            <w:r>
              <w:t xml:space="preserve">4,165 (95% UI: 3,958–4,409)</w:t>
            </w:r>
          </w:p>
        </w:tc>
        <w:tc>
          <w:tcPr/>
          <w:p>
            <w:pPr>
              <w:pStyle w:val="Compact"/>
            </w:pPr>
            <w:r>
              <w:t xml:space="preserve">910 (95% UI: 862–968)</w:t>
            </w:r>
          </w:p>
        </w:tc>
        <w:tc>
          <w:tcPr/>
          <w:p>
            <w:pPr>
              <w:pStyle w:val="Compact"/>
            </w:pPr>
            <w:r>
              <w:t xml:space="preserve">211 (95% UI: 185–244)</w:t>
            </w:r>
          </w:p>
        </w:tc>
        <w:tc>
          <w:tcPr/>
          <w:p>
            <w:pPr>
              <w:pStyle w:val="Compact"/>
            </w:pPr>
            <w:r>
              <w:t xml:space="preserve">S$45.3 million (95% UI: S$42.7 million–S$48.4 million)</w:t>
            </w:r>
          </w:p>
        </w:tc>
        <w:tc>
          <w:tcPr/>
          <w:p>
            <w:pPr>
              <w:pStyle w:val="Compact"/>
            </w:pPr>
            <w:r>
              <w:t xml:space="preserve">S$27.8 million (95% UI: S$26.1 million–S$29.7 million)</w:t>
            </w:r>
          </w:p>
        </w:tc>
      </w:tr>
      <w:tr>
        <w:tc>
          <w:tcPr/>
          <w:p>
            <w:pPr>
              <w:pStyle w:val="Compact"/>
            </w:pPr>
            <w:r>
              <w:t xml:space="preserve">J + no screening cap</w:t>
            </w:r>
          </w:p>
        </w:tc>
        <w:tc>
          <w:tcPr/>
          <w:p>
            <w:pPr>
              <w:pStyle w:val="Compact"/>
            </w:pPr>
            <w:r>
              <w:t xml:space="preserve">81,200 (95% UI: 75,034–87,945)</w:t>
            </w:r>
          </w:p>
        </w:tc>
        <w:tc>
          <w:tcPr/>
          <w:p>
            <w:pPr>
              <w:pStyle w:val="Compact"/>
            </w:pPr>
            <w:r>
              <w:t xml:space="preserve">17,930 (95% UI: 16,497–19,607)</w:t>
            </w:r>
          </w:p>
        </w:tc>
        <w:tc>
          <w:tcPr/>
          <w:p>
            <w:pPr>
              <w:pStyle w:val="Compact"/>
            </w:pPr>
            <w:r>
              <w:t xml:space="preserve">1,883 (95% UI: 1,725–2,075)</w:t>
            </w:r>
          </w:p>
        </w:tc>
        <w:tc>
          <w:tcPr/>
          <w:p>
            <w:pPr>
              <w:pStyle w:val="Compact"/>
            </w:pPr>
            <w:r>
              <w:t xml:space="preserve">211 (95% UI: 185–244)</w:t>
            </w:r>
          </w:p>
        </w:tc>
        <w:tc>
          <w:tcPr/>
          <w:p>
            <w:pPr>
              <w:pStyle w:val="Compact"/>
            </w:pPr>
            <w:r>
              <w:t xml:space="preserve">S$91.3 million (95% UI: S$84.0 million–S$99.8 million)</w:t>
            </w:r>
          </w:p>
        </w:tc>
        <w:tc>
          <w:tcPr/>
          <w:p>
            <w:pPr>
              <w:pStyle w:val="Compact"/>
            </w:pPr>
            <w:r>
              <w:t xml:space="preserve">S$73.8 million (95% UI: S$67.2 million–S$81.9 million)</w:t>
            </w:r>
          </w:p>
        </w:tc>
      </w:tr>
    </w:tbl>
    <w:p>
      <w:pPr>
        <w:pStyle w:val="BodyText"/>
      </w:pPr>
      <w:r>
        <w:t xml:space="preserve">Screening counts may include the same person in more than one year. Treatment starts count courses.</w:t>
      </w:r>
    </w:p>
    <w:p>
      <w:pPr>
        <w:pStyle w:val="CaptionedFigure"/>
      </w:pPr>
      <w:r>
        <w:drawing>
          <wp:inline>
            <wp:extent cx="5334000" cy="296333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feature-AddRecovery/output/scenarios_2026/scenario_treatment_starts.png" id="39" name="Picture"/>
                    <pic:cNvPicPr>
                      <a:picLocks noChangeArrowheads="1" noChangeAspect="1"/>
                    </pic:cNvPicPr>
                  </pic:nvPicPr>
                  <pic:blipFill>
                    <a:blip r:embed="rId3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400300"/>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feature-AddRecovery/output/scenarios_2026/paper_fig4_f_pool.png" id="42" name="Picture"/>
                    <pic:cNvPicPr>
                      <a:picLocks noChangeArrowheads="1" noChangeAspect="1"/>
                    </pic:cNvPicPr>
                  </pic:nvPicPr>
                  <pic:blipFill>
                    <a:blip r:embed="rId40"/>
                    <a:stretch>
                      <a:fillRect/>
                    </a:stretch>
                  </pic:blipFill>
                  <pic:spPr bwMode="auto">
                    <a:xfrm>
                      <a:off x="0" y="0"/>
                      <a:ext cx="4800600" cy="2400300"/>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1546860"/>
            <wp:effectExtent b="0" l="0" r="0" t="0"/>
            <wp:docPr descr="Fig S6. Cost composition of the prison only scenario and the scenarios that met both targets. Shares use the median cost of each item." title="" id="44" name="Picture"/>
            <a:graphic>
              <a:graphicData uri="http://schemas.openxmlformats.org/drawingml/2006/picture">
                <pic:pic>
                  <pic:nvPicPr>
                    <pic:cNvPr descr="/Users/yichenhe/Documents/Work/HepC-Transimission-Modelling-feature-AddRecovery/output/scenarios_2026/scenario_cost_composition_pies.png" id="45" name="Picture"/>
                    <pic:cNvPicPr>
                      <a:picLocks noChangeArrowheads="1" noChangeAspect="1"/>
                    </pic:cNvPicPr>
                  </pic:nvPicPr>
                  <pic:blipFill>
                    <a:blip r:embed="rId43"/>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Shares use the median cost of each item.</w:t>
      </w:r>
    </w:p>
    <w:p>
      <w:pPr>
        <w:pStyle w:val="CaptionedFigure"/>
      </w:pPr>
      <w:r>
        <w:drawing>
          <wp:inline>
            <wp:extent cx="5334000" cy="3333749"/>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feature-AddRecovery/output/scenarios_2026/scenario_cumulative_costs.png" id="48" name="Picture"/>
                    <pic:cNvPicPr>
                      <a:picLocks noChangeArrowheads="1" noChangeAspect="1"/>
                    </pic:cNvPicPr>
                  </pic:nvPicPr>
                  <pic:blipFill>
                    <a:blip r:embed="rId46"/>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results-by-training-seed"/>
    <w:p>
      <w:pPr>
        <w:pStyle w:val="Heading2"/>
      </w:pPr>
      <w:r>
        <w:t xml:space="preserve">4.3 Results by training seed</w:t>
      </w:r>
    </w:p>
    <w:p>
      <w:pPr>
        <w:pStyle w:val="FirstParagraph"/>
      </w:pPr>
      <w:r>
        <w:rPr>
          <w:b/>
          <w:bCs/>
        </w:rPr>
        <w:t xml:space="preserve">Table S10. Selected results by NPE training seed.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Seed</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r>
      <w:tr>
        <w:tc>
          <w:tcPr/>
          <w:p>
            <w:pPr>
              <w:pStyle w:val="Compact"/>
            </w:pPr>
            <w:r>
              <w:t xml:space="preserve">Prison treatment only (J only)</w:t>
            </w:r>
          </w:p>
        </w:tc>
        <w:tc>
          <w:tcPr/>
          <w:p>
            <w:pPr>
              <w:pStyle w:val="Compact"/>
            </w:pPr>
            <w:r>
              <w:t xml:space="preserve">1</w:t>
            </w:r>
          </w:p>
        </w:tc>
        <w:tc>
          <w:tcPr/>
          <w:p>
            <w:pPr>
              <w:pStyle w:val="Compact"/>
            </w:pPr>
            <w:r>
              <w:t xml:space="preserve">75.6% (95% UI: 70.2%–79.8%)</w:t>
            </w:r>
          </w:p>
        </w:tc>
        <w:tc>
          <w:tcPr/>
          <w:p>
            <w:pPr>
              <w:pStyle w:val="Compact"/>
            </w:pPr>
            <w:r>
              <w:t xml:space="preserve">42.6% (95% UI: 41.8%–43.5%)</w:t>
            </w:r>
          </w:p>
        </w:tc>
        <w:tc>
          <w:tcPr/>
          <w:p>
            <w:pPr>
              <w:pStyle w:val="Compact"/>
            </w:pPr>
            <w:r>
              <w:t xml:space="preserve">0%</w:t>
            </w:r>
          </w:p>
        </w:tc>
      </w:tr>
      <w:tr>
        <w:tc>
          <w:tcPr/>
          <w:p>
            <w:pPr>
              <w:pStyle w:val="Compact"/>
            </w:pPr>
            <w:r>
              <w:t xml:space="preserve">Prison treatment only (J only)</w:t>
            </w:r>
          </w:p>
        </w:tc>
        <w:tc>
          <w:tcPr/>
          <w:p>
            <w:pPr>
              <w:pStyle w:val="Compact"/>
            </w:pPr>
            <w:r>
              <w:t xml:space="preserve">2</w:t>
            </w:r>
          </w:p>
        </w:tc>
        <w:tc>
          <w:tcPr/>
          <w:p>
            <w:pPr>
              <w:pStyle w:val="Compact"/>
            </w:pPr>
            <w:r>
              <w:t xml:space="preserve">76.1% (95% UI: 71.1%–79.8%)</w:t>
            </w:r>
          </w:p>
        </w:tc>
        <w:tc>
          <w:tcPr/>
          <w:p>
            <w:pPr>
              <w:pStyle w:val="Compact"/>
            </w:pPr>
            <w:r>
              <w:t xml:space="preserve">42.6% (95% UI: 41.9%–43.5%)</w:t>
            </w:r>
          </w:p>
        </w:tc>
        <w:tc>
          <w:tcPr/>
          <w:p>
            <w:pPr>
              <w:pStyle w:val="Compact"/>
            </w:pPr>
            <w:r>
              <w:t xml:space="preserve">0%</w:t>
            </w:r>
          </w:p>
        </w:tc>
      </w:tr>
      <w:tr>
        <w:tc>
          <w:tcPr/>
          <w:p>
            <w:pPr>
              <w:pStyle w:val="Compact"/>
            </w:pPr>
            <w:r>
              <w:t xml:space="preserve">J + 5,000/year, F 25%</w:t>
            </w:r>
          </w:p>
        </w:tc>
        <w:tc>
          <w:tcPr/>
          <w:p>
            <w:pPr>
              <w:pStyle w:val="Compact"/>
            </w:pPr>
            <w:r>
              <w:t xml:space="preserve">1</w:t>
            </w:r>
          </w:p>
        </w:tc>
        <w:tc>
          <w:tcPr/>
          <w:p>
            <w:pPr>
              <w:pStyle w:val="Compact"/>
            </w:pPr>
            <w:r>
              <w:t xml:space="preserve">93.2% (95% UI: 91.2%–94.5%)</w:t>
            </w:r>
          </w:p>
        </w:tc>
        <w:tc>
          <w:tcPr/>
          <w:p>
            <w:pPr>
              <w:pStyle w:val="Compact"/>
            </w:pPr>
            <w:r>
              <w:t xml:space="preserve">65.1% (95% UI: 63.8%–66.3%)</w:t>
            </w:r>
          </w:p>
        </w:tc>
        <w:tc>
          <w:tcPr/>
          <w:p>
            <w:pPr>
              <w:pStyle w:val="Compact"/>
            </w:pPr>
            <w:r>
              <w:t xml:space="preserve">52%</w:t>
            </w:r>
          </w:p>
        </w:tc>
      </w:tr>
      <w:tr>
        <w:tc>
          <w:tcPr/>
          <w:p>
            <w:pPr>
              <w:pStyle w:val="Compact"/>
            </w:pPr>
            <w:r>
              <w:t xml:space="preserve">J + 5,000/year, F 25%</w:t>
            </w:r>
          </w:p>
        </w:tc>
        <w:tc>
          <w:tcPr/>
          <w:p>
            <w:pPr>
              <w:pStyle w:val="Compact"/>
            </w:pPr>
            <w:r>
              <w:t xml:space="preserve">2</w:t>
            </w:r>
          </w:p>
        </w:tc>
        <w:tc>
          <w:tcPr/>
          <w:p>
            <w:pPr>
              <w:pStyle w:val="Compact"/>
            </w:pPr>
            <w:r>
              <w:t xml:space="preserve">93.3% (95% UI: 91.6%–94.5%)</w:t>
            </w:r>
          </w:p>
        </w:tc>
        <w:tc>
          <w:tcPr/>
          <w:p>
            <w:pPr>
              <w:pStyle w:val="Compact"/>
            </w:pPr>
            <w:r>
              <w:t xml:space="preserve">65.1% (95% UI: 63.7%–66.4%)</w:t>
            </w:r>
          </w:p>
        </w:tc>
        <w:tc>
          <w:tcPr/>
          <w:p>
            <w:pPr>
              <w:pStyle w:val="Compact"/>
            </w:pPr>
            <w:r>
              <w:t xml:space="preserve">59%</w:t>
            </w:r>
          </w:p>
        </w:tc>
      </w:tr>
      <w:tr>
        <w:tc>
          <w:tcPr/>
          <w:p>
            <w:pPr>
              <w:pStyle w:val="Compact"/>
            </w:pPr>
            <w:r>
              <w:t xml:space="preserve">J + 8,000/year, F 25%</w:t>
            </w:r>
          </w:p>
        </w:tc>
        <w:tc>
          <w:tcPr/>
          <w:p>
            <w:pPr>
              <w:pStyle w:val="Compact"/>
            </w:pPr>
            <w:r>
              <w:t xml:space="preserve">1</w:t>
            </w:r>
          </w:p>
        </w:tc>
        <w:tc>
          <w:tcPr/>
          <w:p>
            <w:pPr>
              <w:pStyle w:val="Compact"/>
            </w:pPr>
            <w:r>
              <w:t xml:space="preserve">94.1% (95% UI: 92.4%–95.3%)</w:t>
            </w:r>
          </w:p>
        </w:tc>
        <w:tc>
          <w:tcPr/>
          <w:p>
            <w:pPr>
              <w:pStyle w:val="Compact"/>
            </w:pPr>
            <w:r>
              <w:t xml:space="preserve">70.7% (95% UI: 69.7%–71.7%)</w:t>
            </w:r>
          </w:p>
        </w:tc>
        <w:tc>
          <w:tcPr/>
          <w:p>
            <w:pPr>
              <w:pStyle w:val="Compact"/>
            </w:pPr>
            <w:r>
              <w:t xml:space="preserve">100%</w:t>
            </w:r>
          </w:p>
        </w:tc>
      </w:tr>
      <w:tr>
        <w:tc>
          <w:tcPr/>
          <w:p>
            <w:pPr>
              <w:pStyle w:val="Compact"/>
            </w:pPr>
            <w:r>
              <w:t xml:space="preserve">J + 8,000/year, F 25%</w:t>
            </w:r>
          </w:p>
        </w:tc>
        <w:tc>
          <w:tcPr/>
          <w:p>
            <w:pPr>
              <w:pStyle w:val="Compact"/>
            </w:pPr>
            <w:r>
              <w:t xml:space="preserve">2</w:t>
            </w:r>
          </w:p>
        </w:tc>
        <w:tc>
          <w:tcPr/>
          <w:p>
            <w:pPr>
              <w:pStyle w:val="Compact"/>
            </w:pPr>
            <w:r>
              <w:t xml:space="preserve">94.2% (95% UI: 92.7%–95.3%)</w:t>
            </w:r>
          </w:p>
        </w:tc>
        <w:tc>
          <w:tcPr/>
          <w:p>
            <w:pPr>
              <w:pStyle w:val="Compact"/>
            </w:pPr>
            <w:r>
              <w:t xml:space="preserve">70.8% (95% UI: 69.6%–71.7%)</w:t>
            </w:r>
          </w:p>
        </w:tc>
        <w:tc>
          <w:tcPr/>
          <w:p>
            <w:pPr>
              <w:pStyle w:val="Compact"/>
            </w:pPr>
            <w:r>
              <w:t xml:space="preserve">100%</w:t>
            </w:r>
          </w:p>
        </w:tc>
      </w:tr>
      <w:tr>
        <w:tc>
          <w:tcPr/>
          <w:p>
            <w:pPr>
              <w:pStyle w:val="Compact"/>
            </w:pPr>
            <w:r>
              <w:t xml:space="preserve">J + 8,000/year, F 50%</w:t>
            </w:r>
          </w:p>
        </w:tc>
        <w:tc>
          <w:tcPr/>
          <w:p>
            <w:pPr>
              <w:pStyle w:val="Compact"/>
            </w:pPr>
            <w:r>
              <w:t xml:space="preserve">1</w:t>
            </w:r>
          </w:p>
        </w:tc>
        <w:tc>
          <w:tcPr/>
          <w:p>
            <w:pPr>
              <w:pStyle w:val="Compact"/>
            </w:pPr>
            <w:r>
              <w:t xml:space="preserve">94.1% (95% UI: 92.4%–95.3%)</w:t>
            </w:r>
          </w:p>
        </w:tc>
        <w:tc>
          <w:tcPr/>
          <w:p>
            <w:pPr>
              <w:pStyle w:val="Compact"/>
            </w:pPr>
            <w:r>
              <w:t xml:space="preserve">65.9% (95% UI: 64.6%–67.2%)</w:t>
            </w:r>
          </w:p>
        </w:tc>
        <w:tc>
          <w:tcPr/>
          <w:p>
            <w:pPr>
              <w:pStyle w:val="Compact"/>
            </w:pPr>
            <w:r>
              <w:t xml:space="preserve">92%</w:t>
            </w:r>
          </w:p>
        </w:tc>
      </w:tr>
      <w:tr>
        <w:tc>
          <w:tcPr/>
          <w:p>
            <w:pPr>
              <w:pStyle w:val="Compact"/>
            </w:pPr>
            <w:r>
              <w:t xml:space="preserve">J + 8,000/year, F 50%</w:t>
            </w:r>
          </w:p>
        </w:tc>
        <w:tc>
          <w:tcPr/>
          <w:p>
            <w:pPr>
              <w:pStyle w:val="Compact"/>
            </w:pPr>
            <w:r>
              <w:t xml:space="preserve">2</w:t>
            </w:r>
          </w:p>
        </w:tc>
        <w:tc>
          <w:tcPr/>
          <w:p>
            <w:pPr>
              <w:pStyle w:val="Compact"/>
            </w:pPr>
            <w:r>
              <w:t xml:space="preserve">94.2% (95% UI: 92.7%–95.3%)</w:t>
            </w:r>
          </w:p>
        </w:tc>
        <w:tc>
          <w:tcPr/>
          <w:p>
            <w:pPr>
              <w:pStyle w:val="Compact"/>
            </w:pPr>
            <w:r>
              <w:t xml:space="preserve">66.0% (95% UI: 64.6%–67.2%)</w:t>
            </w:r>
          </w:p>
        </w:tc>
        <w:tc>
          <w:tcPr/>
          <w:p>
            <w:pPr>
              <w:pStyle w:val="Compact"/>
            </w:pPr>
            <w:r>
              <w:t xml:space="preserve">92%</w:t>
            </w:r>
          </w:p>
        </w:tc>
      </w:tr>
      <w:tr>
        <w:tc>
          <w:tcPr/>
          <w:p>
            <w:pPr>
              <w:pStyle w:val="Compact"/>
            </w:pPr>
            <w:r>
              <w:t xml:space="preserve">J + 8,000/year, F 75%</w:t>
            </w:r>
          </w:p>
        </w:tc>
        <w:tc>
          <w:tcPr/>
          <w:p>
            <w:pPr>
              <w:pStyle w:val="Compact"/>
            </w:pPr>
            <w:r>
              <w:t xml:space="preserve">1</w:t>
            </w:r>
          </w:p>
        </w:tc>
        <w:tc>
          <w:tcPr/>
          <w:p>
            <w:pPr>
              <w:pStyle w:val="Compact"/>
            </w:pPr>
            <w:r>
              <w:t xml:space="preserve">94.1% (95% UI: 92.4%–95.3%)</w:t>
            </w:r>
          </w:p>
        </w:tc>
        <w:tc>
          <w:tcPr/>
          <w:p>
            <w:pPr>
              <w:pStyle w:val="Compact"/>
            </w:pPr>
            <w:r>
              <w:t xml:space="preserve">57.3% (95% UI: 56.1%–58.6%)</w:t>
            </w:r>
          </w:p>
        </w:tc>
        <w:tc>
          <w:tcPr/>
          <w:p>
            <w:pPr>
              <w:pStyle w:val="Compact"/>
            </w:pPr>
            <w:r>
              <w:t xml:space="preserve">0%</w:t>
            </w:r>
          </w:p>
        </w:tc>
      </w:tr>
      <w:tr>
        <w:tc>
          <w:tcPr/>
          <w:p>
            <w:pPr>
              <w:pStyle w:val="Compact"/>
            </w:pPr>
            <w:r>
              <w:t xml:space="preserve">J + 8,000/year, F 75%</w:t>
            </w:r>
          </w:p>
        </w:tc>
        <w:tc>
          <w:tcPr/>
          <w:p>
            <w:pPr>
              <w:pStyle w:val="Compact"/>
            </w:pPr>
            <w:r>
              <w:t xml:space="preserve">2</w:t>
            </w:r>
          </w:p>
        </w:tc>
        <w:tc>
          <w:tcPr/>
          <w:p>
            <w:pPr>
              <w:pStyle w:val="Compact"/>
            </w:pPr>
            <w:r>
              <w:t xml:space="preserve">94.2% (95% UI: 92.7%–95.3%)</w:t>
            </w:r>
          </w:p>
        </w:tc>
        <w:tc>
          <w:tcPr/>
          <w:p>
            <w:pPr>
              <w:pStyle w:val="Compact"/>
            </w:pPr>
            <w:r>
              <w:t xml:space="preserve">57.4% (95% UI: 56.1%–58.6%)</w:t>
            </w:r>
          </w:p>
        </w:tc>
        <w:tc>
          <w:tcPr/>
          <w:p>
            <w:pPr>
              <w:pStyle w:val="Compact"/>
            </w:pPr>
            <w:r>
              <w:t xml:space="preserve">0%</w:t>
            </w:r>
          </w:p>
        </w:tc>
      </w:tr>
      <w:tr>
        <w:tc>
          <w:tcPr/>
          <w:p>
            <w:pPr>
              <w:pStyle w:val="Compact"/>
            </w:pPr>
            <w:r>
              <w:t xml:space="preserve">J + no screening cap</w:t>
            </w:r>
          </w:p>
        </w:tc>
        <w:tc>
          <w:tcPr/>
          <w:p>
            <w:pPr>
              <w:pStyle w:val="Compact"/>
            </w:pPr>
            <w:r>
              <w:t xml:space="preserve">1</w:t>
            </w:r>
          </w:p>
        </w:tc>
        <w:tc>
          <w:tcPr/>
          <w:p>
            <w:pPr>
              <w:pStyle w:val="Compact"/>
            </w:pPr>
            <w:r>
              <w:t xml:space="preserve">94.1% (95% UI: 92.4%–95.3%)</w:t>
            </w:r>
          </w:p>
        </w:tc>
        <w:tc>
          <w:tcPr/>
          <w:p>
            <w:pPr>
              <w:pStyle w:val="Compact"/>
            </w:pPr>
            <w:r>
              <w:t xml:space="preserve">74.6% (95% UI: 74.4%–74.8%)</w:t>
            </w:r>
          </w:p>
        </w:tc>
        <w:tc>
          <w:tcPr/>
          <w:p>
            <w:pPr>
              <w:pStyle w:val="Compact"/>
            </w:pPr>
            <w:r>
              <w:t xml:space="preserve">100%</w:t>
            </w:r>
          </w:p>
        </w:tc>
      </w:tr>
      <w:tr>
        <w:tc>
          <w:tcPr/>
          <w:p>
            <w:pPr>
              <w:pStyle w:val="Compact"/>
            </w:pPr>
            <w:r>
              <w:t xml:space="preserve">J + no screening cap</w:t>
            </w:r>
          </w:p>
        </w:tc>
        <w:tc>
          <w:tcPr/>
          <w:p>
            <w:pPr>
              <w:pStyle w:val="Compact"/>
            </w:pPr>
            <w:r>
              <w:t xml:space="preserve">2</w:t>
            </w:r>
          </w:p>
        </w:tc>
        <w:tc>
          <w:tcPr/>
          <w:p>
            <w:pPr>
              <w:pStyle w:val="Compact"/>
            </w:pPr>
            <w:r>
              <w:t xml:space="preserve">94.2% (95% UI: 92.7%–95.3%)</w:t>
            </w:r>
          </w:p>
        </w:tc>
        <w:tc>
          <w:tcPr/>
          <w:p>
            <w:pPr>
              <w:pStyle w:val="Compact"/>
            </w:pPr>
            <w:r>
              <w:t xml:space="preserve">74.6% (95% UI: 74.4%–74.8%)</w:t>
            </w:r>
          </w:p>
        </w:tc>
        <w:tc>
          <w:tcPr/>
          <w:p>
            <w:pPr>
              <w:pStyle w:val="Compact"/>
            </w:pPr>
            <w:r>
              <w:t xml:space="preserve">100%</w:t>
            </w:r>
          </w:p>
        </w:tc>
      </w:tr>
    </w:tbl>
    <w:p>
      <w:pPr>
        <w:pStyle w:val="BodyText"/>
      </w:pPr>
      <w:r>
        <w:t xml:space="preserve">Each seed contributed 1,000 draws.</w:t>
      </w:r>
    </w:p>
    <w:bookmarkEnd w:id="50"/>
    <w:bookmarkStart w:id="51" w:name="cost-sensitivity"/>
    <w:p>
      <w:pPr>
        <w:pStyle w:val="Heading2"/>
      </w:pPr>
      <w:r>
        <w:t xml:space="preserve">4.4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S$8.7 (95% UI: S$7.7–S$10.0)</w:t>
            </w:r>
          </w:p>
        </w:tc>
        <w:tc>
          <w:tcPr/>
          <w:p>
            <w:pPr>
              <w:pStyle w:val="Compact"/>
            </w:pPr>
            <w:r>
              <w:t xml:space="preserve">S$17.5 (95% UI: S$15.5–S$20.0)</w:t>
            </w:r>
          </w:p>
        </w:tc>
        <w:tc>
          <w:tcPr/>
          <w:p>
            <w:pPr>
              <w:pStyle w:val="Compact"/>
            </w:pPr>
            <w:r>
              <w:t xml:space="preserve">S$26.2 (95% UI: S$23.2–S$30.1)</w:t>
            </w:r>
          </w:p>
        </w:tc>
      </w:tr>
      <w:tr>
        <w:tc>
          <w:tcPr/>
          <w:p>
            <w:pPr>
              <w:pStyle w:val="Compact"/>
            </w:pPr>
            <w:r>
              <w:t xml:space="preserve">J + 600/year, F 25%</w:t>
            </w:r>
          </w:p>
        </w:tc>
        <w:tc>
          <w:tcPr/>
          <w:p>
            <w:pPr>
              <w:pStyle w:val="Compact"/>
            </w:pPr>
            <w:r>
              <w:t xml:space="preserve">S$12.6 (95% UI: S$11.6–S$14.0)</w:t>
            </w:r>
          </w:p>
        </w:tc>
        <w:tc>
          <w:tcPr/>
          <w:p>
            <w:pPr>
              <w:pStyle w:val="Compact"/>
            </w:pPr>
            <w:r>
              <w:t xml:space="preserve">S$25.3 (95% UI: S$23.2–S$27.9)</w:t>
            </w:r>
          </w:p>
        </w:tc>
        <w:tc>
          <w:tcPr/>
          <w:p>
            <w:pPr>
              <w:pStyle w:val="Compact"/>
            </w:pPr>
            <w:r>
              <w:t xml:space="preserve">S$37.9 (95% UI: S$34.8–S$41.9)</w:t>
            </w:r>
          </w:p>
        </w:tc>
      </w:tr>
      <w:tr>
        <w:tc>
          <w:tcPr/>
          <w:p>
            <w:pPr>
              <w:pStyle w:val="Compact"/>
            </w:pPr>
            <w:r>
              <w:t xml:space="preserve">J + 1,000/year, F 25%</w:t>
            </w:r>
          </w:p>
        </w:tc>
        <w:tc>
          <w:tcPr/>
          <w:p>
            <w:pPr>
              <w:pStyle w:val="Compact"/>
            </w:pPr>
            <w:r>
              <w:t xml:space="preserve">S$15.0 (95% UI: S$13.9–S$16.3)</w:t>
            </w:r>
          </w:p>
        </w:tc>
        <w:tc>
          <w:tcPr/>
          <w:p>
            <w:pPr>
              <w:pStyle w:val="Compact"/>
            </w:pPr>
            <w:r>
              <w:t xml:space="preserve">S$30.0 (95% UI: S$27.8–S$32.7)</w:t>
            </w:r>
          </w:p>
        </w:tc>
        <w:tc>
          <w:tcPr/>
          <w:p>
            <w:pPr>
              <w:pStyle w:val="Compact"/>
            </w:pPr>
            <w:r>
              <w:t xml:space="preserve">S$45.0 (95% UI: S$41.8–S$49.0)</w:t>
            </w:r>
          </w:p>
        </w:tc>
      </w:tr>
      <w:tr>
        <w:tc>
          <w:tcPr/>
          <w:p>
            <w:pPr>
              <w:pStyle w:val="Compact"/>
            </w:pPr>
            <w:r>
              <w:t xml:space="preserve">J + 2,000/year, F 25%</w:t>
            </w:r>
          </w:p>
        </w:tc>
        <w:tc>
          <w:tcPr/>
          <w:p>
            <w:pPr>
              <w:pStyle w:val="Compact"/>
            </w:pPr>
            <w:r>
              <w:t xml:space="preserve">S$20.2 (95% UI: S$19.0–S$21.7)</w:t>
            </w:r>
          </w:p>
        </w:tc>
        <w:tc>
          <w:tcPr/>
          <w:p>
            <w:pPr>
              <w:pStyle w:val="Compact"/>
            </w:pPr>
            <w:r>
              <w:t xml:space="preserve">S$40.5 (95% UI: S$38.0–S$43.5)</w:t>
            </w:r>
          </w:p>
        </w:tc>
        <w:tc>
          <w:tcPr/>
          <w:p>
            <w:pPr>
              <w:pStyle w:val="Compact"/>
            </w:pPr>
            <w:r>
              <w:t xml:space="preserve">S$60.7 (95% UI: S$57.0–S$65.2)</w:t>
            </w:r>
          </w:p>
        </w:tc>
      </w:tr>
      <w:tr>
        <w:tc>
          <w:tcPr/>
          <w:p>
            <w:pPr>
              <w:pStyle w:val="Compact"/>
            </w:pPr>
            <w:r>
              <w:t xml:space="preserve">J + 5,000/year, F 25%</w:t>
            </w:r>
          </w:p>
        </w:tc>
        <w:tc>
          <w:tcPr/>
          <w:p>
            <w:pPr>
              <w:pStyle w:val="Compact"/>
            </w:pPr>
            <w:r>
              <w:t xml:space="preserve">S$31.1 (95% UI: S$29.3–S$33.2)</w:t>
            </w:r>
          </w:p>
        </w:tc>
        <w:tc>
          <w:tcPr/>
          <w:p>
            <w:pPr>
              <w:pStyle w:val="Compact"/>
            </w:pPr>
            <w:r>
              <w:t xml:space="preserve">S$62.2 (95% UI: S$58.6–S$66.5)</w:t>
            </w:r>
          </w:p>
        </w:tc>
        <w:tc>
          <w:tcPr/>
          <w:p>
            <w:pPr>
              <w:pStyle w:val="Compact"/>
            </w:pPr>
            <w:r>
              <w:t xml:space="preserve">S$93.3 (95% UI: S$87.9–S$99.7)</w:t>
            </w:r>
          </w:p>
        </w:tc>
      </w:tr>
      <w:tr>
        <w:tc>
          <w:tcPr/>
          <w:p>
            <w:pPr>
              <w:pStyle w:val="Compact"/>
            </w:pPr>
            <w:r>
              <w:t xml:space="preserve">J + 8,000/year, F 25%</w:t>
            </w:r>
          </w:p>
        </w:tc>
        <w:tc>
          <w:tcPr/>
          <w:p>
            <w:pPr>
              <w:pStyle w:val="Compact"/>
            </w:pPr>
            <w:r>
              <w:t xml:space="preserve">S$37.4 (95% UI: S$35.1–S$40.2)</w:t>
            </w:r>
          </w:p>
        </w:tc>
        <w:tc>
          <w:tcPr/>
          <w:p>
            <w:pPr>
              <w:pStyle w:val="Compact"/>
            </w:pPr>
            <w:r>
              <w:t xml:space="preserve">S$74.8 (95% UI: S$70.2–S$80.3)</w:t>
            </w:r>
          </w:p>
        </w:tc>
        <w:tc>
          <w:tcPr/>
          <w:p>
            <w:pPr>
              <w:pStyle w:val="Compact"/>
            </w:pPr>
            <w:r>
              <w:t xml:space="preserve">S$112.2 (95% UI: S$105.3–S$120.5)</w:t>
            </w:r>
          </w:p>
        </w:tc>
      </w:tr>
      <w:tr>
        <w:tc>
          <w:tcPr/>
          <w:p>
            <w:pPr>
              <w:pStyle w:val="Compact"/>
            </w:pPr>
            <w:r>
              <w:t xml:space="preserve">J + 600/year, F 50%</w:t>
            </w:r>
          </w:p>
        </w:tc>
        <w:tc>
          <w:tcPr/>
          <w:p>
            <w:pPr>
              <w:pStyle w:val="Compact"/>
            </w:pPr>
            <w:r>
              <w:t xml:space="preserve">S$11.2 (95% UI: S$10.2–S$12.5)</w:t>
            </w:r>
          </w:p>
        </w:tc>
        <w:tc>
          <w:tcPr/>
          <w:p>
            <w:pPr>
              <w:pStyle w:val="Compact"/>
            </w:pPr>
            <w:r>
              <w:t xml:space="preserve">S$22.4 (95% UI: S$20.4–S$24.9)</w:t>
            </w:r>
          </w:p>
        </w:tc>
        <w:tc>
          <w:tcPr/>
          <w:p>
            <w:pPr>
              <w:pStyle w:val="Compact"/>
            </w:pPr>
            <w:r>
              <w:t xml:space="preserve">S$33.5 (95% UI: S$30.6–S$37.4)</w:t>
            </w:r>
          </w:p>
        </w:tc>
      </w:tr>
      <w:tr>
        <w:tc>
          <w:tcPr/>
          <w:p>
            <w:pPr>
              <w:pStyle w:val="Compact"/>
            </w:pPr>
            <w:r>
              <w:t xml:space="preserve">J + 1,000/year, F 50%</w:t>
            </w:r>
          </w:p>
        </w:tc>
        <w:tc>
          <w:tcPr/>
          <w:p>
            <w:pPr>
              <w:pStyle w:val="Compact"/>
            </w:pPr>
            <w:r>
              <w:t xml:space="preserve">S$12.7 (95% UI: S$11.7–S$14.0)</w:t>
            </w:r>
          </w:p>
        </w:tc>
        <w:tc>
          <w:tcPr/>
          <w:p>
            <w:pPr>
              <w:pStyle w:val="Compact"/>
            </w:pPr>
            <w:r>
              <w:t xml:space="preserve">S$25.4 (95% UI: S$23.4–S$27.9)</w:t>
            </w:r>
          </w:p>
        </w:tc>
        <w:tc>
          <w:tcPr/>
          <w:p>
            <w:pPr>
              <w:pStyle w:val="Compact"/>
            </w:pPr>
            <w:r>
              <w:t xml:space="preserve">S$38.1 (95% UI: S$35.1–S$41.9)</w:t>
            </w:r>
          </w:p>
        </w:tc>
      </w:tr>
      <w:tr>
        <w:tc>
          <w:tcPr/>
          <w:p>
            <w:pPr>
              <w:pStyle w:val="Compact"/>
            </w:pPr>
            <w:r>
              <w:t xml:space="preserve">J + 2,000/year, F 50%</w:t>
            </w:r>
          </w:p>
        </w:tc>
        <w:tc>
          <w:tcPr/>
          <w:p>
            <w:pPr>
              <w:pStyle w:val="Compact"/>
            </w:pPr>
            <w:r>
              <w:t xml:space="preserve">S$16.3 (95% UI: S$15.2–S$17.5)</w:t>
            </w:r>
          </w:p>
        </w:tc>
        <w:tc>
          <w:tcPr/>
          <w:p>
            <w:pPr>
              <w:pStyle w:val="Compact"/>
            </w:pPr>
            <w:r>
              <w:t xml:space="preserve">S$32.5 (95% UI: S$30.4–S$35.1)</w:t>
            </w:r>
          </w:p>
        </w:tc>
        <w:tc>
          <w:tcPr/>
          <w:p>
            <w:pPr>
              <w:pStyle w:val="Compact"/>
            </w:pPr>
            <w:r>
              <w:t xml:space="preserve">S$48.8 (95% UI: S$45.6–S$52.6)</w:t>
            </w:r>
          </w:p>
        </w:tc>
      </w:tr>
      <w:tr>
        <w:tc>
          <w:tcPr/>
          <w:p>
            <w:pPr>
              <w:pStyle w:val="Compact"/>
            </w:pPr>
            <w:r>
              <w:t xml:space="preserve">J + 5,000/year, F 50%</w:t>
            </w:r>
          </w:p>
        </w:tc>
        <w:tc>
          <w:tcPr/>
          <w:p>
            <w:pPr>
              <w:pStyle w:val="Compact"/>
            </w:pPr>
            <w:r>
              <w:t xml:space="preserve">S$25.4 (95% UI: S$24.0–S$27.1)</w:t>
            </w:r>
          </w:p>
        </w:tc>
        <w:tc>
          <w:tcPr/>
          <w:p>
            <w:pPr>
              <w:pStyle w:val="Compact"/>
            </w:pPr>
            <w:r>
              <w:t xml:space="preserve">S$50.8 (95% UI: S$48.0–S$54.2)</w:t>
            </w:r>
          </w:p>
        </w:tc>
        <w:tc>
          <w:tcPr/>
          <w:p>
            <w:pPr>
              <w:pStyle w:val="Compact"/>
            </w:pPr>
            <w:r>
              <w:t xml:space="preserve">S$76.2 (95% UI: S$71.9–S$81.3)</w:t>
            </w:r>
          </w:p>
        </w:tc>
      </w:tr>
      <w:tr>
        <w:tc>
          <w:tcPr/>
          <w:p>
            <w:pPr>
              <w:pStyle w:val="Compact"/>
            </w:pPr>
            <w:r>
              <w:t xml:space="preserve">J + 8,000/year, F 50%</w:t>
            </w:r>
          </w:p>
        </w:tc>
        <w:tc>
          <w:tcPr/>
          <w:p>
            <w:pPr>
              <w:pStyle w:val="Compact"/>
            </w:pPr>
            <w:r>
              <w:t xml:space="preserve">S$31.9 (95% UI: S$30.0–S$34.1)</w:t>
            </w:r>
          </w:p>
        </w:tc>
        <w:tc>
          <w:tcPr/>
          <w:p>
            <w:pPr>
              <w:pStyle w:val="Compact"/>
            </w:pPr>
            <w:r>
              <w:t xml:space="preserve">S$63.8 (95% UI: S$60.1–S$68.2)</w:t>
            </w:r>
          </w:p>
        </w:tc>
        <w:tc>
          <w:tcPr/>
          <w:p>
            <w:pPr>
              <w:pStyle w:val="Compact"/>
            </w:pPr>
            <w:r>
              <w:t xml:space="preserve">S$95.6 (95% UI: S$90.1–S$102.3)</w:t>
            </w:r>
          </w:p>
        </w:tc>
      </w:tr>
      <w:tr>
        <w:tc>
          <w:tcPr/>
          <w:p>
            <w:pPr>
              <w:pStyle w:val="Compact"/>
            </w:pPr>
            <w:r>
              <w:t xml:space="preserve">J + 600/year, F 75%</w:t>
            </w:r>
          </w:p>
        </w:tc>
        <w:tc>
          <w:tcPr/>
          <w:p>
            <w:pPr>
              <w:pStyle w:val="Compact"/>
            </w:pPr>
            <w:r>
              <w:t xml:space="preserve">S$9.7 (95% UI: S$8.7–S$10.9)</w:t>
            </w:r>
          </w:p>
        </w:tc>
        <w:tc>
          <w:tcPr/>
          <w:p>
            <w:pPr>
              <w:pStyle w:val="Compact"/>
            </w:pPr>
            <w:r>
              <w:t xml:space="preserve">S$19.4 (95% UI: S$17.5–S$21.9)</w:t>
            </w:r>
          </w:p>
        </w:tc>
        <w:tc>
          <w:tcPr/>
          <w:p>
            <w:pPr>
              <w:pStyle w:val="Compact"/>
            </w:pPr>
            <w:r>
              <w:t xml:space="preserve">S$29.1 (95% UI: S$26.2–S$32.8)</w:t>
            </w:r>
          </w:p>
        </w:tc>
      </w:tr>
      <w:tr>
        <w:tc>
          <w:tcPr/>
          <w:p>
            <w:pPr>
              <w:pStyle w:val="Compact"/>
            </w:pPr>
            <w:r>
              <w:t xml:space="preserve">J + 1,000/year, F 75%</w:t>
            </w:r>
          </w:p>
        </w:tc>
        <w:tc>
          <w:tcPr/>
          <w:p>
            <w:pPr>
              <w:pStyle w:val="Compact"/>
            </w:pPr>
            <w:r>
              <w:t xml:space="preserve">S$10.3 (95% UI: S$9.4–S$11.5)</w:t>
            </w:r>
          </w:p>
        </w:tc>
        <w:tc>
          <w:tcPr/>
          <w:p>
            <w:pPr>
              <w:pStyle w:val="Compact"/>
            </w:pPr>
            <w:r>
              <w:t xml:space="preserve">S$20.6 (95% UI: S$18.8–S$23.0)</w:t>
            </w:r>
          </w:p>
        </w:tc>
        <w:tc>
          <w:tcPr/>
          <w:p>
            <w:pPr>
              <w:pStyle w:val="Compact"/>
            </w:pPr>
            <w:r>
              <w:t xml:space="preserve">S$30.9 (95% UI: S$28.1–S$34.5)</w:t>
            </w:r>
          </w:p>
        </w:tc>
      </w:tr>
      <w:tr>
        <w:tc>
          <w:tcPr/>
          <w:p>
            <w:pPr>
              <w:pStyle w:val="Compact"/>
            </w:pPr>
            <w:r>
              <w:t xml:space="preserve">J + 2,000/year, F 75%</w:t>
            </w:r>
          </w:p>
        </w:tc>
        <w:tc>
          <w:tcPr/>
          <w:p>
            <w:pPr>
              <w:pStyle w:val="Compact"/>
            </w:pPr>
            <w:r>
              <w:t xml:space="preserve">S$12.0 (95% UI: S$11.1–S$13.1)</w:t>
            </w:r>
          </w:p>
        </w:tc>
        <w:tc>
          <w:tcPr/>
          <w:p>
            <w:pPr>
              <w:pStyle w:val="Compact"/>
            </w:pPr>
            <w:r>
              <w:t xml:space="preserve">S$24.0 (95% UI: S$22.2–S$26.2)</w:t>
            </w:r>
          </w:p>
        </w:tc>
        <w:tc>
          <w:tcPr/>
          <w:p>
            <w:pPr>
              <w:pStyle w:val="Compact"/>
            </w:pPr>
            <w:r>
              <w:t xml:space="preserve">S$36.0 (95% UI: S$33.3–S$39.4)</w:t>
            </w:r>
          </w:p>
        </w:tc>
      </w:tr>
      <w:tr>
        <w:tc>
          <w:tcPr/>
          <w:p>
            <w:pPr>
              <w:pStyle w:val="Compact"/>
            </w:pPr>
            <w:r>
              <w:t xml:space="preserve">J + 5,000/year, F 75%</w:t>
            </w:r>
          </w:p>
        </w:tc>
        <w:tc>
          <w:tcPr/>
          <w:p>
            <w:pPr>
              <w:pStyle w:val="Compact"/>
            </w:pPr>
            <w:r>
              <w:t xml:space="preserve">S$17.8 (95% UI: S$16.7–S$19.1)</w:t>
            </w:r>
          </w:p>
        </w:tc>
        <w:tc>
          <w:tcPr/>
          <w:p>
            <w:pPr>
              <w:pStyle w:val="Compact"/>
            </w:pPr>
            <w:r>
              <w:t xml:space="preserve">S$35.6 (95% UI: S$33.5–S$38.2)</w:t>
            </w:r>
          </w:p>
        </w:tc>
        <w:tc>
          <w:tcPr/>
          <w:p>
            <w:pPr>
              <w:pStyle w:val="Compact"/>
            </w:pPr>
            <w:r>
              <w:t xml:space="preserve">S$53.4 (95% UI: S$50.2–S$57.2)</w:t>
            </w:r>
          </w:p>
        </w:tc>
      </w:tr>
      <w:tr>
        <w:tc>
          <w:tcPr/>
          <w:p>
            <w:pPr>
              <w:pStyle w:val="Compact"/>
            </w:pPr>
            <w:r>
              <w:t xml:space="preserve">J + 8,000/year, F 75%</w:t>
            </w:r>
          </w:p>
        </w:tc>
        <w:tc>
          <w:tcPr/>
          <w:p>
            <w:pPr>
              <w:pStyle w:val="Compact"/>
            </w:pPr>
            <w:r>
              <w:t xml:space="preserve">S$22.6 (95% UI: S$21.4–S$24.2)</w:t>
            </w:r>
          </w:p>
        </w:tc>
        <w:tc>
          <w:tcPr/>
          <w:p>
            <w:pPr>
              <w:pStyle w:val="Compact"/>
            </w:pPr>
            <w:r>
              <w:t xml:space="preserve">S$45.3 (95% UI: S$42.7–S$48.4)</w:t>
            </w:r>
          </w:p>
        </w:tc>
        <w:tc>
          <w:tcPr/>
          <w:p>
            <w:pPr>
              <w:pStyle w:val="Compact"/>
            </w:pPr>
            <w:r>
              <w:t xml:space="preserve">S$67.9 (95% UI: S$64.1–S$72.5)</w:t>
            </w:r>
          </w:p>
        </w:tc>
      </w:tr>
      <w:tr>
        <w:tc>
          <w:tcPr/>
          <w:p>
            <w:pPr>
              <w:pStyle w:val="Compact"/>
            </w:pPr>
            <w:r>
              <w:t xml:space="preserve">J + no screening cap</w:t>
            </w:r>
          </w:p>
        </w:tc>
        <w:tc>
          <w:tcPr/>
          <w:p>
            <w:pPr>
              <w:pStyle w:val="Compact"/>
            </w:pPr>
            <w:r>
              <w:t xml:space="preserve">S$45.6 (95% UI: S$42.0–S$49.9)</w:t>
            </w:r>
          </w:p>
        </w:tc>
        <w:tc>
          <w:tcPr/>
          <w:p>
            <w:pPr>
              <w:pStyle w:val="Compact"/>
            </w:pPr>
            <w:r>
              <w:t xml:space="preserve">S$91.3 (95% UI: S$84.0–S$99.8)</w:t>
            </w:r>
          </w:p>
        </w:tc>
        <w:tc>
          <w:tcPr/>
          <w:p>
            <w:pPr>
              <w:pStyle w:val="Compact"/>
            </w:pPr>
            <w:r>
              <w:t xml:space="preserve">S$136.9 (95% UI: S$126.0–S$149.7)</w:t>
            </w:r>
          </w:p>
        </w:tc>
      </w:tr>
    </w:tbl>
    <w:bookmarkEnd w:id="51"/>
    <w:bookmarkEnd w:id="52"/>
    <w:bookmarkStart w:id="53" w:name="uncertainty-analysis-and-software"/>
    <w:p>
      <w:pPr>
        <w:pStyle w:val="Heading1"/>
      </w:pPr>
      <w:r>
        <w:t xml:space="preserve">5. Uncertainty analysis and software</w:t>
      </w:r>
    </w:p>
    <w:p>
      <w:pPr>
        <w:pStyle w:val="FirstParagraph"/>
      </w:pPr>
      <w:r>
        <w:t xml:space="preserve">We sampled 1,000 parameter sets at random without replacement from each seed’s 5,000 posterior samples,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[25]</w:t>
      </w:r>
      <w:r>
        <w:t xml:space="preserve"> </w:t>
      </w:r>
      <w:r>
        <w:t xml:space="preserve">with a daily time step. NPE used Python, PyTorch and sbi</w:t>
      </w:r>
      <w:r>
        <w:t xml:space="preserve"> </w:t>
      </w:r>
      <w:r>
        <w:t xml:space="preserve">[19]</w:t>
      </w:r>
      <w:r>
        <w:t xml:space="preserve">. The full analysis of 2,000 draws took about 18 minutes on 14 processor cores. The project test suite (62 checks) passed. Running the scenario code at the pooled posterior median reproduced the earlier single point results exactly.</w:t>
      </w:r>
    </w:p>
    <w:bookmarkEnd w:id="53"/>
    <w:bookmarkStart w:id="54"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[26,27]</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[28]</w:t>
      </w:r>
      <w:r>
        <w:t xml:space="preserve">. The model gave 116 (95% UI: 105–131)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[29,30]</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bookmarkEnd w:id="54"/>
    <w:bookmarkStart w:id="55"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4.4,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S7</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4.3, 4.4</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5"/>
    <w:bookmarkStart w:id="113" w:name="references"/>
    <w:p>
      <w:pPr>
        <w:pStyle w:val="Heading1"/>
      </w:pPr>
      <w:r>
        <w:t xml:space="preserve">References</w:t>
      </w:r>
    </w:p>
    <w:bookmarkStart w:id="112" w:name="refs"/>
    <w:bookmarkStart w:id="57"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6">
        <w:r>
          <w:rPr>
            <w:rStyle w:val="Hyperlink"/>
          </w:rPr>
          <w:t xml:space="preserve">10.1371/journal.pone.0100749</w:t>
        </w:r>
      </w:hyperlink>
    </w:p>
    <w:bookmarkEnd w:id="57"/>
    <w:bookmarkStart w:id="59"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8">
        <w:r>
          <w:rPr>
            <w:rStyle w:val="Hyperlink"/>
          </w:rPr>
          <w:t xml:space="preserve">10.3390/v16111739</w:t>
        </w:r>
      </w:hyperlink>
    </w:p>
    <w:bookmarkEnd w:id="59"/>
    <w:bookmarkStart w:id="61"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60">
        <w:r>
          <w:rPr>
            <w:rStyle w:val="Hyperlink"/>
          </w:rPr>
          <w:t xml:space="preserve">10.1046/j.1440-1746.2000.02112.x</w:t>
        </w:r>
      </w:hyperlink>
    </w:p>
    <w:bookmarkEnd w:id="61"/>
    <w:bookmarkStart w:id="63"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2">
        <w:r>
          <w:rPr>
            <w:rStyle w:val="Hyperlink"/>
          </w:rPr>
          <w:t xml:space="preserve">10.1111/j.1365-2893.2005.00651.x</w:t>
        </w:r>
      </w:hyperlink>
    </w:p>
    <w:bookmarkEnd w:id="63"/>
    <w:bookmarkStart w:id="65"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4">
        <w:r>
          <w:rPr>
            <w:rStyle w:val="Hyperlink"/>
          </w:rPr>
          <w:t xml:space="preserve">10.1016/j.hbpd.2018.12.002</w:t>
        </w:r>
      </w:hyperlink>
    </w:p>
    <w:bookmarkEnd w:id="65"/>
    <w:bookmarkStart w:id="67"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6">
        <w:r>
          <w:rPr>
            <w:rStyle w:val="Hyperlink"/>
          </w:rPr>
          <w:t xml:space="preserve">10.1002/hep.27095</w:t>
        </w:r>
      </w:hyperlink>
    </w:p>
    <w:bookmarkEnd w:id="67"/>
    <w:bookmarkStart w:id="69"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8">
        <w:r>
          <w:rPr>
            <w:rStyle w:val="Hyperlink"/>
          </w:rPr>
          <w:t xml:space="preserve">10.1001/jama.2012.144878</w:t>
        </w:r>
      </w:hyperlink>
    </w:p>
    <w:bookmarkEnd w:id="69"/>
    <w:bookmarkStart w:id="71"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0">
        <w:r>
          <w:rPr>
            <w:rStyle w:val="Hyperlink"/>
          </w:rPr>
          <w:t xml:space="preserve">10.7326/0003-4819-158-5-201303050-00005</w:t>
        </w:r>
      </w:hyperlink>
    </w:p>
    <w:bookmarkEnd w:id="71"/>
    <w:bookmarkStart w:id="73"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2">
        <w:r>
          <w:rPr>
            <w:rStyle w:val="Hyperlink"/>
          </w:rPr>
          <w:t xml:space="preserve">10.1053/j.gastro.2024.08.018</w:t>
        </w:r>
      </w:hyperlink>
    </w:p>
    <w:bookmarkEnd w:id="73"/>
    <w:bookmarkStart w:id="75"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4">
        <w:r>
          <w:rPr>
            <w:rStyle w:val="Hyperlink"/>
          </w:rPr>
          <w:t xml:space="preserve">10.1002/hep.30988</w:t>
        </w:r>
      </w:hyperlink>
    </w:p>
    <w:bookmarkEnd w:id="75"/>
    <w:bookmarkStart w:id="77" w:name="ref-mathers2013"/>
    <w:p>
      <w:pPr>
        <w:pStyle w:val="Bibliography"/>
      </w:pPr>
      <w:r>
        <w:t xml:space="preserve">11.</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76">
        <w:r>
          <w:rPr>
            <w:rStyle w:val="Hyperlink"/>
          </w:rPr>
          <w:t xml:space="preserve">10.2471/blt.12.108282</w:t>
        </w:r>
      </w:hyperlink>
    </w:p>
    <w:bookmarkEnd w:id="77"/>
    <w:bookmarkStart w:id="79"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8">
        <w:r>
          <w:rPr>
            <w:rStyle w:val="Hyperlink"/>
          </w:rPr>
          <w:t xml:space="preserve">10.1093/ije/dyx270</w:t>
        </w:r>
      </w:hyperlink>
    </w:p>
    <w:bookmarkEnd w:id="79"/>
    <w:bookmarkStart w:id="81" w:name="ref-pawlotsky2020"/>
    <w:p>
      <w:pPr>
        <w:pStyle w:val="Bibliography"/>
      </w:pPr>
      <w:r>
        <w:t xml:space="preserve">13.</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0">
        <w:r>
          <w:rPr>
            <w:rStyle w:val="Hyperlink"/>
          </w:rPr>
          <w:t xml:space="preserve">10.1016/j.jhep.2020.08.018</w:t>
        </w:r>
      </w:hyperlink>
    </w:p>
    <w:bookmarkEnd w:id="81"/>
    <w:bookmarkStart w:id="83" w:name="ref-xiao2025"/>
    <w:p>
      <w:pPr>
        <w:pStyle w:val="Bibliography"/>
      </w:pPr>
      <w:r>
        <w:t xml:space="preserve">14.</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2">
        <w:r>
          <w:rPr>
            <w:rStyle w:val="Hyperlink"/>
          </w:rPr>
          <w:t xml:space="preserve">10.1111/jvh.70078</w:t>
        </w:r>
      </w:hyperlink>
    </w:p>
    <w:bookmarkEnd w:id="83"/>
    <w:bookmarkStart w:id="85" w:name="ref-thein2008"/>
    <w:p>
      <w:pPr>
        <w:pStyle w:val="Bibliography"/>
      </w:pPr>
      <w:r>
        <w:t xml:space="preserve">15.</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4">
        <w:r>
          <w:rPr>
            <w:rStyle w:val="Hyperlink"/>
          </w:rPr>
          <w:t xml:space="preserve">10.1002/hep.22375</w:t>
        </w:r>
      </w:hyperlink>
    </w:p>
    <w:bookmarkEnd w:id="85"/>
    <w:bookmarkStart w:id="87" w:name="ref-singstat_drug"/>
    <w:p>
      <w:pPr>
        <w:pStyle w:val="Bibliography"/>
      </w:pPr>
      <w:r>
        <w:t xml:space="preserve">16.</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6">
        <w:r>
          <w:rPr>
            <w:rStyle w:val="Hyperlink"/>
          </w:rPr>
          <w:t xml:space="preserve">https://data.gov.sg/datasets/d_f174679381e9085e32869c32bdb01b87/view</w:t>
        </w:r>
      </w:hyperlink>
    </w:p>
    <w:bookmarkEnd w:id="87"/>
    <w:bookmarkStart w:id="88" w:name="ref-greenberg2019"/>
    <w:p>
      <w:pPr>
        <w:pStyle w:val="Bibliography"/>
      </w:pPr>
      <w:r>
        <w:t xml:space="preserve">17.</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88"/>
    <w:bookmarkStart w:id="89" w:name="ref-papamakarios2017"/>
    <w:p>
      <w:pPr>
        <w:pStyle w:val="Bibliography"/>
      </w:pPr>
      <w:r>
        <w:t xml:space="preserve">18.</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89"/>
    <w:bookmarkStart w:id="91" w:name="ref-sbi2020"/>
    <w:p>
      <w:pPr>
        <w:pStyle w:val="Bibliography"/>
      </w:pPr>
      <w:r>
        <w:t xml:space="preserve">19.</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0">
        <w:r>
          <w:rPr>
            <w:rStyle w:val="Hyperlink"/>
          </w:rPr>
          <w:t xml:space="preserve">10.21105/joss.02505</w:t>
        </w:r>
      </w:hyperlink>
    </w:p>
    <w:bookmarkEnd w:id="91"/>
    <w:bookmarkStart w:id="92" w:name="ref-talts2018"/>
    <w:p>
      <w:pPr>
        <w:pStyle w:val="Bibliography"/>
      </w:pPr>
      <w:r>
        <w:t xml:space="preserve">20.</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2"/>
    <w:bookmarkStart w:id="94" w:name="ref-wong2019"/>
    <w:p>
      <w:pPr>
        <w:pStyle w:val="Bibliography"/>
      </w:pPr>
      <w:r>
        <w:t xml:space="preserve">21.</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3">
        <w:r>
          <w:rPr>
            <w:rStyle w:val="Hyperlink"/>
          </w:rPr>
          <w:t xml:space="preserve">10.1002/jgh3.12139</w:t>
        </w:r>
      </w:hyperlink>
    </w:p>
    <w:bookmarkEnd w:id="94"/>
    <w:bookmarkStart w:id="96" w:name="ref-sgd_rate"/>
    <w:p>
      <w:pPr>
        <w:pStyle w:val="Bibliography"/>
      </w:pPr>
      <w:r>
        <w:t xml:space="preserve">22.</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5">
        <w:r>
          <w:rPr>
            <w:rStyle w:val="Hyperlink"/>
          </w:rPr>
          <w:t xml:space="preserve">https://data.gov.sg/datasets/d_b09aeaf8eb591c4bfe347b66148c6b53/view</w:t>
        </w:r>
      </w:hyperlink>
    </w:p>
    <w:bookmarkEnd w:id="96"/>
    <w:bookmarkStart w:id="98" w:name="ref-nhg_dsc"/>
    <w:p>
      <w:pPr>
        <w:pStyle w:val="Bibliography"/>
      </w:pPr>
      <w:r>
        <w:t xml:space="preserve">23.</w:t>
      </w:r>
      <w:r>
        <w:t xml:space="preserve"> </w:t>
      </w:r>
      <w:r>
        <w:t xml:space="preserve">	</w:t>
      </w:r>
      <w:r>
        <w:t xml:space="preserve">National Healthcare Group.</w:t>
      </w:r>
      <w:r>
        <w:t xml:space="preserve"> </w:t>
      </w:r>
      <w:r>
        <w:t xml:space="preserve">DSC clinic charges</w:t>
      </w:r>
      <w:r>
        <w:t xml:space="preserve">. Available:</w:t>
      </w:r>
      <w:r>
        <w:t xml:space="preserve"> </w:t>
      </w:r>
      <w:hyperlink r:id="rId97">
        <w:r>
          <w:rPr>
            <w:rStyle w:val="Hyperlink"/>
          </w:rPr>
          <w:t xml:space="preserve">https://www.nhghealth.com.sg/nsc/about-dsc-clinic/dsc-patient-information/dsc-services/clinic-charges/</w:t>
        </w:r>
      </w:hyperlink>
    </w:p>
    <w:bookmarkEnd w:id="98"/>
    <w:bookmarkStart w:id="100" w:name="ref-parkway_rna"/>
    <w:p>
      <w:pPr>
        <w:pStyle w:val="Bibliography"/>
      </w:pPr>
      <w:r>
        <w:t xml:space="preserve">24.</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99">
        <w:r>
          <w:rPr>
            <w:rStyle w:val="Hyperlink"/>
          </w:rPr>
          <w:t xml:space="preserve">https://www.parkwaylabs.com.sg/docs/parkwaylablibraries/test-catalogues/send-out-test-price.pdf</w:t>
        </w:r>
      </w:hyperlink>
    </w:p>
    <w:bookmarkEnd w:id="100"/>
    <w:bookmarkStart w:id="102" w:name="ref-rcpp2011"/>
    <w:p>
      <w:pPr>
        <w:pStyle w:val="Bibliography"/>
      </w:pPr>
      <w:r>
        <w:t xml:space="preserve">25.</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1">
        <w:r>
          <w:rPr>
            <w:rStyle w:val="Hyperlink"/>
          </w:rPr>
          <w:t xml:space="preserve">10.18637/jss.v040.i08</w:t>
        </w:r>
      </w:hyperlink>
    </w:p>
    <w:bookmarkEnd w:id="102"/>
    <w:bookmarkStart w:id="103" w:name="ref-who2023validation"/>
    <w:p>
      <w:pPr>
        <w:pStyle w:val="Bibliography"/>
      </w:pPr>
      <w:r>
        <w:t xml:space="preserve">26.</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3"/>
    <w:bookmarkStart w:id="105" w:name="ref-cda_hcv"/>
    <w:p>
      <w:pPr>
        <w:pStyle w:val="Bibliography"/>
      </w:pPr>
      <w:r>
        <w:t xml:space="preserve">27.</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4">
        <w:r>
          <w:rPr>
            <w:rStyle w:val="Hyperlink"/>
          </w:rPr>
          <w:t xml:space="preserve">https://www.cda.gov.sg/professionals/diseases/hepatitis-c/</w:t>
        </w:r>
      </w:hyperlink>
    </w:p>
    <w:bookmarkEnd w:id="105"/>
    <w:bookmarkStart w:id="107" w:name="ref-prison2021"/>
    <w:p>
      <w:pPr>
        <w:pStyle w:val="Bibliography"/>
      </w:pPr>
      <w:r>
        <w:t xml:space="preserve">28.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06">
        <w:r>
          <w:rPr>
            <w:rStyle w:val="Hyperlink"/>
          </w:rPr>
          <w:t xml:space="preserve">10.3350/cmh.2021.0015</w:t>
        </w:r>
      </w:hyperlink>
    </w:p>
    <w:bookmarkEnd w:id="107"/>
    <w:bookmarkStart w:id="109" w:name="ref-hsiang2022"/>
    <w:p>
      <w:pPr>
        <w:pStyle w:val="Bibliography"/>
      </w:pPr>
      <w:r>
        <w:t xml:space="preserve">29.</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8">
        <w:r>
          <w:rPr>
            <w:rStyle w:val="Hyperlink"/>
          </w:rPr>
          <w:t xml:space="preserve">10.11622/smedj.2020116</w:t>
        </w:r>
      </w:hyperlink>
    </w:p>
    <w:bookmarkEnd w:id="109"/>
    <w:bookmarkStart w:id="111" w:name="ref-clink2022"/>
    <w:p>
      <w:pPr>
        <w:pStyle w:val="Bibliography"/>
      </w:pPr>
      <w:r>
        <w:t xml:space="preserve">30.</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0">
        <w:r>
          <w:rPr>
            <w:rStyle w:val="Hyperlink"/>
          </w:rPr>
          <w:t xml:space="preserve">10.1093/ofid/ofac350</w:t>
        </w:r>
      </w:hyperlink>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95" Target="https://data.gov.sg/datasets/d_b09aeaf8eb591c4bfe347b66148c6b53/view" TargetMode="External" /><Relationship Type="http://schemas.openxmlformats.org/officeDocument/2006/relationships/hyperlink" Id="rId86" Target="https://data.gov.sg/datasets/d_f174679381e9085e32869c32bdb01b87/view" TargetMode="External" /><Relationship Type="http://schemas.openxmlformats.org/officeDocument/2006/relationships/hyperlink" Id="rId68" Target="https://doi.org/10.1001/jama.2012.144878" TargetMode="External" /><Relationship Type="http://schemas.openxmlformats.org/officeDocument/2006/relationships/hyperlink" Id="rId84" Target="https://doi.org/10.1002/hep.22375" TargetMode="External" /><Relationship Type="http://schemas.openxmlformats.org/officeDocument/2006/relationships/hyperlink" Id="rId66" Target="https://doi.org/10.1002/hep.27095" TargetMode="External" /><Relationship Type="http://schemas.openxmlformats.org/officeDocument/2006/relationships/hyperlink" Id="rId74" Target="https://doi.org/10.1002/hep.30988" TargetMode="External" /><Relationship Type="http://schemas.openxmlformats.org/officeDocument/2006/relationships/hyperlink" Id="rId93" Target="https://doi.org/10.1002/jgh3.12139" TargetMode="External" /><Relationship Type="http://schemas.openxmlformats.org/officeDocument/2006/relationships/hyperlink" Id="rId64" Target="https://doi.org/10.1016/j.hbpd.2018.12.002" TargetMode="External" /><Relationship Type="http://schemas.openxmlformats.org/officeDocument/2006/relationships/hyperlink" Id="rId80" Target="https://doi.org/10.1016/j.jhep.2020.08.018" TargetMode="External" /><Relationship Type="http://schemas.openxmlformats.org/officeDocument/2006/relationships/hyperlink" Id="rId60" Target="https://doi.org/10.1046/j.1440-1746.2000.02112.x" TargetMode="External" /><Relationship Type="http://schemas.openxmlformats.org/officeDocument/2006/relationships/hyperlink" Id="rId72" Target="https://doi.org/10.1053/j.gastro.2024.08.018" TargetMode="External" /><Relationship Type="http://schemas.openxmlformats.org/officeDocument/2006/relationships/hyperlink" Id="rId78" Target="https://doi.org/10.1093/ije/dyx270" TargetMode="External" /><Relationship Type="http://schemas.openxmlformats.org/officeDocument/2006/relationships/hyperlink" Id="rId110" Target="https://doi.org/10.1093/ofid/ofac350" TargetMode="External" /><Relationship Type="http://schemas.openxmlformats.org/officeDocument/2006/relationships/hyperlink" Id="rId62" Target="https://doi.org/10.1111/j.1365-2893.2005.00651.x" TargetMode="External" /><Relationship Type="http://schemas.openxmlformats.org/officeDocument/2006/relationships/hyperlink" Id="rId82" Target="https://doi.org/10.1111/jvh.70078" TargetMode="External" /><Relationship Type="http://schemas.openxmlformats.org/officeDocument/2006/relationships/hyperlink" Id="rId108" Target="https://doi.org/10.11622/smedj.2020116" TargetMode="External" /><Relationship Type="http://schemas.openxmlformats.org/officeDocument/2006/relationships/hyperlink" Id="rId56" Target="https://doi.org/10.1371/journal.pone.0100749" TargetMode="External" /><Relationship Type="http://schemas.openxmlformats.org/officeDocument/2006/relationships/hyperlink" Id="rId101" Target="https://doi.org/10.18637/jss.v040.i08" TargetMode="External" /><Relationship Type="http://schemas.openxmlformats.org/officeDocument/2006/relationships/hyperlink" Id="rId90" Target="https://doi.org/10.21105/joss.02505" TargetMode="External" /><Relationship Type="http://schemas.openxmlformats.org/officeDocument/2006/relationships/hyperlink" Id="rId76" Target="https://doi.org/10.2471/blt.12.108282" TargetMode="External" /><Relationship Type="http://schemas.openxmlformats.org/officeDocument/2006/relationships/hyperlink" Id="rId106" Target="https://doi.org/10.3350/cmh.2021.0015" TargetMode="External" /><Relationship Type="http://schemas.openxmlformats.org/officeDocument/2006/relationships/hyperlink" Id="rId58" Target="https://doi.org/10.3390/v16111739" TargetMode="External" /><Relationship Type="http://schemas.openxmlformats.org/officeDocument/2006/relationships/hyperlink" Id="rId70" Target="https://doi.org/10.7326/0003-4819-158-5-201303050-00005" TargetMode="External" /><Relationship Type="http://schemas.openxmlformats.org/officeDocument/2006/relationships/hyperlink" Id="rId104" Target="https://www.cda.gov.sg/professionals/diseases/hepatitis-c/" TargetMode="External" /><Relationship Type="http://schemas.openxmlformats.org/officeDocument/2006/relationships/hyperlink" Id="rId97" Target="https://www.nhghealth.com.sg/nsc/about-dsc-clinic/dsc-patient-information/dsc-services/clinic-charges/" TargetMode="External" /><Relationship Type="http://schemas.openxmlformats.org/officeDocument/2006/relationships/hyperlink" Id="rId99"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95" Target="https://data.gov.sg/datasets/d_b09aeaf8eb591c4bfe347b66148c6b53/view" TargetMode="External" /><Relationship Type="http://schemas.openxmlformats.org/officeDocument/2006/relationships/hyperlink" Id="rId86" Target="https://data.gov.sg/datasets/d_f174679381e9085e32869c32bdb01b87/view" TargetMode="External" /><Relationship Type="http://schemas.openxmlformats.org/officeDocument/2006/relationships/hyperlink" Id="rId68" Target="https://doi.org/10.1001/jama.2012.144878" TargetMode="External" /><Relationship Type="http://schemas.openxmlformats.org/officeDocument/2006/relationships/hyperlink" Id="rId84" Target="https://doi.org/10.1002/hep.22375" TargetMode="External" /><Relationship Type="http://schemas.openxmlformats.org/officeDocument/2006/relationships/hyperlink" Id="rId66" Target="https://doi.org/10.1002/hep.27095" TargetMode="External" /><Relationship Type="http://schemas.openxmlformats.org/officeDocument/2006/relationships/hyperlink" Id="rId74" Target="https://doi.org/10.1002/hep.30988" TargetMode="External" /><Relationship Type="http://schemas.openxmlformats.org/officeDocument/2006/relationships/hyperlink" Id="rId93" Target="https://doi.org/10.1002/jgh3.12139" TargetMode="External" /><Relationship Type="http://schemas.openxmlformats.org/officeDocument/2006/relationships/hyperlink" Id="rId64" Target="https://doi.org/10.1016/j.hbpd.2018.12.002" TargetMode="External" /><Relationship Type="http://schemas.openxmlformats.org/officeDocument/2006/relationships/hyperlink" Id="rId80" Target="https://doi.org/10.1016/j.jhep.2020.08.018" TargetMode="External" /><Relationship Type="http://schemas.openxmlformats.org/officeDocument/2006/relationships/hyperlink" Id="rId60" Target="https://doi.org/10.1046/j.1440-1746.2000.02112.x" TargetMode="External" /><Relationship Type="http://schemas.openxmlformats.org/officeDocument/2006/relationships/hyperlink" Id="rId72" Target="https://doi.org/10.1053/j.gastro.2024.08.018" TargetMode="External" /><Relationship Type="http://schemas.openxmlformats.org/officeDocument/2006/relationships/hyperlink" Id="rId78" Target="https://doi.org/10.1093/ije/dyx270" TargetMode="External" /><Relationship Type="http://schemas.openxmlformats.org/officeDocument/2006/relationships/hyperlink" Id="rId110" Target="https://doi.org/10.1093/ofid/ofac350" TargetMode="External" /><Relationship Type="http://schemas.openxmlformats.org/officeDocument/2006/relationships/hyperlink" Id="rId62" Target="https://doi.org/10.1111/j.1365-2893.2005.00651.x" TargetMode="External" /><Relationship Type="http://schemas.openxmlformats.org/officeDocument/2006/relationships/hyperlink" Id="rId82" Target="https://doi.org/10.1111/jvh.70078" TargetMode="External" /><Relationship Type="http://schemas.openxmlformats.org/officeDocument/2006/relationships/hyperlink" Id="rId108" Target="https://doi.org/10.11622/smedj.2020116" TargetMode="External" /><Relationship Type="http://schemas.openxmlformats.org/officeDocument/2006/relationships/hyperlink" Id="rId56" Target="https://doi.org/10.1371/journal.pone.0100749" TargetMode="External" /><Relationship Type="http://schemas.openxmlformats.org/officeDocument/2006/relationships/hyperlink" Id="rId101" Target="https://doi.org/10.18637/jss.v040.i08" TargetMode="External" /><Relationship Type="http://schemas.openxmlformats.org/officeDocument/2006/relationships/hyperlink" Id="rId90" Target="https://doi.org/10.21105/joss.02505" TargetMode="External" /><Relationship Type="http://schemas.openxmlformats.org/officeDocument/2006/relationships/hyperlink" Id="rId76" Target="https://doi.org/10.2471/blt.12.108282" TargetMode="External" /><Relationship Type="http://schemas.openxmlformats.org/officeDocument/2006/relationships/hyperlink" Id="rId106" Target="https://doi.org/10.3350/cmh.2021.0015" TargetMode="External" /><Relationship Type="http://schemas.openxmlformats.org/officeDocument/2006/relationships/hyperlink" Id="rId58" Target="https://doi.org/10.3390/v16111739" TargetMode="External" /><Relationship Type="http://schemas.openxmlformats.org/officeDocument/2006/relationships/hyperlink" Id="rId70" Target="https://doi.org/10.7326/0003-4819-158-5-201303050-00005" TargetMode="External" /><Relationship Type="http://schemas.openxmlformats.org/officeDocument/2006/relationships/hyperlink" Id="rId104" Target="https://www.cda.gov.sg/professionals/diseases/hepatitis-c/" TargetMode="External" /><Relationship Type="http://schemas.openxmlformats.org/officeDocument/2006/relationships/hyperlink" Id="rId97" Target="https://www.nhghealth.com.sg/nsc/about-dsc-clinic/dsc-patient-information/dsc-services/clinic-charges/" TargetMode="External" /><Relationship Type="http://schemas.openxmlformats.org/officeDocument/2006/relationships/hyperlink" Id="rId99"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2026-10-06T06:13:26Z</dcterms:created>
  <dcterms:modified xsi:type="dcterms:W3CDTF">2026-10-06T06:13:26Z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/Users/yichenhe/Documents/Work/HepC-Transimission-Modelling-feature-AddRecovery/docs/references.bib</vt:lpwstr>
  </property>
  <property fmtid="{D5CDD505-2E9C-101B-9397-08002B2CF9AE}" pid="3" name="csl">
    <vt:lpwstr>/Users/yichenhe/Documents/Work/HepC-Transimission-Modelling-feature-AddRecovery/docs/plos.csl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