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2015 prison data with Bayesian methods.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130.3% (95% UI: 121.6%–140.0%) of the 2015 level. With prison treatment alone, new infections fell by 75.9% (95% UI: 70.5%–79.8%) by 2030, but HCV deaths fell by only 42.6% (95% UI: 41.8%–43.5%). In 2026, 94% of chronic infections among released people were in X. Only 3 of 15 scenarios met both WHO targets. At 8,000 tests a year, the incidence reduction was 94.2% for every split, while the mortality reduction fell from 70.7% to 57.4% as the F share rose from 25% to 75%. The model covers only PWID and assumes ideal linkage to treatment.</w:t>
      </w:r>
    </w:p>
    <w:bookmarkEnd w:id="10"/>
    <w:bookmarkStart w:id="11" w:name="conclusions"/>
    <w:p>
      <w:pPr>
        <w:pStyle w:val="Heading2"/>
      </w:pPr>
      <w:r>
        <w:t xml:space="preserve">Conclusions</w:t>
      </w:r>
    </w:p>
    <w:p>
      <w:pPr>
        <w:pStyle w:val="FirstParagraph"/>
      </w:pPr>
      <w:r>
        <w:t xml:space="preserve">In this model, prison treatment sharply reduces new HCV infections, but the fall in HCV deaths lags. Most remaining deaths occur among released people who no longer inject. Community screening is needed to reach the mortality target. The F group is small, so screening beyond its size adds no benefit. Most community capacity should go to X.</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data and carried uncertainty in all model parameters through to the results.</w:t>
      </w:r>
    </w:p>
    <w:p>
      <w:pPr>
        <w:pStyle w:val="Compact"/>
        <w:numPr>
          <w:ilvl w:val="0"/>
          <w:numId w:val="1002"/>
        </w:numPr>
      </w:pPr>
      <w:r>
        <w:t xml:space="preserve">Prison treatment alone reduced new infections by about three quarters by 2030. It reduced hepatitis C deaths by less than half.</w:t>
      </w:r>
    </w:p>
    <w:p>
      <w:pPr>
        <w:pStyle w:val="Compact"/>
        <w:numPr>
          <w:ilvl w:val="0"/>
          <w:numId w:val="1002"/>
        </w:numPr>
      </w:pPr>
      <w:r>
        <w:t xml:space="preserve">By 2026, nearly all chronic infections and deaths among released people were in those who had stopped injecting. Shifting screening towards people who still inject did not improve infections once that small group was covered. It did reduce the fall in deaths.</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is a strong tool for cutting transmission. Its effect on deaths is slow because deaths come from liver disease that has built up over many years.</w:t>
      </w:r>
    </w:p>
    <w:p>
      <w:pPr>
        <w:pStyle w:val="Compact"/>
        <w:numPr>
          <w:ilvl w:val="0"/>
          <w:numId w:val="1003"/>
        </w:numPr>
      </w:pPr>
      <w:r>
        <w:t xml:space="preserve">Reaching the mortality target needs large scale community screening, mainly among people who have stopped injecting.</w:t>
      </w:r>
    </w:p>
    <w:p>
      <w:pPr>
        <w:pStyle w:val="Compact"/>
        <w:numPr>
          <w:ilvl w:val="0"/>
          <w:numId w:val="1003"/>
        </w:numPr>
      </w:pPr>
      <w:r>
        <w:t xml:space="preserve">These results come from a model with ideal links from testing to treatment.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both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[15,22]</w:t>
      </w:r>
      <w:r>
        <w:t xml:space="preserv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data from the Singapore Prison Service. These were seroprevalence and prison population counts in six age groups. We estimated 12 parameters. Six scaled the contact rates by age. Six scaled the rate of entry into injecting by age. Each model run started in model year 0 and ran for 150 years to reach equilibrium. The end of that period represents 2015. From 2016, entry into injecting followed the official annual number of new drug users by age</w:t>
      </w:r>
      <w:r>
        <w:t xml:space="preserve"> </w:t>
      </w:r>
      <w:r>
        <w:t xml:space="preserve">[23]</w:t>
      </w:r>
      <w:r>
        <w:t xml:space="preserve">. The 2025 value was held constant to 2030.</w:t>
      </w:r>
    </w:p>
    <w:p>
      <w:pPr>
        <w:pStyle w:val="BodyText"/>
      </w:pPr>
      <w:r>
        <w:t xml:space="preserve">We used neural posterior estimation to obtain the posterior distribution of the 12 parameters</w:t>
      </w:r>
      <w:r>
        <w:t xml:space="preserve"> </w:t>
      </w:r>
      <w:r>
        <w:t xml:space="preserve">[24–26]</w:t>
      </w:r>
      <w:r>
        <w:t xml:space="preserve">. We trained the estimator on 3,000 simulations. We trained it twice with different random seeds. We accepted the result only if simulation based calibration showed good coverage</w:t>
      </w:r>
      <w:r>
        <w:t xml:space="preserve"> </w:t>
      </w:r>
      <w:r>
        <w:t xml:space="preserve">[27]</w:t>
      </w:r>
      <w:r>
        <w:t xml:space="preserve"> </w:t>
      </w:r>
      <w:r>
        <w:t xml:space="preserve">and the posterior was not overly narrow. Both seeds passed these checks. A separate Markov chain Monte Carlo run gave nearly the same posterior.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both targets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1,000 parameter sets at random from each seed’s posterior, giving 2,000 draws.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and differences between the two training seeds. It does not reflect uncertainty in uptake, linkage to care or prices. We used R with C++ code through Rcpp</w:t>
      </w:r>
      <w:r>
        <w:t xml:space="preserve"> </w:t>
      </w:r>
      <w:r>
        <w:t xml:space="preserve">[32]</w:t>
      </w:r>
      <w:r>
        <w:t xml:space="preserve"> </w:t>
      </w:r>
      <w:r>
        <w:t xml:space="preserve">and Python with the sbi package</w:t>
      </w:r>
      <w:r>
        <w:t xml:space="preserve"> </w:t>
      </w:r>
      <w:r>
        <w:t xml:space="preserve">[26]</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and population targets. All 95% predictive intervals overlapped the target intervals (S1 Text, Section 2). In 2015, the model estimated 20,915 people with a history of injecting drugs. Of these, 1,513 were in F and 14,680 were in X.</w:t>
      </w:r>
    </w:p>
    <w:bookmarkEnd w:id="25"/>
    <w:bookmarkStart w:id="26" w:name="X92b45ca8153c173c8bc1f4c2ea1bb3a56425b73"/>
    <w:p>
      <w:pPr>
        <w:pStyle w:val="Heading2"/>
      </w:pPr>
      <w:r>
        <w:t xml:space="preserve">Prison treatment reduced new infections but deaths lagged</w:t>
      </w:r>
    </w:p>
    <w:p>
      <w:pPr>
        <w:pStyle w:val="FirstParagraph"/>
      </w:pPr>
      <w:r>
        <w:t xml:space="preserve">Without any treatment, new infections rose after 2015 as entry into injecting increased. They remained high to 2030 (Fig 2). In 2030 annual new infections were 130.3% (95% UI: 121.6%–140.0%) of the 2015 level. HCV deaths were 101.2% (95% UI: 100.6%–102.0%) of the 2015 level.</w:t>
      </w:r>
    </w:p>
    <w:p>
      <w:pPr>
        <w:pStyle w:val="BodyText"/>
      </w:pPr>
      <w:r>
        <w:t xml:space="preserve">Prison treatment from 2019 changed the course of new infections. By 2025 they were 45.8% (95% UI: 41.4%–51.0%) of the 2015 level. By 2030 they had fallen by 75.9% (95% UI: 70.5%–79.8%). This was close to the 80% target. Deaths fell more slowly. By 2025 they were still 73.3% (95% UI: 72.6%–73.9%) of the 2015 level. By 2030 the reduction was 42.6% (95% UI: 41.8%–43.5%), well short of the 65% target.</w:t>
      </w:r>
    </w:p>
    <w:p>
      <w:pPr>
        <w:pStyle w:val="BodyText"/>
      </w:pPr>
      <w:r>
        <w:t xml:space="preserve">The reason lies in where infection and disease sit after release. In 2026, F held 103 (95% UI: 94–114) people with chronic infection. X held 1,620 (95% UI: 1,478–1,794). X thus held 94% of chronic infections among released people. In the J only scenario, 97% of HCV deaths in 2026 occurred in F and X. By 2030 this share was 98%. People in X do not inject and do not transmit. Prison treatment does not reach them after release.</w:t>
      </w:r>
    </w:p>
    <w:bookmarkEnd w:id="26"/>
    <w:bookmarkStart w:id="27" w:name="X83149539b544f1c4b9fa5c2a7f5e56cdcb5fcfa"/>
    <w:p>
      <w:pPr>
        <w:pStyle w:val="Heading2"/>
      </w:pPr>
      <w:r>
        <w:t xml:space="preserve">Community screening needed to meet both targets</w:t>
      </w:r>
    </w:p>
    <w:p>
      <w:pPr>
        <w:pStyle w:val="FirstParagraph"/>
      </w:pPr>
      <w:r>
        <w:t xml:space="preserve">Adding community screening increased both reductions (Table 1). The incidence target was met at the median in all 15 scenarios. The mortality target was met in only 3. Only 3 scenarios met both. These were 5,000 tests a year with 25% to F, and 8,000 tests a year with 25% or 50% to F. At 5,000 tests a year with 25% to F, the mortality reduction was 65.1% (95% UI: 63.7%–66.4%). Both targets were met in only 56% of draws, so this result is fragile. At 8,000 tests a year with 25% to F, both targets were met in 100% of draws. The ideal reference met both targets with a mortality reduction of 74.6% (95% UI: 74.4%–74.8%).</w:t>
      </w:r>
    </w:p>
    <w:p>
      <w:pPr>
        <w:pStyle w:val="BodyText"/>
      </w:pPr>
      <w:r>
        <w:t xml:space="preserve">At 600 tests a year, the planned size of the current community programme, the mortality reduction was at most 46.6%. This was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up to a ceiling. More screening for X gave a larger fall in deaths.</w:t>
      </w:r>
    </w:p>
    <w:p>
      <w:pPr>
        <w:pStyle w:val="BodyText"/>
      </w:pPr>
      <w:r>
        <w:t xml:space="preserve">The F group is small. In 2026 about 1,560 people in F were eligible for screening each year. Once the F quota exceeded this number, extra tests could not be used (S1 Text, Fig S5). At 8,000 tests a year with 25% to F, 78% of the F quota was used. With 75% to F, only 26% was used. In all three splits at this capacity, the incidence reduction was 94.2%. The extra F tests were idle, while the X tests they replaced were lost. The mortality reduction fell from 70.7% (95% UI: 69.6%–71.7%) with 25% to F to 57.4% (95% UI: 56.1%–58.6%) with 75% to F.</w:t>
      </w:r>
    </w:p>
    <w:p>
      <w:pPr>
        <w:pStyle w:val="BodyText"/>
      </w:pPr>
      <w:r>
        <w:t xml:space="preserve">At lower capacities there was a real trade off. At 2,000 tests a year, moving from 25% to 75% for F raised the incidence reduction from 87.1% to 94.0%. It lowered the mortality reduction from 54.3% to 47.3%. A simple rule follows. F should receive enough tests to cover its eligible group each year, about 1,550. All remaining capacity should go to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154 (95% UI: 145–165) at 600 tests a year with 75% to F, to 1,607 (95% UI: 1,501–1,733) at 8,000 tests a year with 25% to F (Table 1). Starts were highest in 2026 and fell each year as the stock of chronic infection was treated. The discounted cost of the three scenarios that met both targets ranged from S$63.8 million to S$74.8 million over five years. Drugs made up 95% to 96% of this cost. Compared with prison treatment alone, each extra percentage point of mortality reduction cost about S$2.0 million in the two scenarios with 25% to F at 5,000 and 8,000 tests a year. The two training seeds gave nearly the same results (S1 Text, Table S10).</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75.9% (95% UI: 70.5%–79.8%)</w:t>
            </w:r>
          </w:p>
        </w:tc>
        <w:tc>
          <w:tcPr/>
          <w:p>
            <w:pPr>
              <w:pStyle w:val="Compact"/>
            </w:pPr>
            <w:r>
              <w:t xml:space="preserve">42.6% (95% UI: 41.8%–43.5%)</w:t>
            </w:r>
          </w:p>
        </w:tc>
        <w:tc>
          <w:tcPr/>
          <w:p>
            <w:pPr>
              <w:pStyle w:val="Compact"/>
            </w:pPr>
            <w:r>
              <w:t xml:space="preserve">0%</w:t>
            </w:r>
          </w:p>
        </w:tc>
        <w:tc>
          <w:tcPr/>
          <w:p>
            <w:pPr>
              <w:pStyle w:val="Compact"/>
            </w:pPr>
            <w:r>
              <w:t xml:space="preserve">0</w:t>
            </w:r>
          </w:p>
        </w:tc>
        <w:tc>
          <w:tcPr/>
          <w:p>
            <w:pPr>
              <w:pStyle w:val="Compact"/>
            </w:pPr>
            <w:r>
              <w:t xml:space="preserve">17.5 (95% UI: 15.5–20.0)</w:t>
            </w:r>
          </w:p>
        </w:tc>
      </w:tr>
      <w:tr>
        <w:tc>
          <w:tcPr/>
          <w:p>
            <w:pPr>
              <w:pStyle w:val="Compact"/>
            </w:pPr>
            <w:r>
              <w:t xml:space="preserve">J + 600/year, F 50%</w:t>
            </w:r>
          </w:p>
        </w:tc>
        <w:tc>
          <w:tcPr/>
          <w:p>
            <w:pPr>
              <w:pStyle w:val="Compact"/>
            </w:pPr>
            <w:r>
              <w:t xml:space="preserve">83.5% (95% UI: 79.4%–86.4%)</w:t>
            </w:r>
          </w:p>
        </w:tc>
        <w:tc>
          <w:tcPr/>
          <w:p>
            <w:pPr>
              <w:pStyle w:val="Compact"/>
            </w:pPr>
            <w:r>
              <w:t xml:space="preserve">45.4% (95% UI: 44.5%–46.3%)</w:t>
            </w:r>
          </w:p>
        </w:tc>
        <w:tc>
          <w:tcPr/>
          <w:p>
            <w:pPr>
              <w:pStyle w:val="Compact"/>
            </w:pPr>
            <w:r>
              <w:t xml:space="preserve">0%</w:t>
            </w:r>
          </w:p>
        </w:tc>
        <w:tc>
          <w:tcPr/>
          <w:p>
            <w:pPr>
              <w:pStyle w:val="Compact"/>
            </w:pPr>
            <w:r>
              <w:t xml:space="preserve">200 (95% UI: 190–212)</w:t>
            </w:r>
          </w:p>
        </w:tc>
        <w:tc>
          <w:tcPr/>
          <w:p>
            <w:pPr>
              <w:pStyle w:val="Compact"/>
            </w:pPr>
            <w:r>
              <w:t xml:space="preserve">22.4 (95% UI: 20.4–24.9)</w:t>
            </w:r>
          </w:p>
        </w:tc>
      </w:tr>
      <w:tr>
        <w:tc>
          <w:tcPr/>
          <w:p>
            <w:pPr>
              <w:pStyle w:val="Compact"/>
            </w:pPr>
            <w:r>
              <w:t xml:space="preserve">J + 2,000/year, F 25%</w:t>
            </w:r>
          </w:p>
        </w:tc>
        <w:tc>
          <w:tcPr/>
          <w:p>
            <w:pPr>
              <w:pStyle w:val="Compact"/>
            </w:pPr>
            <w:r>
              <w:t xml:space="preserve">87.1% (95% UI: 83.6%–89.4%)</w:t>
            </w:r>
          </w:p>
        </w:tc>
        <w:tc>
          <w:tcPr/>
          <w:p>
            <w:pPr>
              <w:pStyle w:val="Compact"/>
            </w:pPr>
            <w:r>
              <w:t xml:space="preserve">54.3% (95% UI: 53.0%–55.4%)</w:t>
            </w:r>
          </w:p>
        </w:tc>
        <w:tc>
          <w:tcPr/>
          <w:p>
            <w:pPr>
              <w:pStyle w:val="Compact"/>
            </w:pPr>
            <w:r>
              <w:t xml:space="preserve">0%</w:t>
            </w:r>
          </w:p>
        </w:tc>
        <w:tc>
          <w:tcPr/>
          <w:p>
            <w:pPr>
              <w:pStyle w:val="Compact"/>
            </w:pPr>
            <w:r>
              <w:t xml:space="preserve">694 (95% UI: 659–734)</w:t>
            </w:r>
          </w:p>
        </w:tc>
        <w:tc>
          <w:tcPr/>
          <w:p>
            <w:pPr>
              <w:pStyle w:val="Compact"/>
            </w:pPr>
            <w:r>
              <w:t xml:space="preserve">40.5 (95% UI: 38.0–43.5)</w:t>
            </w:r>
          </w:p>
        </w:tc>
      </w:tr>
      <w:tr>
        <w:tc>
          <w:tcPr/>
          <w:p>
            <w:pPr>
              <w:pStyle w:val="Compact"/>
            </w:pPr>
            <w:r>
              <w:t xml:space="preserve">J + 2,000/year, F 75%</w:t>
            </w:r>
          </w:p>
        </w:tc>
        <w:tc>
          <w:tcPr/>
          <w:p>
            <w:pPr>
              <w:pStyle w:val="Compact"/>
            </w:pPr>
            <w:r>
              <w:t xml:space="preserve">94.0% (95% UI: 92.4%–95.2%)</w:t>
            </w:r>
          </w:p>
        </w:tc>
        <w:tc>
          <w:tcPr/>
          <w:p>
            <w:pPr>
              <w:pStyle w:val="Compact"/>
            </w:pPr>
            <w:r>
              <w:t xml:space="preserve">47.3% (95% UI: 46.3%–48.2%)</w:t>
            </w:r>
          </w:p>
        </w:tc>
        <w:tc>
          <w:tcPr/>
          <w:p>
            <w:pPr>
              <w:pStyle w:val="Compact"/>
            </w:pPr>
            <w:r>
              <w:t xml:space="preserve">0%</w:t>
            </w:r>
          </w:p>
        </w:tc>
        <w:tc>
          <w:tcPr/>
          <w:p>
            <w:pPr>
              <w:pStyle w:val="Compact"/>
            </w:pPr>
            <w:r>
              <w:t xml:space="preserve">377 (95% UI: 356–401)</w:t>
            </w:r>
          </w:p>
        </w:tc>
        <w:tc>
          <w:tcPr/>
          <w:p>
            <w:pPr>
              <w:pStyle w:val="Compact"/>
            </w:pPr>
            <w:r>
              <w:t xml:space="preserve">24.0 (95% UI: 22.2–26.2)</w:t>
            </w:r>
          </w:p>
        </w:tc>
      </w:tr>
      <w:tr>
        <w:tc>
          <w:tcPr/>
          <w:p>
            <w:pPr>
              <w:pStyle w:val="Compact"/>
            </w:pPr>
            <w:r>
              <w:t xml:space="preserve">J + 5,000/year, F 25%</w:t>
            </w:r>
          </w:p>
        </w:tc>
        <w:tc>
          <w:tcPr/>
          <w:p>
            <w:pPr>
              <w:pStyle w:val="Compact"/>
            </w:pPr>
            <w:r>
              <w:t xml:space="preserve">93.3% (95% UI: 91.3%–94.5%)</w:t>
            </w:r>
          </w:p>
        </w:tc>
        <w:tc>
          <w:tcPr/>
          <w:p>
            <w:pPr>
              <w:pStyle w:val="Compact"/>
            </w:pPr>
            <w:r>
              <w:t xml:space="preserve">65.1% (95% UI: 63.7%–66.4%)</w:t>
            </w:r>
          </w:p>
        </w:tc>
        <w:tc>
          <w:tcPr/>
          <w:p>
            <w:pPr>
              <w:pStyle w:val="Compact"/>
            </w:pPr>
            <w:r>
              <w:t xml:space="preserve">56%</w:t>
            </w:r>
          </w:p>
        </w:tc>
        <w:tc>
          <w:tcPr/>
          <w:p>
            <w:pPr>
              <w:pStyle w:val="Compact"/>
            </w:pPr>
            <w:r>
              <w:t xml:space="preserve">1,305 (95% UI: 1,232–1,395)</w:t>
            </w:r>
          </w:p>
        </w:tc>
        <w:tc>
          <w:tcPr/>
          <w:p>
            <w:pPr>
              <w:pStyle w:val="Compact"/>
            </w:pPr>
            <w:r>
              <w:t xml:space="preserve">62.2 (95% UI: 58.6–66.5)</w:t>
            </w:r>
          </w:p>
        </w:tc>
      </w:tr>
      <w:tr>
        <w:tc>
          <w:tcPr/>
          <w:p>
            <w:pPr>
              <w:pStyle w:val="Compact"/>
            </w:pPr>
            <w:r>
              <w:t xml:space="preserve">J + 5,000/year, F 50%</w:t>
            </w:r>
          </w:p>
        </w:tc>
        <w:tc>
          <w:tcPr/>
          <w:p>
            <w:pPr>
              <w:pStyle w:val="Compact"/>
            </w:pPr>
            <w:r>
              <w:t xml:space="preserve">94.2% (95% UI: 92.5%–95.3%)</w:t>
            </w:r>
          </w:p>
        </w:tc>
        <w:tc>
          <w:tcPr/>
          <w:p>
            <w:pPr>
              <w:pStyle w:val="Compact"/>
            </w:pPr>
            <w:r>
              <w:t xml:space="preserve">60.0% (95% UI: 58.6%–61.3%)</w:t>
            </w:r>
          </w:p>
        </w:tc>
        <w:tc>
          <w:tcPr/>
          <w:p>
            <w:pPr>
              <w:pStyle w:val="Compact"/>
            </w:pPr>
            <w:r>
              <w:t xml:space="preserve">0%</w:t>
            </w:r>
          </w:p>
        </w:tc>
        <w:tc>
          <w:tcPr/>
          <w:p>
            <w:pPr>
              <w:pStyle w:val="Compact"/>
            </w:pPr>
            <w:r>
              <w:t xml:space="preserve">1,046 (95% UI: 990–1,114)</w:t>
            </w:r>
          </w:p>
        </w:tc>
        <w:tc>
          <w:tcPr/>
          <w:p>
            <w:pPr>
              <w:pStyle w:val="Compact"/>
            </w:pPr>
            <w:r>
              <w:t xml:space="preserve">50.8 (95% UI: 48.0–54.2)</w:t>
            </w:r>
          </w:p>
        </w:tc>
      </w:tr>
      <w:tr>
        <w:tc>
          <w:tcPr/>
          <w:p>
            <w:pPr>
              <w:pStyle w:val="Compact"/>
            </w:pPr>
            <w:r>
              <w:t xml:space="preserve">J + 5,000/year, F 75%</w:t>
            </w:r>
          </w:p>
        </w:tc>
        <w:tc>
          <w:tcPr/>
          <w:p>
            <w:pPr>
              <w:pStyle w:val="Compact"/>
            </w:pPr>
            <w:r>
              <w:t xml:space="preserve">94.2% (95% UI: 92.5%–95.3%)</w:t>
            </w:r>
          </w:p>
        </w:tc>
        <w:tc>
          <w:tcPr/>
          <w:p>
            <w:pPr>
              <w:pStyle w:val="Compact"/>
            </w:pPr>
            <w:r>
              <w:t xml:space="preserve">52.8% (95% UI: 51.6%–53.9%)</w:t>
            </w:r>
          </w:p>
        </w:tc>
        <w:tc>
          <w:tcPr/>
          <w:p>
            <w:pPr>
              <w:pStyle w:val="Compact"/>
            </w:pPr>
            <w:r>
              <w:t xml:space="preserve">0%</w:t>
            </w:r>
          </w:p>
        </w:tc>
        <w:tc>
          <w:tcPr/>
          <w:p>
            <w:pPr>
              <w:pStyle w:val="Compact"/>
            </w:pPr>
            <w:r>
              <w:t xml:space="preserve">670 (95% UI: 635–711)</w:t>
            </w:r>
          </w:p>
        </w:tc>
        <w:tc>
          <w:tcPr/>
          <w:p>
            <w:pPr>
              <w:pStyle w:val="Compact"/>
            </w:pPr>
            <w:r>
              <w:t xml:space="preserve">35.6 (95% UI: 33.5–38.2)</w:t>
            </w:r>
          </w:p>
        </w:tc>
      </w:tr>
      <w:tr>
        <w:tc>
          <w:tcPr/>
          <w:p>
            <w:pPr>
              <w:pStyle w:val="Compact"/>
            </w:pPr>
            <w:r>
              <w:t xml:space="preserve">J + 8,000/year, F 25%</w:t>
            </w:r>
          </w:p>
        </w:tc>
        <w:tc>
          <w:tcPr/>
          <w:p>
            <w:pPr>
              <w:pStyle w:val="Compact"/>
            </w:pPr>
            <w:r>
              <w:t xml:space="preserve">94.2% (95% UI: 92.5%–95.3%)</w:t>
            </w:r>
          </w:p>
        </w:tc>
        <w:tc>
          <w:tcPr/>
          <w:p>
            <w:pPr>
              <w:pStyle w:val="Compact"/>
            </w:pPr>
            <w:r>
              <w:t xml:space="preserve">70.7% (95% UI: 69.6%–71.7%)</w:t>
            </w:r>
          </w:p>
        </w:tc>
        <w:tc>
          <w:tcPr/>
          <w:p>
            <w:pPr>
              <w:pStyle w:val="Compact"/>
            </w:pPr>
            <w:r>
              <w:t xml:space="preserve">100%</w:t>
            </w:r>
          </w:p>
        </w:tc>
        <w:tc>
          <w:tcPr/>
          <w:p>
            <w:pPr>
              <w:pStyle w:val="Compact"/>
            </w:pPr>
            <w:r>
              <w:t xml:space="preserve">1,607 (95% UI: 1,501–1,733)</w:t>
            </w:r>
          </w:p>
        </w:tc>
        <w:tc>
          <w:tcPr/>
          <w:p>
            <w:pPr>
              <w:pStyle w:val="Compact"/>
            </w:pPr>
            <w:r>
              <w:t xml:space="preserve">74.8 (95% UI: 70.2–80.3)</w:t>
            </w:r>
          </w:p>
        </w:tc>
      </w:tr>
      <w:tr>
        <w:tc>
          <w:tcPr/>
          <w:p>
            <w:pPr>
              <w:pStyle w:val="Compact"/>
            </w:pPr>
            <w:r>
              <w:t xml:space="preserve">J + 8,000/year, F 50%</w:t>
            </w:r>
          </w:p>
        </w:tc>
        <w:tc>
          <w:tcPr/>
          <w:p>
            <w:pPr>
              <w:pStyle w:val="Compact"/>
            </w:pPr>
            <w:r>
              <w:t xml:space="preserve">94.2% (95% UI: 92.5%–95.3%)</w:t>
            </w:r>
          </w:p>
        </w:tc>
        <w:tc>
          <w:tcPr/>
          <w:p>
            <w:pPr>
              <w:pStyle w:val="Compact"/>
            </w:pPr>
            <w:r>
              <w:t xml:space="preserve">66.0% (95% UI: 64.6%–67.2%)</w:t>
            </w:r>
          </w:p>
        </w:tc>
        <w:tc>
          <w:tcPr/>
          <w:p>
            <w:pPr>
              <w:pStyle w:val="Compact"/>
            </w:pPr>
            <w:r>
              <w:t xml:space="preserve">92%</w:t>
            </w:r>
          </w:p>
        </w:tc>
        <w:tc>
          <w:tcPr/>
          <w:p>
            <w:pPr>
              <w:pStyle w:val="Compact"/>
            </w:pPr>
            <w:r>
              <w:t xml:space="preserve">1,357 (95% UI: 1,279–1,453)</w:t>
            </w:r>
          </w:p>
        </w:tc>
        <w:tc>
          <w:tcPr/>
          <w:p>
            <w:pPr>
              <w:pStyle w:val="Compact"/>
            </w:pPr>
            <w:r>
              <w:t xml:space="preserve">63.8 (95% UI: 60.1–68.2)</w:t>
            </w:r>
          </w:p>
        </w:tc>
      </w:tr>
      <w:tr>
        <w:tc>
          <w:tcPr/>
          <w:p>
            <w:pPr>
              <w:pStyle w:val="Compact"/>
            </w:pPr>
            <w:r>
              <w:t xml:space="preserve">J + 8,000/year, F 75%</w:t>
            </w:r>
          </w:p>
        </w:tc>
        <w:tc>
          <w:tcPr/>
          <w:p>
            <w:pPr>
              <w:pStyle w:val="Compact"/>
            </w:pPr>
            <w:r>
              <w:t xml:space="preserve">94.2% (95% UI: 92.5%–95.3%)</w:t>
            </w:r>
          </w:p>
        </w:tc>
        <w:tc>
          <w:tcPr/>
          <w:p>
            <w:pPr>
              <w:pStyle w:val="Compact"/>
            </w:pPr>
            <w:r>
              <w:t xml:space="preserve">57.4% (95% UI: 56.1%–58.6%)</w:t>
            </w:r>
          </w:p>
        </w:tc>
        <w:tc>
          <w:tcPr/>
          <w:p>
            <w:pPr>
              <w:pStyle w:val="Compact"/>
            </w:pPr>
            <w:r>
              <w:t xml:space="preserve">0%</w:t>
            </w:r>
          </w:p>
        </w:tc>
        <w:tc>
          <w:tcPr/>
          <w:p>
            <w:pPr>
              <w:pStyle w:val="Compact"/>
            </w:pPr>
            <w:r>
              <w:t xml:space="preserve">910 (95% UI: 862–968)</w:t>
            </w:r>
          </w:p>
        </w:tc>
        <w:tc>
          <w:tcPr/>
          <w:p>
            <w:pPr>
              <w:pStyle w:val="Compact"/>
            </w:pPr>
            <w:r>
              <w:t xml:space="preserve">45.3 (95% UI: 42.7–48.4)</w:t>
            </w:r>
          </w:p>
        </w:tc>
      </w:tr>
      <w:tr>
        <w:tc>
          <w:tcPr/>
          <w:p>
            <w:pPr>
              <w:pStyle w:val="Compact"/>
            </w:pPr>
            <w:r>
              <w:t xml:space="preserve">J + no screening cap</w:t>
            </w:r>
          </w:p>
        </w:tc>
        <w:tc>
          <w:tcPr/>
          <w:p>
            <w:pPr>
              <w:pStyle w:val="Compact"/>
            </w:pPr>
            <w:r>
              <w:t xml:space="preserve">94.2% (95% UI: 92.5%–95.3%)</w:t>
            </w:r>
          </w:p>
        </w:tc>
        <w:tc>
          <w:tcPr/>
          <w:p>
            <w:pPr>
              <w:pStyle w:val="Compact"/>
            </w:pPr>
            <w:r>
              <w:t xml:space="preserve">74.6% (95% UI: 74.4%–74.8%)</w:t>
            </w:r>
          </w:p>
        </w:tc>
        <w:tc>
          <w:tcPr/>
          <w:p>
            <w:pPr>
              <w:pStyle w:val="Compact"/>
            </w:pPr>
            <w:r>
              <w:t xml:space="preserve">100%</w:t>
            </w:r>
          </w:p>
        </w:tc>
        <w:tc>
          <w:tcPr/>
          <w:p>
            <w:pPr>
              <w:pStyle w:val="Compact"/>
            </w:pPr>
            <w:r>
              <w:t xml:space="preserve">1,883 (95% UI: 1,725–2,075)</w:t>
            </w:r>
          </w:p>
        </w:tc>
        <w:tc>
          <w:tcPr/>
          <w:p>
            <w:pPr>
              <w:pStyle w:val="Compact"/>
            </w:pPr>
            <w:r>
              <w:t xml:space="preserve">91.3 (95% UI: 84.0–99.8)</w:t>
            </w:r>
          </w:p>
        </w:tc>
      </w:tr>
    </w:tbl>
    <w:p>
      <w:pPr>
        <w:pStyle w:val="BodyText"/>
      </w:pPr>
      <w:r>
        <w:t xml:space="preserve">Reductions compare 2030 with 2015. Values are medians (95% UI) across 2,000 posterior draws. Targets are at least 80% for incidence and at least 65% for mortality. Costs are in 2026 Singapore dollars, discounted at 3% a year, and include prison treatment costs from 2026. Treatment starts count courses, not people. S1 Text, Table S8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about three quarters by 2030. It did much less for deaths. By 2026, nearly all chronic infections and HCV deaths among released people were in those who had stopped injecting. Community screening was needed to meet the mortality target. The split of screening between released people who still inject and those who have stopped mattered as much as the total amount.</w:t>
      </w:r>
    </w:p>
    <w:p>
      <w:pPr>
        <w:pStyle w:val="BodyText"/>
      </w:pPr>
      <w:r>
        <w:t xml:space="preserve">Prison treatment works on transmission because most active injectors pass through prison. Curing them before release removes infection from the injecting network. This matches earlier work on treatment as prevention</w:t>
      </w:r>
      <w:r>
        <w:t xml:space="preserve"> </w:t>
      </w:r>
      <w:r>
        <w:t xml:space="preserve">[14,15]</w:t>
      </w:r>
      <w:r>
        <w:t xml:space="preserve">. Deaths follow a different path. They arise from cirrhosis and liver cancer that built up over many years. Most of this burden sits in people who stopped injecting long ago. They are rarely in prison and do not transmit. Cure also does not remove all risk in people who already have cirrhosis</w:t>
      </w:r>
      <w:r>
        <w:t xml:space="preserve"> </w:t>
      </w:r>
      <w:r>
        <w:t xml:space="preserve">[17,18]</w:t>
      </w:r>
      <w:r>
        <w:t xml:space="preserve">. So the mortality curve bends late. This lag is a feature of HCV natural history. It is not a failure of prison treatment.</w:t>
      </w:r>
    </w:p>
    <w:p>
      <w:pPr>
        <w:pStyle w:val="BodyText"/>
      </w:pPr>
      <w:r>
        <w:t xml:space="preserve">Our findings on the F and X split have direct use for planning. A programme that targets people who still inject may seem the best choice for elimination. Our results show this holds only up to a point. The F group is small and quickly covered. After that, extra tests for F add nothing. The same tests given to X would prevent deaths. Planners should therefore set the F quota by the size of the eligible F group. They should direct the rest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scenarios that met both targets needed 5,000 to 8,000 tests a year. That is 8 to 13 times the planned capacity of the current community programme</w:t>
      </w:r>
      <w:r>
        <w:t xml:space="preserve"> </w:t>
      </w:r>
      <w:r>
        <w:t xml:space="preserve">[11]</w:t>
      </w:r>
      <w:r>
        <w:t xml:space="preserve">. They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posterior draws from two independently trained estimators. We modelled screening capacity explicitly, so treatment depends on how many people are found. We separated released people by injecting status, which earlier work did not do</w:t>
      </w:r>
      <w:r>
        <w:t xml:space="preserve"> </w:t>
      </w:r>
      <w:r>
        <w:t xml:space="preserve">[5]</w:t>
      </w:r>
      <w:r>
        <w:t xml:space="preserve">.</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prison data. We did not fit it to observed treatment numbers after 2019. The prison treatment assumption may therefore overstate or understate what happened. Third, we assumed perfect linkage from screening to treatment and no loss to follow up. Fourth, people in X cannot be reinfected or return to injecting. Some do relapse, which would add transmission. Fifth, entry into injecting uses counts of new drug users from law enforcement as a proxy. Sixth, costs use list prices and an older drug price. Actual payer costs are not public. Seventh, our uncertainty intervals cover model parameters only.</w:t>
      </w:r>
    </w:p>
    <w:p>
      <w:pPr>
        <w:pStyle w:val="BodyText"/>
      </w:pPr>
      <w:r>
        <w:t xml:space="preserve">In conclusion, prison treatment has done much to reduce HCV transmission among people who inject drugs in Singapore. It will not, by itself, meet the WHO mortality target by 2030. Large scale community screening is needed. Most of it should reach people who have stopped injecting, after enough is set aside to cover those who still inject.</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scenario definitions, cost inputs, full scenario results with 95% uncertainty intervals, results by training seed,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800349"/>
            <wp:effectExtent b="0" l="0" r="0" t="0"/>
            <wp:docPr descr="Fig 1. Model structure." title="" id="39" name="Picture"/>
            <a:graphic>
              <a:graphicData uri="http://schemas.openxmlformats.org/drawingml/2006/picture">
                <pic:pic>
                  <pic:nvPicPr>
                    <pic:cNvPr descr="/Users/yichenhe/Documents/Work/HepC-Transimission-Modelling-feature-AddRecovery/output/scenarios_2026/paper_fig1_schematic.png" id="40" name="Picture"/>
                    <pic:cNvPicPr>
                      <a:picLocks noChangeArrowheads="1" noChangeAspect="1"/>
                    </pic:cNvPicPr>
                  </pic:nvPicPr>
                  <pic:blipFill>
                    <a:blip r:embed="rId38"/>
                    <a:stretch>
                      <a:fillRect/>
                    </a:stretch>
                  </pic:blipFill>
                  <pic:spPr bwMode="auto">
                    <a:xfrm>
                      <a:off x="0" y="0"/>
                      <a:ext cx="5334000" cy="2800349"/>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 In panel A the two lines with 8,000 tests a year overlap.</w:t>
      </w:r>
    </w:p>
    <w:p>
      <w:pPr>
        <w:pStyle w:val="CaptionedFigure"/>
      </w:pPr>
      <w:r>
        <w:drawing>
          <wp:inline>
            <wp:extent cx="5334000" cy="2726266"/>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feature-AddRecovery/output/scenarios_2026/paper_fig2_trajectories.png" id="43" name="Picture"/>
                    <pic:cNvPicPr>
                      <a:picLocks noChangeArrowheads="1" noChangeAspect="1"/>
                    </pic:cNvPicPr>
                  </pic:nvPicPr>
                  <pic:blipFill>
                    <a:blip r:embed="rId4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726266"/>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feature-AddRecovery/output/scenarios_2026/paper_fig3_allocation.png" id="46" name="Picture"/>
                    <pic:cNvPicPr>
                      <a:picLocks noChangeArrowheads="1" noChangeAspect="1"/>
                    </pic:cNvPicPr>
                  </pic:nvPicPr>
                  <pic:blipFill>
                    <a:blip r:embed="rId44"/>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4" w:name="references"/>
    <w:p>
      <w:pPr>
        <w:pStyle w:val="Heading1"/>
      </w:pPr>
      <w:r>
        <w:t xml:space="preserve">References</w:t>
      </w:r>
    </w:p>
    <w:bookmarkStart w:id="113"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mathers2013"/>
    <w:p>
      <w:pPr>
        <w:pStyle w:val="Bibliography"/>
      </w:pPr>
      <w:r>
        <w:t xml:space="preserve">22.</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88">
        <w:r>
          <w:rPr>
            <w:rStyle w:val="Hyperlink"/>
          </w:rPr>
          <w:t xml:space="preserve">10.2471/blt.12.108282</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2" w:name="ref-greenberg2019"/>
    <w:p>
      <w:pPr>
        <w:pStyle w:val="Bibliography"/>
      </w:pPr>
      <w:r>
        <w:t xml:space="preserve">24.</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2"/>
    <w:bookmarkStart w:id="93" w:name="ref-papamakarios2017"/>
    <w:p>
      <w:pPr>
        <w:pStyle w:val="Bibliography"/>
      </w:pPr>
      <w:r>
        <w:t xml:space="preserve">25.</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3"/>
    <w:bookmarkStart w:id="95" w:name="ref-sbi2020"/>
    <w:p>
      <w:pPr>
        <w:pStyle w:val="Bibliography"/>
      </w:pPr>
      <w:r>
        <w:t xml:space="preserve">26.</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talts2018"/>
    <w:p>
      <w:pPr>
        <w:pStyle w:val="Bibliography"/>
      </w:pPr>
      <w:r>
        <w:t xml:space="preserve">27.</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6"/>
    <w:bookmarkStart w:id="98"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7">
        <w:r>
          <w:rPr>
            <w:rStyle w:val="Hyperlink"/>
          </w:rPr>
          <w:t xml:space="preserve">10.1002/jgh3.12139</w:t>
        </w:r>
      </w:hyperlink>
    </w:p>
    <w:bookmarkEnd w:id="98"/>
    <w:bookmarkStart w:id="100"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9">
        <w:r>
          <w:rPr>
            <w:rStyle w:val="Hyperlink"/>
          </w:rPr>
          <w:t xml:space="preserve">https://data.gov.sg/datasets/d_b09aeaf8eb591c4bfe347b66148c6b53/view</w:t>
        </w:r>
      </w:hyperlink>
    </w:p>
    <w:bookmarkEnd w:id="100"/>
    <w:bookmarkStart w:id="102"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1">
        <w:r>
          <w:rPr>
            <w:rStyle w:val="Hyperlink"/>
          </w:rPr>
          <w:t xml:space="preserve">https://www.nhghealth.com.sg/nsc/about-dsc-clinic/dsc-patient-information/dsc-services/clinic-charges/</w:t>
        </w:r>
      </w:hyperlink>
    </w:p>
    <w:bookmarkEnd w:id="102"/>
    <w:bookmarkStart w:id="104"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3">
        <w:r>
          <w:rPr>
            <w:rStyle w:val="Hyperlink"/>
          </w:rPr>
          <w:t xml:space="preserve">https://www.parkwaylabs.com.sg/docs/parkwaylablibraries/test-catalogues/send-out-test-price.pdf</w:t>
        </w:r>
      </w:hyperlink>
    </w:p>
    <w:bookmarkEnd w:id="104"/>
    <w:bookmarkStart w:id="106"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5">
        <w:r>
          <w:rPr>
            <w:rStyle w:val="Hyperlink"/>
          </w:rPr>
          <w:t xml:space="preserve">10.18637/jss.v040.i08</w:t>
        </w:r>
      </w:hyperlink>
    </w:p>
    <w:bookmarkEnd w:id="106"/>
    <w:bookmarkStart w:id="108"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7">
        <w:r>
          <w:rPr>
            <w:rStyle w:val="Hyperlink"/>
          </w:rPr>
          <w:t xml:space="preserve">10.11622/smedj.2020116</w:t>
        </w:r>
      </w:hyperlink>
    </w:p>
    <w:bookmarkEnd w:id="108"/>
    <w:bookmarkStart w:id="110"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09">
        <w:r>
          <w:rPr>
            <w:rStyle w:val="Hyperlink"/>
          </w:rPr>
          <w:t xml:space="preserve">10.1093/ofid/ofac350</w:t>
        </w:r>
      </w:hyperlink>
    </w:p>
    <w:bookmarkEnd w:id="110"/>
    <w:bookmarkStart w:id="112"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1">
        <w:r>
          <w:rPr>
            <w:rStyle w:val="Hyperlink"/>
          </w:rPr>
          <w:t xml:space="preserve">10.1001/jamainternmed.2022.0170</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99"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1"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7"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09"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7" Target="https://doi.org/10.11622/smedj.2020116" TargetMode="External" /><Relationship Type="http://schemas.openxmlformats.org/officeDocument/2006/relationships/hyperlink" Id="rId105"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1" Target="https://www.nhghealth.com.sg/nsc/about-dsc-clinic/dsc-patient-information/dsc-services/clinic-charges/" TargetMode="External" /><Relationship Type="http://schemas.openxmlformats.org/officeDocument/2006/relationships/hyperlink" Id="rId103"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99"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1"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7"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09"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7" Target="https://doi.org/10.11622/smedj.2020116" TargetMode="External" /><Relationship Type="http://schemas.openxmlformats.org/officeDocument/2006/relationships/hyperlink" Id="rId105"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1" Target="https://www.nhghealth.com.sg/nsc/about-dsc-clinic/dsc-patient-information/dsc-services/clinic-charges/" TargetMode="External" /><Relationship Type="http://schemas.openxmlformats.org/officeDocument/2006/relationships/hyperlink" Id="rId103"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2026-10-06T06:13:25Z</dcterms:created>
  <dcterms:modified xsi:type="dcterms:W3CDTF">2026-10-06T06:13:25Z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/Users/yichenhe/Documents/Work/HepC-Transimission-Modelling-feature-AddRecovery/docs/references.bib</vt:lpwstr>
  </property>
  <property fmtid="{D5CDD505-2E9C-101B-9397-08002B2CF9AE}" pid="3" name="csl">
    <vt:lpwstr>/Users/yichenhe/Documents/Work/HepC-Transimission-Modelling-feature-AddRecovery/docs/plos.csl</vt:lpwstr>
  </property>
</Properties>
</file>