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β</m:t>
            </m:r>
          </m:e>
          <m:sub>
            <m:r>
              <m:t>i</m:t>
            </m:r>
          </m:sub>
        </m:sSub>
        <m:r>
          <m:rPr>
            <m:sty m:val="p"/>
          </m:rPr>
          <m:t>(</m:t>
        </m:r>
        <m:r>
          <m:t>t</m:t>
        </m:r>
        <m:r>
          <m:rPr>
            <m:sty m:val="p"/>
          </m:rPr>
          <m:t>)</m:t>
        </m:r>
      </m:oMath>
      <w:r>
        <w:t xml:space="preserve">. People in D move to J at the first arrest rate</w:t>
      </w:r>
      <w:r>
        <w:t xml:space="preserve"> </w:t>
      </w:r>
      <m:oMath>
        <m:sSubSup>
          <m:e>
            <m:r>
              <m:t>λ</m:t>
            </m:r>
          </m:e>
          <m:sub>
            <m:r>
              <m:t>i</m:t>
            </m:r>
          </m:sub>
          <m:sup>
            <m:r>
              <m:rPr>
                <m:sty m:val="p"/>
              </m:rPr>
              <m:t>(</m:t>
            </m:r>
            <m:r>
              <m:t>1</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0.59</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Arrest and release rates are fixed inputs based on Singapore Prison Service records. People in X stay in X.</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PWID</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r>
                <m:t>ω</m:t>
              </m:r>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[13]</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[13]</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[13,14]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[13,14]</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[15]</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r>
                <m:t>ω</m:t>
              </m:r>
            </m:oMath>
          </w:p>
        </w:tc>
        <w:tc>
          <w:tcPr/>
          <w:p>
            <w:pPr>
              <w:pStyle w:val="Compact"/>
            </w:pPr>
            <w:r>
              <w:t xml:space="preserve">Standardised mortality ratio for PWID</w:t>
            </w:r>
          </w:p>
        </w:tc>
        <w:tc>
          <w:tcPr/>
          <w:p>
            <w:pPr>
              <w:pStyle w:val="Compact"/>
            </w:pPr>
            <w:r>
              <w:t xml:space="preserve">14.68</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0.45</w:t>
            </w:r>
          </w:p>
        </w:tc>
        <w:tc>
          <w:tcPr/>
          <w:p>
            <w:pPr>
              <w:pStyle w:val="Compact"/>
            </w:pPr>
            <w:r>
              <w:t xml:space="preserve">[9]</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0.59</w:t>
            </w:r>
          </w:p>
        </w:tc>
        <w:tc>
          <w:tcPr/>
          <w:p>
            <w:pPr>
              <w:pStyle w:val="Compact"/>
            </w:pPr>
            <w:r>
              <w:t xml:space="preserve">Based on prison records</w:t>
            </w:r>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[13,14]</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[13]</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 calibration targets were 2015 Singapore Prison Service data on HCV seroprevalence and the number of people in prison with a history of drug use, in six age groups. Seroprevalence in the model is the share of people in states a, c, t and r among all people in J. The prevalence terms used a binomial likelihood. The population terms used a log normal likelihood with standard deviation 0.10 on the log scale.</w:t>
      </w:r>
    </w:p>
    <w:bookmarkEnd w:id="15"/>
    <w:bookmarkStart w:id="16" w:name="entry-into-injecting"/>
    <w:p>
      <w:pPr>
        <w:pStyle w:val="Heading2"/>
      </w:pPr>
      <w:r>
        <w:t xml:space="preserve">2.2 Entry into injecting</w:t>
      </w:r>
    </w:p>
    <w:p>
      <w:pPr>
        <w:pStyle w:val="FirstParagraph"/>
      </w:pPr>
      <w:r>
        <w:t xml:space="preserve">From 2016 to 2025, entry into D followed the annual number of new drug users by age published by the Singapore Department of Statistics</w:t>
      </w:r>
      <w:r>
        <w:t xml:space="preserve"> </w:t>
      </w:r>
      <w:r>
        <w:t xml:space="preserve">[16]</w:t>
      </w:r>
      <w:r>
        <w:t xml:space="preserve"> </w:t>
      </w:r>
      <w:r>
        <w:t xml:space="preserve">(Table S2). Each age specific series was multiplied by a calibrated scale. The 2025 value was held constant to 2030. These counts come from law enforcement records and are a proxy for entry into injecting.</w:t>
      </w:r>
    </w:p>
    <w:p>
      <w:pPr>
        <w:pStyle w:val="BodyText"/>
      </w:pPr>
      <w:r>
        <w:rPr>
          <w:b/>
          <w:bCs/>
        </w:rPr>
        <w:t xml:space="preserve">Table S2. New drug users by age group, Singapore, 2015 to 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r>
        <w:tc>
          <w:tcPr/>
          <w:p>
            <w:pPr>
              <w:pStyle w:val="Compact"/>
            </w:pPr>
            <w:r>
              <w:t xml:space="preserve">2016</w:t>
            </w:r>
          </w:p>
        </w:tc>
        <w:tc>
          <w:tcPr/>
          <w:p>
            <w:pPr>
              <w:pStyle w:val="Compact"/>
            </w:pPr>
            <w:r>
              <w:t xml:space="preserve">244</w:t>
            </w:r>
          </w:p>
        </w:tc>
        <w:tc>
          <w:tcPr/>
          <w:p>
            <w:pPr>
              <w:pStyle w:val="Compact"/>
            </w:pPr>
            <w:r>
              <w:t xml:space="preserve">650</w:t>
            </w:r>
          </w:p>
        </w:tc>
        <w:tc>
          <w:tcPr/>
          <w:p>
            <w:pPr>
              <w:pStyle w:val="Compact"/>
            </w:pPr>
            <w:r>
              <w:t xml:space="preserve">313</w:t>
            </w:r>
          </w:p>
        </w:tc>
        <w:tc>
          <w:tcPr/>
          <w:p>
            <w:pPr>
              <w:pStyle w:val="Compact"/>
            </w:pPr>
            <w:r>
              <w:t xml:space="preserve">110</w:t>
            </w:r>
          </w:p>
        </w:tc>
        <w:tc>
          <w:tcPr/>
          <w:p>
            <w:pPr>
              <w:pStyle w:val="Compact"/>
            </w:pPr>
            <w:r>
              <w:t xml:space="preserve">27</w:t>
            </w:r>
          </w:p>
        </w:tc>
        <w:tc>
          <w:tcPr/>
          <w:p>
            <w:pPr>
              <w:pStyle w:val="Compact"/>
            </w:pPr>
            <w:r>
              <w:t xml:space="preserve">4</w:t>
            </w:r>
          </w:p>
        </w:tc>
      </w:tr>
      <w:tr>
        <w:tc>
          <w:tcPr/>
          <w:p>
            <w:pPr>
              <w:pStyle w:val="Compact"/>
            </w:pPr>
            <w:r>
              <w:t xml:space="preserve">2017</w:t>
            </w:r>
          </w:p>
        </w:tc>
        <w:tc>
          <w:tcPr/>
          <w:p>
            <w:pPr>
              <w:pStyle w:val="Compact"/>
            </w:pPr>
            <w:r>
              <w:t xml:space="preserve">235</w:t>
            </w:r>
          </w:p>
        </w:tc>
        <w:tc>
          <w:tcPr/>
          <w:p>
            <w:pPr>
              <w:pStyle w:val="Compact"/>
            </w:pPr>
            <w:r>
              <w:t xml:space="preserve">565</w:t>
            </w:r>
          </w:p>
        </w:tc>
        <w:tc>
          <w:tcPr/>
          <w:p>
            <w:pPr>
              <w:pStyle w:val="Compact"/>
            </w:pPr>
            <w:r>
              <w:t xml:space="preserve">301</w:t>
            </w:r>
          </w:p>
        </w:tc>
        <w:tc>
          <w:tcPr/>
          <w:p>
            <w:pPr>
              <w:pStyle w:val="Compact"/>
            </w:pPr>
            <w:r>
              <w:t xml:space="preserve">111</w:t>
            </w:r>
          </w:p>
        </w:tc>
        <w:tc>
          <w:tcPr/>
          <w:p>
            <w:pPr>
              <w:pStyle w:val="Compact"/>
            </w:pPr>
            <w:r>
              <w:t xml:space="preserve">33</w:t>
            </w:r>
          </w:p>
        </w:tc>
        <w:tc>
          <w:tcPr/>
          <w:p>
            <w:pPr>
              <w:pStyle w:val="Compact"/>
            </w:pPr>
            <w:r>
              <w:t xml:space="preserve">4</w:t>
            </w:r>
          </w:p>
        </w:tc>
      </w:tr>
      <w:tr>
        <w:tc>
          <w:tcPr/>
          <w:p>
            <w:pPr>
              <w:pStyle w:val="Compact"/>
            </w:pPr>
            <w:r>
              <w:t xml:space="preserve">2018</w:t>
            </w:r>
          </w:p>
        </w:tc>
        <w:tc>
          <w:tcPr/>
          <w:p>
            <w:pPr>
              <w:pStyle w:val="Compact"/>
            </w:pPr>
            <w:r>
              <w:t xml:space="preserve">305</w:t>
            </w:r>
          </w:p>
        </w:tc>
        <w:tc>
          <w:tcPr/>
          <w:p>
            <w:pPr>
              <w:pStyle w:val="Compact"/>
            </w:pPr>
            <w:r>
              <w:t xml:space="preserve">570</w:t>
            </w:r>
          </w:p>
        </w:tc>
        <w:tc>
          <w:tcPr/>
          <w:p>
            <w:pPr>
              <w:pStyle w:val="Compact"/>
            </w:pPr>
            <w:r>
              <w:t xml:space="preserve">303</w:t>
            </w:r>
          </w:p>
        </w:tc>
        <w:tc>
          <w:tcPr/>
          <w:p>
            <w:pPr>
              <w:pStyle w:val="Compact"/>
            </w:pPr>
            <w:r>
              <w:t xml:space="preserve">138</w:t>
            </w:r>
          </w:p>
        </w:tc>
        <w:tc>
          <w:tcPr/>
          <w:p>
            <w:pPr>
              <w:pStyle w:val="Compact"/>
            </w:pPr>
            <w:r>
              <w:t xml:space="preserve">36</w:t>
            </w:r>
          </w:p>
        </w:tc>
        <w:tc>
          <w:tcPr/>
          <w:p>
            <w:pPr>
              <w:pStyle w:val="Compact"/>
            </w:pPr>
            <w:r>
              <w:t xml:space="preserve">12</w:t>
            </w:r>
          </w:p>
        </w:tc>
      </w:tr>
      <w:tr>
        <w:tc>
          <w:tcPr/>
          <w:p>
            <w:pPr>
              <w:pStyle w:val="Compact"/>
            </w:pPr>
            <w:r>
              <w:t xml:space="preserve">2019</w:t>
            </w:r>
          </w:p>
        </w:tc>
        <w:tc>
          <w:tcPr/>
          <w:p>
            <w:pPr>
              <w:pStyle w:val="Compact"/>
            </w:pPr>
            <w:r>
              <w:t xml:space="preserve">309</w:t>
            </w:r>
          </w:p>
        </w:tc>
        <w:tc>
          <w:tcPr/>
          <w:p>
            <w:pPr>
              <w:pStyle w:val="Compact"/>
            </w:pPr>
            <w:r>
              <w:t xml:space="preserve">594</w:t>
            </w:r>
          </w:p>
        </w:tc>
        <w:tc>
          <w:tcPr/>
          <w:p>
            <w:pPr>
              <w:pStyle w:val="Compact"/>
            </w:pPr>
            <w:r>
              <w:t xml:space="preserve">341</w:t>
            </w:r>
          </w:p>
        </w:tc>
        <w:tc>
          <w:tcPr/>
          <w:p>
            <w:pPr>
              <w:pStyle w:val="Compact"/>
            </w:pPr>
            <w:r>
              <w:t xml:space="preserve">130</w:t>
            </w:r>
          </w:p>
        </w:tc>
        <w:tc>
          <w:tcPr/>
          <w:p>
            <w:pPr>
              <w:pStyle w:val="Compact"/>
            </w:pPr>
            <w:r>
              <w:t xml:space="preserve">70</w:t>
            </w:r>
          </w:p>
        </w:tc>
        <w:tc>
          <w:tcPr/>
          <w:p>
            <w:pPr>
              <w:pStyle w:val="Compact"/>
            </w:pPr>
            <w:r>
              <w:t xml:space="preserve">16</w:t>
            </w:r>
          </w:p>
        </w:tc>
      </w:tr>
      <w:tr>
        <w:tc>
          <w:tcPr/>
          <w:p>
            <w:pPr>
              <w:pStyle w:val="Compact"/>
            </w:pPr>
            <w:r>
              <w:t xml:space="preserve">2020</w:t>
            </w:r>
          </w:p>
        </w:tc>
        <w:tc>
          <w:tcPr/>
          <w:p>
            <w:pPr>
              <w:pStyle w:val="Compact"/>
            </w:pPr>
            <w:r>
              <w:t xml:space="preserve">228</w:t>
            </w:r>
          </w:p>
        </w:tc>
        <w:tc>
          <w:tcPr/>
          <w:p>
            <w:pPr>
              <w:pStyle w:val="Compact"/>
            </w:pPr>
            <w:r>
              <w:t xml:space="preserve">488</w:t>
            </w:r>
          </w:p>
        </w:tc>
        <w:tc>
          <w:tcPr/>
          <w:p>
            <w:pPr>
              <w:pStyle w:val="Compact"/>
            </w:pPr>
            <w:r>
              <w:t xml:space="preserve">252</w:t>
            </w:r>
          </w:p>
        </w:tc>
        <w:tc>
          <w:tcPr/>
          <w:p>
            <w:pPr>
              <w:pStyle w:val="Compact"/>
            </w:pPr>
            <w:r>
              <w:t xml:space="preserve">112</w:t>
            </w:r>
          </w:p>
        </w:tc>
        <w:tc>
          <w:tcPr/>
          <w:p>
            <w:pPr>
              <w:pStyle w:val="Compact"/>
            </w:pPr>
            <w:r>
              <w:t xml:space="preserve">58</w:t>
            </w:r>
          </w:p>
        </w:tc>
        <w:tc>
          <w:tcPr/>
          <w:p>
            <w:pPr>
              <w:pStyle w:val="Compact"/>
            </w:pPr>
            <w:r>
              <w:t xml:space="preserve">13</w:t>
            </w:r>
          </w:p>
        </w:tc>
      </w:tr>
      <w:tr>
        <w:tc>
          <w:tcPr/>
          <w:p>
            <w:pPr>
              <w:pStyle w:val="Compact"/>
            </w:pPr>
            <w:r>
              <w:t xml:space="preserve">2021</w:t>
            </w:r>
          </w:p>
        </w:tc>
        <w:tc>
          <w:tcPr/>
          <w:p>
            <w:pPr>
              <w:pStyle w:val="Compact"/>
            </w:pPr>
            <w:r>
              <w:t xml:space="preserve">152</w:t>
            </w:r>
          </w:p>
        </w:tc>
        <w:tc>
          <w:tcPr/>
          <w:p>
            <w:pPr>
              <w:pStyle w:val="Compact"/>
            </w:pPr>
            <w:r>
              <w:t xml:space="preserve">408</w:t>
            </w:r>
          </w:p>
        </w:tc>
        <w:tc>
          <w:tcPr/>
          <w:p>
            <w:pPr>
              <w:pStyle w:val="Compact"/>
            </w:pPr>
            <w:r>
              <w:t xml:space="preserve">226</w:t>
            </w:r>
          </w:p>
        </w:tc>
        <w:tc>
          <w:tcPr/>
          <w:p>
            <w:pPr>
              <w:pStyle w:val="Compact"/>
            </w:pPr>
            <w:r>
              <w:t xml:space="preserve">97</w:t>
            </w:r>
          </w:p>
        </w:tc>
        <w:tc>
          <w:tcPr/>
          <w:p>
            <w:pPr>
              <w:pStyle w:val="Compact"/>
            </w:pPr>
            <w:r>
              <w:t xml:space="preserve">40</w:t>
            </w:r>
          </w:p>
        </w:tc>
        <w:tc>
          <w:tcPr/>
          <w:p>
            <w:pPr>
              <w:pStyle w:val="Compact"/>
            </w:pPr>
            <w:r>
              <w:t xml:space="preserve">13</w:t>
            </w:r>
          </w:p>
        </w:tc>
      </w:tr>
      <w:tr>
        <w:tc>
          <w:tcPr/>
          <w:p>
            <w:pPr>
              <w:pStyle w:val="Compact"/>
            </w:pPr>
            <w:r>
              <w:t xml:space="preserve">2022</w:t>
            </w:r>
          </w:p>
        </w:tc>
        <w:tc>
          <w:tcPr/>
          <w:p>
            <w:pPr>
              <w:pStyle w:val="Compact"/>
            </w:pPr>
            <w:r>
              <w:t xml:space="preserve">83</w:t>
            </w:r>
          </w:p>
        </w:tc>
        <w:tc>
          <w:tcPr/>
          <w:p>
            <w:pPr>
              <w:pStyle w:val="Compact"/>
            </w:pPr>
            <w:r>
              <w:t xml:space="preserve">317</w:t>
            </w:r>
          </w:p>
        </w:tc>
        <w:tc>
          <w:tcPr/>
          <w:p>
            <w:pPr>
              <w:pStyle w:val="Compact"/>
            </w:pPr>
            <w:r>
              <w:t xml:space="preserve">250</w:t>
            </w:r>
          </w:p>
        </w:tc>
        <w:tc>
          <w:tcPr/>
          <w:p>
            <w:pPr>
              <w:pStyle w:val="Compact"/>
            </w:pPr>
            <w:r>
              <w:t xml:space="preserve">101</w:t>
            </w:r>
          </w:p>
        </w:tc>
        <w:tc>
          <w:tcPr/>
          <w:p>
            <w:pPr>
              <w:pStyle w:val="Compact"/>
            </w:pPr>
            <w:r>
              <w:t xml:space="preserve">33</w:t>
            </w:r>
          </w:p>
        </w:tc>
        <w:tc>
          <w:tcPr/>
          <w:p>
            <w:pPr>
              <w:pStyle w:val="Compact"/>
            </w:pPr>
            <w:r>
              <w:t xml:space="preserve">18</w:t>
            </w:r>
          </w:p>
        </w:tc>
      </w:tr>
      <w:tr>
        <w:tc>
          <w:tcPr/>
          <w:p>
            <w:pPr>
              <w:pStyle w:val="Compact"/>
            </w:pPr>
            <w:r>
              <w:t xml:space="preserve">2023</w:t>
            </w:r>
          </w:p>
        </w:tc>
        <w:tc>
          <w:tcPr/>
          <w:p>
            <w:pPr>
              <w:pStyle w:val="Compact"/>
            </w:pPr>
            <w:r>
              <w:t xml:space="preserve">97</w:t>
            </w:r>
          </w:p>
        </w:tc>
        <w:tc>
          <w:tcPr/>
          <w:p>
            <w:pPr>
              <w:pStyle w:val="Compact"/>
            </w:pPr>
            <w:r>
              <w:t xml:space="preserve">391</w:t>
            </w:r>
          </w:p>
        </w:tc>
        <w:tc>
          <w:tcPr/>
          <w:p>
            <w:pPr>
              <w:pStyle w:val="Compact"/>
            </w:pPr>
            <w:r>
              <w:t xml:space="preserve">281</w:t>
            </w:r>
          </w:p>
        </w:tc>
        <w:tc>
          <w:tcPr/>
          <w:p>
            <w:pPr>
              <w:pStyle w:val="Compact"/>
            </w:pPr>
            <w:r>
              <w:t xml:space="preserve">123</w:t>
            </w:r>
          </w:p>
        </w:tc>
        <w:tc>
          <w:tcPr/>
          <w:p>
            <w:pPr>
              <w:pStyle w:val="Compact"/>
            </w:pPr>
            <w:r>
              <w:t xml:space="preserve">52</w:t>
            </w:r>
          </w:p>
        </w:tc>
        <w:tc>
          <w:tcPr/>
          <w:p>
            <w:pPr>
              <w:pStyle w:val="Compact"/>
            </w:pPr>
            <w:r>
              <w:t xml:space="preserve">8</w:t>
            </w:r>
          </w:p>
        </w:tc>
      </w:tr>
      <w:tr>
        <w:tc>
          <w:tcPr/>
          <w:p>
            <w:pPr>
              <w:pStyle w:val="Compact"/>
            </w:pPr>
            <w:r>
              <w:t xml:space="preserve">2024</w:t>
            </w:r>
          </w:p>
        </w:tc>
        <w:tc>
          <w:tcPr/>
          <w:p>
            <w:pPr>
              <w:pStyle w:val="Compact"/>
            </w:pPr>
            <w:r>
              <w:t xml:space="preserve">134</w:t>
            </w:r>
          </w:p>
        </w:tc>
        <w:tc>
          <w:tcPr/>
          <w:p>
            <w:pPr>
              <w:pStyle w:val="Compact"/>
            </w:pPr>
            <w:r>
              <w:t xml:space="preserve">401</w:t>
            </w:r>
          </w:p>
        </w:tc>
        <w:tc>
          <w:tcPr/>
          <w:p>
            <w:pPr>
              <w:pStyle w:val="Compact"/>
            </w:pPr>
            <w:r>
              <w:t xml:space="preserve">286</w:t>
            </w:r>
          </w:p>
        </w:tc>
        <w:tc>
          <w:tcPr/>
          <w:p>
            <w:pPr>
              <w:pStyle w:val="Compact"/>
            </w:pPr>
            <w:r>
              <w:t xml:space="preserve">116</w:t>
            </w:r>
          </w:p>
        </w:tc>
        <w:tc>
          <w:tcPr/>
          <w:p>
            <w:pPr>
              <w:pStyle w:val="Compact"/>
            </w:pPr>
            <w:r>
              <w:t xml:space="preserve">48</w:t>
            </w:r>
          </w:p>
        </w:tc>
        <w:tc>
          <w:tcPr/>
          <w:p>
            <w:pPr>
              <w:pStyle w:val="Compact"/>
            </w:pPr>
            <w:r>
              <w:t xml:space="preserve">11</w:t>
            </w:r>
          </w:p>
        </w:tc>
      </w:tr>
      <w:tr>
        <w:tc>
          <w:tcPr/>
          <w:p>
            <w:pPr>
              <w:pStyle w:val="Compact"/>
            </w:pPr>
            <w:r>
              <w:t xml:space="preserve">2025</w:t>
            </w:r>
          </w:p>
        </w:tc>
        <w:tc>
          <w:tcPr/>
          <w:p>
            <w:pPr>
              <w:pStyle w:val="Compact"/>
            </w:pPr>
            <w:r>
              <w:t xml:space="preserve">163</w:t>
            </w:r>
          </w:p>
        </w:tc>
        <w:tc>
          <w:tcPr/>
          <w:p>
            <w:pPr>
              <w:pStyle w:val="Compact"/>
            </w:pPr>
            <w:r>
              <w:t xml:space="preserve">420</w:t>
            </w:r>
          </w:p>
        </w:tc>
        <w:tc>
          <w:tcPr/>
          <w:p>
            <w:pPr>
              <w:pStyle w:val="Compact"/>
            </w:pPr>
            <w:r>
              <w:t xml:space="preserve">367</w:t>
            </w:r>
          </w:p>
        </w:tc>
        <w:tc>
          <w:tcPr/>
          <w:p>
            <w:pPr>
              <w:pStyle w:val="Compact"/>
            </w:pPr>
            <w:r>
              <w:t xml:space="preserve">140</w:t>
            </w:r>
          </w:p>
        </w:tc>
        <w:tc>
          <w:tcPr/>
          <w:p>
            <w:pPr>
              <w:pStyle w:val="Compact"/>
            </w:pPr>
            <w:r>
              <w:t xml:space="preserve">60</w:t>
            </w:r>
          </w:p>
        </w:tc>
        <w:tc>
          <w:tcPr/>
          <w:p>
            <w:pPr>
              <w:pStyle w:val="Compact"/>
            </w:pPr>
            <w:r>
              <w:t xml:space="preserve">15</w:t>
            </w:r>
          </w:p>
        </w:tc>
      </w:tr>
    </w:tbl>
    <w:bookmarkEnd w:id="16"/>
    <w:bookmarkStart w:id="17" w:name="calibrated-parameters-and-priors"/>
    <w:p>
      <w:pPr>
        <w:pStyle w:val="Heading2"/>
      </w:pPr>
      <w:r>
        <w:t xml:space="preserve">2.3 Calibrated parameters and priors</w:t>
      </w:r>
    </w:p>
    <w:p>
      <w:pPr>
        <w:pStyle w:val="FirstParagraph"/>
      </w:pPr>
      <w:r>
        <w:t xml:space="preserve">We estimated 12 parameters on the log scale. Parameters θ1 to θ6 multiply the contact rates of the six age groups. Parameters θ7 to θ12 multiply the entry rates of the six age groups. A deterministic Nelder Mead fit with 8 starts gave the centre of the prior. The starts were an earlier anchor, 6 random perturbations of it (standard deviation 0.9 on the log scale) and a population informed start. Each start ran for up to 3,000 iterations. The best fit had an objective of 19.01, a prevalence root mean square error of 0.0044 and a population mean absolute percentage error of 2.3%. Every model evaluation ran from model year 0 to 150. The last ten years had to be at equilibrium. The prior for each parameter was normal on the log scale, centred on the best fit, with standard deviation 0.20.</w:t>
      </w:r>
    </w:p>
    <w:bookmarkEnd w:id="17"/>
    <w:bookmarkStart w:id="18" w:name="posterior-sampling"/>
    <w:p>
      <w:pPr>
        <w:pStyle w:val="Heading2"/>
      </w:pPr>
      <w:r>
        <w:t xml:space="preserve">2.4 Posterior sampling</w:t>
      </w:r>
    </w:p>
    <w:p>
      <w:pPr>
        <w:pStyle w:val="FirstParagraph"/>
      </w:pPr>
      <w:r>
        <w:t xml:space="preserve">The posterior combined the prior, a binomial likelihood for the six prevalence counts and a log normal likelihood (standard deviation 0.10) for the six population counts. Parameter sets whose simulation failed the equilibrium check had zero posterior density. We sampled it with adaptive random walk Metropolis</w:t>
      </w:r>
      <w:r>
        <w:t xml:space="preserve"> </w:t>
      </w:r>
      <w:r>
        <w:t xml:space="preserve">[17]</w:t>
      </w:r>
      <w:r>
        <w:t xml:space="preserve">. Four chains started from independent prior draws. The initial proposal covariance was 0.01 times the prior variance. Adaptation began after 200 proposals, was refreshed every 50 proposals and was frozen after warmup. A 5% share of proposals always used the initial covariance. Each chain ran 4,999 warmup and 45,000 retained proposals, giving 180,000 retained draws. Acceptance was 0.27 to 0.29. All parameters met the convergence checks (Table S3)</w:t>
      </w:r>
      <w:r>
        <w:t xml:space="preserve"> </w:t>
      </w:r>
      <w:r>
        <w:t xml:space="preserve">[18]</w:t>
      </w:r>
      <w:r>
        <w:t xml:space="preserve">.</w:t>
      </w:r>
    </w:p>
    <w:p>
      <w:pPr>
        <w:pStyle w:val="BodyText"/>
      </w:pPr>
      <w:r>
        <w:rPr>
          <w:b/>
          <w:bCs/>
        </w:rPr>
        <w:t xml:space="preserve">Table S3. Convergence diagnostics of the MCMC posterior.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Rank normalised R-hat</w:t>
            </w:r>
          </w:p>
        </w:tc>
        <w:tc>
          <w:tcPr/>
          <w:p>
            <w:pPr>
              <w:pStyle w:val="Compact"/>
            </w:pPr>
            <w:r>
              <w:t xml:space="preserve">Bulk ESS</w:t>
            </w:r>
          </w:p>
        </w:tc>
        <w:tc>
          <w:tcPr/>
          <w:p>
            <w:pPr>
              <w:pStyle w:val="Compact"/>
            </w:pPr>
            <w:r>
              <w:t xml:space="preserve">Tail ESS</w:t>
            </w:r>
          </w:p>
        </w:tc>
        <w:tc>
          <w:tcPr/>
          <w:p>
            <w:pPr>
              <w:pStyle w:val="Compact"/>
            </w:pPr>
            <w:r>
              <w:t xml:space="preserve">MCSE of mean / posterior SD</w:t>
            </w:r>
          </w:p>
        </w:tc>
      </w:tr>
      <w:tr>
        <w:tc>
          <w:tcPr/>
          <w:p>
            <w:pPr>
              <w:pStyle w:val="Compact"/>
            </w:pPr>
            <w:r>
              <w:t xml:space="preserve">θ1</w:t>
            </w:r>
          </w:p>
        </w:tc>
        <w:tc>
          <w:tcPr/>
          <w:p>
            <w:pPr>
              <w:pStyle w:val="Compact"/>
            </w:pPr>
            <w:r>
              <w:t xml:space="preserve">1.0006</w:t>
            </w:r>
          </w:p>
        </w:tc>
        <w:tc>
          <w:tcPr/>
          <w:p>
            <w:pPr>
              <w:pStyle w:val="Compact"/>
            </w:pPr>
            <w:r>
              <w:t xml:space="preserve">3,694</w:t>
            </w:r>
          </w:p>
        </w:tc>
        <w:tc>
          <w:tcPr/>
          <w:p>
            <w:pPr>
              <w:pStyle w:val="Compact"/>
            </w:pPr>
            <w:r>
              <w:t xml:space="preserve">6,582</w:t>
            </w:r>
          </w:p>
        </w:tc>
        <w:tc>
          <w:tcPr/>
          <w:p>
            <w:pPr>
              <w:pStyle w:val="Compact"/>
            </w:pPr>
            <w:r>
              <w:t xml:space="preserve">0.016</w:t>
            </w:r>
          </w:p>
        </w:tc>
      </w:tr>
      <w:tr>
        <w:tc>
          <w:tcPr/>
          <w:p>
            <w:pPr>
              <w:pStyle w:val="Compact"/>
            </w:pPr>
            <w:r>
              <w:t xml:space="preserve">θ2</w:t>
            </w:r>
          </w:p>
        </w:tc>
        <w:tc>
          <w:tcPr/>
          <w:p>
            <w:pPr>
              <w:pStyle w:val="Compact"/>
            </w:pPr>
            <w:r>
              <w:t xml:space="preserve">1.0006</w:t>
            </w:r>
          </w:p>
        </w:tc>
        <w:tc>
          <w:tcPr/>
          <w:p>
            <w:pPr>
              <w:pStyle w:val="Compact"/>
            </w:pPr>
            <w:r>
              <w:t xml:space="preserve">4,565</w:t>
            </w:r>
          </w:p>
        </w:tc>
        <w:tc>
          <w:tcPr/>
          <w:p>
            <w:pPr>
              <w:pStyle w:val="Compact"/>
            </w:pPr>
            <w:r>
              <w:t xml:space="preserve">8,375</w:t>
            </w:r>
          </w:p>
        </w:tc>
        <w:tc>
          <w:tcPr/>
          <w:p>
            <w:pPr>
              <w:pStyle w:val="Compact"/>
            </w:pPr>
            <w:r>
              <w:t xml:space="preserve">0.015</w:t>
            </w:r>
          </w:p>
        </w:tc>
      </w:tr>
      <w:tr>
        <w:tc>
          <w:tcPr/>
          <w:p>
            <w:pPr>
              <w:pStyle w:val="Compact"/>
            </w:pPr>
            <w:r>
              <w:t xml:space="preserve">θ3</w:t>
            </w:r>
          </w:p>
        </w:tc>
        <w:tc>
          <w:tcPr/>
          <w:p>
            <w:pPr>
              <w:pStyle w:val="Compact"/>
            </w:pPr>
            <w:r>
              <w:t xml:space="preserve">1.0009</w:t>
            </w:r>
          </w:p>
        </w:tc>
        <w:tc>
          <w:tcPr/>
          <w:p>
            <w:pPr>
              <w:pStyle w:val="Compact"/>
            </w:pPr>
            <w:r>
              <w:t xml:space="preserve">4,164</w:t>
            </w:r>
          </w:p>
        </w:tc>
        <w:tc>
          <w:tcPr/>
          <w:p>
            <w:pPr>
              <w:pStyle w:val="Compact"/>
            </w:pPr>
            <w:r>
              <w:t xml:space="preserve">6,507</w:t>
            </w:r>
          </w:p>
        </w:tc>
        <w:tc>
          <w:tcPr/>
          <w:p>
            <w:pPr>
              <w:pStyle w:val="Compact"/>
            </w:pPr>
            <w:r>
              <w:t xml:space="preserve">0.016</w:t>
            </w:r>
          </w:p>
        </w:tc>
      </w:tr>
      <w:tr>
        <w:tc>
          <w:tcPr/>
          <w:p>
            <w:pPr>
              <w:pStyle w:val="Compact"/>
            </w:pPr>
            <w:r>
              <w:t xml:space="preserve">θ4</w:t>
            </w:r>
          </w:p>
        </w:tc>
        <w:tc>
          <w:tcPr/>
          <w:p>
            <w:pPr>
              <w:pStyle w:val="Compact"/>
            </w:pPr>
            <w:r>
              <w:t xml:space="preserve">1.0009</w:t>
            </w:r>
          </w:p>
        </w:tc>
        <w:tc>
          <w:tcPr/>
          <w:p>
            <w:pPr>
              <w:pStyle w:val="Compact"/>
            </w:pPr>
            <w:r>
              <w:t xml:space="preserve">4,509</w:t>
            </w:r>
          </w:p>
        </w:tc>
        <w:tc>
          <w:tcPr/>
          <w:p>
            <w:pPr>
              <w:pStyle w:val="Compact"/>
            </w:pPr>
            <w:r>
              <w:t xml:space="preserve">8,938</w:t>
            </w:r>
          </w:p>
        </w:tc>
        <w:tc>
          <w:tcPr/>
          <w:p>
            <w:pPr>
              <w:pStyle w:val="Compact"/>
            </w:pPr>
            <w:r>
              <w:t xml:space="preserve">0.015</w:t>
            </w:r>
          </w:p>
        </w:tc>
      </w:tr>
      <w:tr>
        <w:tc>
          <w:tcPr/>
          <w:p>
            <w:pPr>
              <w:pStyle w:val="Compact"/>
            </w:pPr>
            <w:r>
              <w:t xml:space="preserve">θ5</w:t>
            </w:r>
          </w:p>
        </w:tc>
        <w:tc>
          <w:tcPr/>
          <w:p>
            <w:pPr>
              <w:pStyle w:val="Compact"/>
            </w:pPr>
            <w:r>
              <w:t xml:space="preserve">1.0012</w:t>
            </w:r>
          </w:p>
        </w:tc>
        <w:tc>
          <w:tcPr/>
          <w:p>
            <w:pPr>
              <w:pStyle w:val="Compact"/>
            </w:pPr>
            <w:r>
              <w:t xml:space="preserve">3,936</w:t>
            </w:r>
          </w:p>
        </w:tc>
        <w:tc>
          <w:tcPr/>
          <w:p>
            <w:pPr>
              <w:pStyle w:val="Compact"/>
            </w:pPr>
            <w:r>
              <w:t xml:space="preserve">7,885</w:t>
            </w:r>
          </w:p>
        </w:tc>
        <w:tc>
          <w:tcPr/>
          <w:p>
            <w:pPr>
              <w:pStyle w:val="Compact"/>
            </w:pPr>
            <w:r>
              <w:t xml:space="preserve">0.016</w:t>
            </w:r>
          </w:p>
        </w:tc>
      </w:tr>
      <w:tr>
        <w:tc>
          <w:tcPr/>
          <w:p>
            <w:pPr>
              <w:pStyle w:val="Compact"/>
            </w:pPr>
            <w:r>
              <w:t xml:space="preserve">θ6</w:t>
            </w:r>
          </w:p>
        </w:tc>
        <w:tc>
          <w:tcPr/>
          <w:p>
            <w:pPr>
              <w:pStyle w:val="Compact"/>
            </w:pPr>
            <w:r>
              <w:t xml:space="preserve">1.0014</w:t>
            </w:r>
          </w:p>
        </w:tc>
        <w:tc>
          <w:tcPr/>
          <w:p>
            <w:pPr>
              <w:pStyle w:val="Compact"/>
            </w:pPr>
            <w:r>
              <w:t xml:space="preserve">3,856</w:t>
            </w:r>
          </w:p>
        </w:tc>
        <w:tc>
          <w:tcPr/>
          <w:p>
            <w:pPr>
              <w:pStyle w:val="Compact"/>
            </w:pPr>
            <w:r>
              <w:t xml:space="preserve">7,559</w:t>
            </w:r>
          </w:p>
        </w:tc>
        <w:tc>
          <w:tcPr/>
          <w:p>
            <w:pPr>
              <w:pStyle w:val="Compact"/>
            </w:pPr>
            <w:r>
              <w:t xml:space="preserve">0.016</w:t>
            </w:r>
          </w:p>
        </w:tc>
      </w:tr>
      <w:tr>
        <w:tc>
          <w:tcPr/>
          <w:p>
            <w:pPr>
              <w:pStyle w:val="Compact"/>
            </w:pPr>
            <w:r>
              <w:t xml:space="preserve">θ7</w:t>
            </w:r>
          </w:p>
        </w:tc>
        <w:tc>
          <w:tcPr/>
          <w:p>
            <w:pPr>
              <w:pStyle w:val="Compact"/>
            </w:pPr>
            <w:r>
              <w:t xml:space="preserve">1.0003</w:t>
            </w:r>
          </w:p>
        </w:tc>
        <w:tc>
          <w:tcPr/>
          <w:p>
            <w:pPr>
              <w:pStyle w:val="Compact"/>
            </w:pPr>
            <w:r>
              <w:t xml:space="preserve">4,397</w:t>
            </w:r>
          </w:p>
        </w:tc>
        <w:tc>
          <w:tcPr/>
          <w:p>
            <w:pPr>
              <w:pStyle w:val="Compact"/>
            </w:pPr>
            <w:r>
              <w:t xml:space="preserve">8,994</w:t>
            </w:r>
          </w:p>
        </w:tc>
        <w:tc>
          <w:tcPr/>
          <w:p>
            <w:pPr>
              <w:pStyle w:val="Compact"/>
            </w:pPr>
            <w:r>
              <w:t xml:space="preserve">0.015</w:t>
            </w:r>
          </w:p>
        </w:tc>
      </w:tr>
      <w:tr>
        <w:tc>
          <w:tcPr/>
          <w:p>
            <w:pPr>
              <w:pStyle w:val="Compact"/>
            </w:pPr>
            <w:r>
              <w:t xml:space="preserve">θ8</w:t>
            </w:r>
          </w:p>
        </w:tc>
        <w:tc>
          <w:tcPr/>
          <w:p>
            <w:pPr>
              <w:pStyle w:val="Compact"/>
            </w:pPr>
            <w:r>
              <w:t xml:space="preserve">1.0015</w:t>
            </w:r>
          </w:p>
        </w:tc>
        <w:tc>
          <w:tcPr/>
          <w:p>
            <w:pPr>
              <w:pStyle w:val="Compact"/>
            </w:pPr>
            <w:r>
              <w:t xml:space="preserve">4,145</w:t>
            </w:r>
          </w:p>
        </w:tc>
        <w:tc>
          <w:tcPr/>
          <w:p>
            <w:pPr>
              <w:pStyle w:val="Compact"/>
            </w:pPr>
            <w:r>
              <w:t xml:space="preserve">7,660</w:t>
            </w:r>
          </w:p>
        </w:tc>
        <w:tc>
          <w:tcPr/>
          <w:p>
            <w:pPr>
              <w:pStyle w:val="Compact"/>
            </w:pPr>
            <w:r>
              <w:t xml:space="preserve">0.016</w:t>
            </w:r>
          </w:p>
        </w:tc>
      </w:tr>
      <w:tr>
        <w:tc>
          <w:tcPr/>
          <w:p>
            <w:pPr>
              <w:pStyle w:val="Compact"/>
            </w:pPr>
            <w:r>
              <w:t xml:space="preserve">θ9</w:t>
            </w:r>
          </w:p>
        </w:tc>
        <w:tc>
          <w:tcPr/>
          <w:p>
            <w:pPr>
              <w:pStyle w:val="Compact"/>
            </w:pPr>
            <w:r>
              <w:t xml:space="preserve">1.0009</w:t>
            </w:r>
          </w:p>
        </w:tc>
        <w:tc>
          <w:tcPr/>
          <w:p>
            <w:pPr>
              <w:pStyle w:val="Compact"/>
            </w:pPr>
            <w:r>
              <w:t xml:space="preserve">3,433</w:t>
            </w:r>
          </w:p>
        </w:tc>
        <w:tc>
          <w:tcPr/>
          <w:p>
            <w:pPr>
              <w:pStyle w:val="Compact"/>
            </w:pPr>
            <w:r>
              <w:t xml:space="preserve">6,242</w:t>
            </w:r>
          </w:p>
        </w:tc>
        <w:tc>
          <w:tcPr/>
          <w:p>
            <w:pPr>
              <w:pStyle w:val="Compact"/>
            </w:pPr>
            <w:r>
              <w:t xml:space="preserve">0.017</w:t>
            </w:r>
          </w:p>
        </w:tc>
      </w:tr>
      <w:tr>
        <w:tc>
          <w:tcPr/>
          <w:p>
            <w:pPr>
              <w:pStyle w:val="Compact"/>
            </w:pPr>
            <w:r>
              <w:t xml:space="preserve">θ10</w:t>
            </w:r>
          </w:p>
        </w:tc>
        <w:tc>
          <w:tcPr/>
          <w:p>
            <w:pPr>
              <w:pStyle w:val="Compact"/>
            </w:pPr>
            <w:r>
              <w:t xml:space="preserve">1.0013</w:t>
            </w:r>
          </w:p>
        </w:tc>
        <w:tc>
          <w:tcPr/>
          <w:p>
            <w:pPr>
              <w:pStyle w:val="Compact"/>
            </w:pPr>
            <w:r>
              <w:t xml:space="preserve">3,862</w:t>
            </w:r>
          </w:p>
        </w:tc>
        <w:tc>
          <w:tcPr/>
          <w:p>
            <w:pPr>
              <w:pStyle w:val="Compact"/>
            </w:pPr>
            <w:r>
              <w:t xml:space="preserve">7,108</w:t>
            </w:r>
          </w:p>
        </w:tc>
        <w:tc>
          <w:tcPr/>
          <w:p>
            <w:pPr>
              <w:pStyle w:val="Compact"/>
            </w:pPr>
            <w:r>
              <w:t xml:space="preserve">0.016</w:t>
            </w:r>
          </w:p>
        </w:tc>
      </w:tr>
      <w:tr>
        <w:tc>
          <w:tcPr/>
          <w:p>
            <w:pPr>
              <w:pStyle w:val="Compact"/>
            </w:pPr>
            <w:r>
              <w:t xml:space="preserve">θ11</w:t>
            </w:r>
          </w:p>
        </w:tc>
        <w:tc>
          <w:tcPr/>
          <w:p>
            <w:pPr>
              <w:pStyle w:val="Compact"/>
            </w:pPr>
            <w:r>
              <w:t xml:space="preserve">1.0019</w:t>
            </w:r>
          </w:p>
        </w:tc>
        <w:tc>
          <w:tcPr/>
          <w:p>
            <w:pPr>
              <w:pStyle w:val="Compact"/>
            </w:pPr>
            <w:r>
              <w:t xml:space="preserve">4,600</w:t>
            </w:r>
          </w:p>
        </w:tc>
        <w:tc>
          <w:tcPr/>
          <w:p>
            <w:pPr>
              <w:pStyle w:val="Compact"/>
            </w:pPr>
            <w:r>
              <w:t xml:space="preserve">8,685</w:t>
            </w:r>
          </w:p>
        </w:tc>
        <w:tc>
          <w:tcPr/>
          <w:p>
            <w:pPr>
              <w:pStyle w:val="Compact"/>
            </w:pPr>
            <w:r>
              <w:t xml:space="preserve">0.015</w:t>
            </w:r>
          </w:p>
        </w:tc>
      </w:tr>
      <w:tr>
        <w:tc>
          <w:tcPr/>
          <w:p>
            <w:pPr>
              <w:pStyle w:val="Compact"/>
            </w:pPr>
            <w:r>
              <w:t xml:space="preserve">θ12</w:t>
            </w:r>
          </w:p>
        </w:tc>
        <w:tc>
          <w:tcPr/>
          <w:p>
            <w:pPr>
              <w:pStyle w:val="Compact"/>
            </w:pPr>
            <w:r>
              <w:t xml:space="preserve">1.0005</w:t>
            </w:r>
          </w:p>
        </w:tc>
        <w:tc>
          <w:tcPr/>
          <w:p>
            <w:pPr>
              <w:pStyle w:val="Compact"/>
            </w:pPr>
            <w:r>
              <w:t xml:space="preserve">4,292</w:t>
            </w:r>
          </w:p>
        </w:tc>
        <w:tc>
          <w:tcPr/>
          <w:p>
            <w:pPr>
              <w:pStyle w:val="Compact"/>
            </w:pPr>
            <w:r>
              <w:t xml:space="preserve">7,224</w:t>
            </w:r>
          </w:p>
        </w:tc>
        <w:tc>
          <w:tcPr/>
          <w:p>
            <w:pPr>
              <w:pStyle w:val="Compact"/>
            </w:pPr>
            <w:r>
              <w:t xml:space="preserve">0.015</w:t>
            </w:r>
          </w:p>
        </w:tc>
      </w:tr>
    </w:tbl>
    <w:bookmarkEnd w:id="18"/>
    <w:bookmarkStart w:id="19" w:name="X716270ea85265bdd2a06f5bb2cf57a20f754157"/>
    <w:p>
      <w:pPr>
        <w:pStyle w:val="Heading2"/>
      </w:pPr>
      <w:r>
        <w:t xml:space="preserve">2.5 Comparison with neural posterior estimation</w:t>
      </w:r>
    </w:p>
    <w:p>
      <w:pPr>
        <w:pStyle w:val="FirstParagraph"/>
      </w:pPr>
      <w:r>
        <w:t xml:space="preserve">We checked the MCMC posterior against single round neural posterior estimation (NPE)</w:t>
      </w:r>
      <w:r>
        <w:t xml:space="preserve"> </w:t>
      </w:r>
      <w:r>
        <w:t xml:space="preserve">[19]</w:t>
      </w:r>
      <w:r>
        <w:t xml:space="preserve">, implemented in the sbi package</w:t>
      </w:r>
      <w:r>
        <w:t xml:space="preserve"> </w:t>
      </w:r>
      <w:r>
        <w:t xml:space="preserve">[20]</w:t>
      </w:r>
      <w:r>
        <w:t xml:space="preserve">. Both methods used the same prior, likelihood, solver and equilibrium restriction. We drew 50,000 parameter sets from the prior by Latin hypercube sampling. The design had one point in each of 50,000 equal probability strata for every parameter, and each column was mapped through the normal inverse distribution function of that parameter’s prior. Of these, 49,765 simulations were valid. 235 failed the equilibrium check and 0 were not finite. Failed simulations were dropped and not replaced. The network was a masked autoregressive flow with 50 hidden features and 5 transforms</w:t>
      </w:r>
      <w:r>
        <w:t xml:space="preserve"> </w:t>
      </w:r>
      <w:r>
        <w:t xml:space="preserve">[21]</w:t>
      </w:r>
      <w:r>
        <w:t xml:space="preserve">, trained in one round with the standard loss. Table S4 compares it with the MCMC posterior. Earlier single round runs with 26,000 random prior simulations are shown for context. The full comparison is in the project repository (</w:t>
      </w:r>
      <w:r>
        <w:rPr>
          <w:rStyle w:val="VerbatimChar"/>
        </w:rPr>
        <w:t xml:space="preserve">output/calibration/npe_vs_mcmc/report.md</w:t>
      </w:r>
      <w:r>
        <w:t xml:space="preserve">).</w:t>
      </w:r>
    </w:p>
    <w:p>
      <w:pPr>
        <w:pStyle w:val="BodyText"/>
      </w:pPr>
      <w:r>
        <w:rPr>
          <w:b/>
          <w:bCs/>
        </w:rPr>
        <w:t xml:space="preserve">Table S4. Single round NPE compared with the MCMC posterior.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Prior sampling</w:t>
            </w:r>
          </w:p>
        </w:tc>
        <w:tc>
          <w:tcPr/>
          <w:p>
            <w:pPr>
              <w:pStyle w:val="Compact"/>
            </w:pPr>
            <w:r>
              <w:t xml:space="preserve">Prior simulations (valid)</w:t>
            </w:r>
          </w:p>
        </w:tc>
        <w:tc>
          <w:tcPr/>
          <w:p>
            <w:pPr>
              <w:pStyle w:val="Compact"/>
            </w:pPr>
            <w:r>
              <w:t xml:space="preserve">Worst absolute mean difference (posterior SD)</w:t>
            </w:r>
          </w:p>
        </w:tc>
        <w:tc>
          <w:tcPr/>
          <w:p>
            <w:pPr>
              <w:pStyle w:val="Compact"/>
            </w:pPr>
            <w:r>
              <w:t xml:space="preserve">Worst 95% endpoint difference (posterior SD)</w:t>
            </w:r>
          </w:p>
        </w:tc>
        <w:tc>
          <w:tcPr/>
          <w:p>
            <w:pPr>
              <w:pStyle w:val="Compact"/>
            </w:pPr>
            <w:r>
              <w:t xml:space="preserve">95% interval width ratio, mean (range)</w:t>
            </w:r>
          </w:p>
        </w:tc>
        <w:tc>
          <w:tcPr/>
          <w:p>
            <w:pPr>
              <w:pStyle w:val="Compact"/>
            </w:pPr>
            <w:r>
              <w:t xml:space="preserve">Parameters passing all checks</w:t>
            </w:r>
          </w:p>
        </w:tc>
        <w:tc>
          <w:tcPr/>
          <w:p>
            <w:pPr>
              <w:pStyle w:val="Compact"/>
            </w:pPr>
            <w:r>
              <w:t xml:space="preserve">Worst policy median error</w:t>
            </w:r>
          </w:p>
        </w:tc>
        <w:tc>
          <w:tcPr/>
          <w:p>
            <w:pPr>
              <w:pStyle w:val="Compact"/>
            </w:pPr>
            <w:r>
              <w:t xml:space="preserve">Worst joint pass probability error (percentage points)</w:t>
            </w:r>
          </w:p>
        </w:tc>
      </w:tr>
      <w:tr>
        <w:tc>
          <w:tcPr/>
          <w:p>
            <w:pPr>
              <w:pStyle w:val="Compact"/>
            </w:pPr>
            <w:r>
              <w:t xml:space="preserve">Latin hypercube sampling</w:t>
            </w:r>
          </w:p>
        </w:tc>
        <w:tc>
          <w:tcPr/>
          <w:p>
            <w:pPr>
              <w:pStyle w:val="Compact"/>
            </w:pPr>
            <w:r>
              <w:t xml:space="preserve">50,000 (49,765)</w:t>
            </w:r>
          </w:p>
        </w:tc>
        <w:tc>
          <w:tcPr/>
          <w:p>
            <w:pPr>
              <w:pStyle w:val="Compact"/>
            </w:pPr>
            <w:r>
              <w:t xml:space="preserve">0.09</w:t>
            </w:r>
          </w:p>
        </w:tc>
        <w:tc>
          <w:tcPr/>
          <w:p>
            <w:pPr>
              <w:pStyle w:val="Compact"/>
            </w:pPr>
            <w:r>
              <w:t xml:space="preserve">0.26</w:t>
            </w:r>
          </w:p>
        </w:tc>
        <w:tc>
          <w:tcPr/>
          <w:p>
            <w:pPr>
              <w:pStyle w:val="Compact"/>
            </w:pPr>
            <w:r>
              <w:t xml:space="preserve">0.961 (0.94 to 0.99)</w:t>
            </w:r>
          </w:p>
        </w:tc>
        <w:tc>
          <w:tcPr/>
          <w:p>
            <w:pPr>
              <w:pStyle w:val="Compact"/>
            </w:pPr>
            <w:r>
              <w:t xml:space="preserve">92%</w:t>
            </w:r>
          </w:p>
        </w:tc>
        <w:tc>
          <w:tcPr/>
          <w:p>
            <w:pPr>
              <w:pStyle w:val="Compact"/>
            </w:pPr>
            <w:r>
              <w:t xml:space="preserve">0.4%</w:t>
            </w:r>
          </w:p>
        </w:tc>
        <w:tc>
          <w:tcPr/>
          <w:p>
            <w:pPr>
              <w:pStyle w:val="Compact"/>
            </w:pPr>
            <w:r>
              <w:t xml:space="preserve">1.0</w:t>
            </w:r>
          </w:p>
        </w:tc>
      </w:tr>
      <w:tr>
        <w:tc>
          <w:tcPr/>
          <w:p>
            <w:pPr>
              <w:pStyle w:val="Compact"/>
            </w:pPr>
            <w:r>
              <w:t xml:space="preserve">Random sampling, replicate 1</w:t>
            </w:r>
          </w:p>
        </w:tc>
        <w:tc>
          <w:tcPr/>
          <w:p>
            <w:pPr>
              <w:pStyle w:val="Compact"/>
            </w:pPr>
            <w:r>
              <w:t xml:space="preserve">26,000 (25,875)</w:t>
            </w:r>
          </w:p>
        </w:tc>
        <w:tc>
          <w:tcPr/>
          <w:p>
            <w:pPr>
              <w:pStyle w:val="Compact"/>
            </w:pPr>
            <w:r>
              <w:t xml:space="preserve">0.09</w:t>
            </w:r>
          </w:p>
        </w:tc>
        <w:tc>
          <w:tcPr/>
          <w:p>
            <w:pPr>
              <w:pStyle w:val="Compact"/>
            </w:pPr>
            <w:r>
              <w:t xml:space="preserve">0.28</w:t>
            </w:r>
          </w:p>
        </w:tc>
        <w:tc>
          <w:tcPr/>
          <w:p>
            <w:pPr>
              <w:pStyle w:val="Compact"/>
            </w:pPr>
            <w:r>
              <w:t xml:space="preserve">0.961 (0.92 to 1.05)</w:t>
            </w:r>
          </w:p>
        </w:tc>
        <w:tc>
          <w:tcPr/>
          <w:p>
            <w:pPr>
              <w:pStyle w:val="Compact"/>
            </w:pPr>
            <w:r>
              <w:t xml:space="preserve">83%</w:t>
            </w:r>
          </w:p>
        </w:tc>
        <w:tc>
          <w:tcPr/>
          <w:p>
            <w:pPr>
              <w:pStyle w:val="Compact"/>
            </w:pPr>
            <w:r>
              <w:t xml:space="preserve">0.5%</w:t>
            </w:r>
          </w:p>
        </w:tc>
        <w:tc>
          <w:tcPr/>
          <w:p>
            <w:pPr>
              <w:pStyle w:val="Compact"/>
            </w:pPr>
            <w:r>
              <w:t xml:space="preserve">1.4</w:t>
            </w:r>
          </w:p>
        </w:tc>
      </w:tr>
      <w:tr>
        <w:tc>
          <w:tcPr/>
          <w:p>
            <w:pPr>
              <w:pStyle w:val="Compact"/>
            </w:pPr>
            <w:r>
              <w:t xml:space="preserve">Random sampling, replicate 2</w:t>
            </w:r>
          </w:p>
        </w:tc>
        <w:tc>
          <w:tcPr/>
          <w:p>
            <w:pPr>
              <w:pStyle w:val="Compact"/>
            </w:pPr>
            <w:r>
              <w:t xml:space="preserve">26,000 (25,885)</w:t>
            </w:r>
          </w:p>
        </w:tc>
        <w:tc>
          <w:tcPr/>
          <w:p>
            <w:pPr>
              <w:pStyle w:val="Compact"/>
            </w:pPr>
            <w:r>
              <w:t xml:space="preserve">0.09</w:t>
            </w:r>
          </w:p>
        </w:tc>
        <w:tc>
          <w:tcPr/>
          <w:p>
            <w:pPr>
              <w:pStyle w:val="Compact"/>
            </w:pPr>
            <w:r>
              <w:t xml:space="preserve">0.27</w:t>
            </w:r>
          </w:p>
        </w:tc>
        <w:tc>
          <w:tcPr/>
          <w:p>
            <w:pPr>
              <w:pStyle w:val="Compact"/>
            </w:pPr>
            <w:r>
              <w:t xml:space="preserve">0.949 (0.90 to 1.00)</w:t>
            </w:r>
          </w:p>
        </w:tc>
        <w:tc>
          <w:tcPr/>
          <w:p>
            <w:pPr>
              <w:pStyle w:val="Compact"/>
            </w:pPr>
            <w:r>
              <w:t xml:space="preserve">83%</w:t>
            </w:r>
          </w:p>
        </w:tc>
        <w:tc>
          <w:tcPr/>
          <w:p>
            <w:pPr>
              <w:pStyle w:val="Compact"/>
            </w:pPr>
            <w:r>
              <w:t xml:space="preserve">0.2%</w:t>
            </w:r>
          </w:p>
        </w:tc>
        <w:tc>
          <w:tcPr/>
          <w:p>
            <w:pPr>
              <w:pStyle w:val="Compact"/>
            </w:pPr>
            <w:r>
              <w:t xml:space="preserve">0.5</w:t>
            </w:r>
          </w:p>
        </w:tc>
      </w:tr>
      <w:tr>
        <w:tc>
          <w:tcPr/>
          <w:p>
            <w:pPr>
              <w:pStyle w:val="Compact"/>
            </w:pPr>
            <w:r>
              <w:t xml:space="preserve">Random sampling, replicate 3</w:t>
            </w:r>
          </w:p>
        </w:tc>
        <w:tc>
          <w:tcPr/>
          <w:p>
            <w:pPr>
              <w:pStyle w:val="Compact"/>
            </w:pPr>
            <w:r>
              <w:t xml:space="preserve">26,000 (25,865)</w:t>
            </w:r>
          </w:p>
        </w:tc>
        <w:tc>
          <w:tcPr/>
          <w:p>
            <w:pPr>
              <w:pStyle w:val="Compact"/>
            </w:pPr>
            <w:r>
              <w:t xml:space="preserve">0.09</w:t>
            </w:r>
          </w:p>
        </w:tc>
        <w:tc>
          <w:tcPr/>
          <w:p>
            <w:pPr>
              <w:pStyle w:val="Compact"/>
            </w:pPr>
            <w:r>
              <w:t xml:space="preserve">0.24</w:t>
            </w:r>
          </w:p>
        </w:tc>
        <w:tc>
          <w:tcPr/>
          <w:p>
            <w:pPr>
              <w:pStyle w:val="Compact"/>
            </w:pPr>
            <w:r>
              <w:t xml:space="preserve">0.953 (0.91 to 0.99)</w:t>
            </w:r>
          </w:p>
        </w:tc>
        <w:tc>
          <w:tcPr/>
          <w:p>
            <w:pPr>
              <w:pStyle w:val="Compact"/>
            </w:pPr>
            <w:r>
              <w:t xml:space="preserve">92%</w:t>
            </w:r>
          </w:p>
        </w:tc>
        <w:tc>
          <w:tcPr/>
          <w:p>
            <w:pPr>
              <w:pStyle w:val="Compact"/>
            </w:pPr>
            <w:r>
              <w:t xml:space="preserve">0.2%</w:t>
            </w:r>
          </w:p>
        </w:tc>
        <w:tc>
          <w:tcPr/>
          <w:p>
            <w:pPr>
              <w:pStyle w:val="Compact"/>
            </w:pPr>
            <w:r>
              <w:t xml:space="preserve">5.8</w:t>
            </w:r>
          </w:p>
        </w:tc>
      </w:tr>
    </w:tbl>
    <w:p>
      <w:pPr>
        <w:pStyle w:val="BodyText"/>
      </w:pPr>
      <w:r>
        <w:t xml:space="preserve">Checks: absolute mean difference at most 0.1 SD, 95% interval endpoints within 0.2 SD and width ratio between 0.9 and 1.1. Policy errors use 1,000 posterior states per method. The joint pass probability errors are comparable to their Monte Carlo error of about 1.5 percentage points.</w:t>
      </w:r>
    </w:p>
    <w:bookmarkEnd w:id="19"/>
    <w:bookmarkStart w:id="23" w:name="posterior-distribution-and-model-fit"/>
    <w:p>
      <w:pPr>
        <w:pStyle w:val="Heading2"/>
      </w:pPr>
      <w:r>
        <w:t xml:space="preserve">2.6 Posterior distribution and model fit</w:t>
      </w:r>
    </w:p>
    <w:p>
      <w:pPr>
        <w:pStyle w:val="FirstParagraph"/>
      </w:pPr>
      <w:r>
        <w:t xml:space="preserve">Table S5 gives the posterior of each parameter. For θ6, θ9 and θ12 the posterior standard deviation was close to the prior standard deviation, so these parameters remain mostly informed by the prior.</w:t>
      </w:r>
    </w:p>
    <w:p>
      <w:pPr>
        <w:pStyle w:val="BodyText"/>
      </w:pPr>
      <w:r>
        <w:rPr>
          <w:b/>
          <w:bCs/>
        </w:rPr>
        <w:t xml:space="preserve">Table S5. Nelder Mead best fit and posterior median (95% interval) of the log scale parameters.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Nelder Mead best fit</w:t>
            </w:r>
          </w:p>
        </w:tc>
        <w:tc>
          <w:tcPr/>
          <w:p>
            <w:pPr>
              <w:pStyle w:val="Compact"/>
            </w:pPr>
            <w:r>
              <w:t xml:space="preserve">Posterior median (95% interval)</w:t>
            </w:r>
          </w:p>
        </w:tc>
        <w:tc>
          <w:tcPr/>
          <w:p>
            <w:pPr>
              <w:pStyle w:val="Compact"/>
            </w:pPr>
            <w:r>
              <w:t xml:space="preserve">Posterior SD</w:t>
            </w:r>
          </w:p>
        </w:tc>
        <w:tc>
          <w:tcPr/>
          <w:p>
            <w:pPr>
              <w:pStyle w:val="Compact"/>
            </w:pPr>
            <w:r>
              <w:t xml:space="preserve">Posterior SD / prior SD</w:t>
            </w:r>
          </w:p>
        </w:tc>
      </w:tr>
      <w:tr>
        <w:tc>
          <w:tcPr/>
          <w:p>
            <w:pPr>
              <w:pStyle w:val="Compact"/>
            </w:pPr>
            <w:r>
              <w:t xml:space="preserve">θ1</w:t>
            </w:r>
          </w:p>
        </w:tc>
        <w:tc>
          <w:tcPr/>
          <w:p>
            <w:pPr>
              <w:pStyle w:val="Compact"/>
            </w:pPr>
            <w:r>
              <w:t xml:space="preserve">Contact scale, age &lt;20</w:t>
            </w:r>
          </w:p>
        </w:tc>
        <w:tc>
          <w:tcPr/>
          <w:p>
            <w:pPr>
              <w:pStyle w:val="Compact"/>
            </w:pPr>
            <w:r>
              <w:t xml:space="preserve">1.905</w:t>
            </w:r>
          </w:p>
        </w:tc>
        <w:tc>
          <w:tcPr/>
          <w:p>
            <w:pPr>
              <w:pStyle w:val="Compact"/>
            </w:pPr>
            <w:r>
              <w:t xml:space="preserve">1.885 (1.582 to 2.161)</w:t>
            </w:r>
          </w:p>
        </w:tc>
        <w:tc>
          <w:tcPr/>
          <w:p>
            <w:pPr>
              <w:pStyle w:val="Compact"/>
            </w:pPr>
            <w:r>
              <w:t xml:space="preserve">0.148</w:t>
            </w:r>
          </w:p>
        </w:tc>
        <w:tc>
          <w:tcPr/>
          <w:p>
            <w:pPr>
              <w:pStyle w:val="Compact"/>
            </w:pPr>
            <w:r>
              <w:t xml:space="preserve">0.74</w:t>
            </w:r>
          </w:p>
        </w:tc>
      </w:tr>
      <w:tr>
        <w:tc>
          <w:tcPr/>
          <w:p>
            <w:pPr>
              <w:pStyle w:val="Compact"/>
            </w:pPr>
            <w:r>
              <w:t xml:space="preserve">θ2</w:t>
            </w:r>
          </w:p>
        </w:tc>
        <w:tc>
          <w:tcPr/>
          <w:p>
            <w:pPr>
              <w:pStyle w:val="Compact"/>
            </w:pPr>
            <w:r>
              <w:t xml:space="preserve">Contact scale, age 20–29</w:t>
            </w:r>
          </w:p>
        </w:tc>
        <w:tc>
          <w:tcPr/>
          <w:p>
            <w:pPr>
              <w:pStyle w:val="Compact"/>
            </w:pPr>
            <w:r>
              <w:t xml:space="preserve">-2.622</w:t>
            </w:r>
          </w:p>
        </w:tc>
        <w:tc>
          <w:tcPr/>
          <w:p>
            <w:pPr>
              <w:pStyle w:val="Compact"/>
            </w:pPr>
            <w:r>
              <w:t xml:space="preserve">-2.624 (-2.756 to -2.502)</w:t>
            </w:r>
          </w:p>
        </w:tc>
        <w:tc>
          <w:tcPr/>
          <w:p>
            <w:pPr>
              <w:pStyle w:val="Compact"/>
            </w:pPr>
            <w:r>
              <w:t xml:space="preserve">0.065</w:t>
            </w:r>
          </w:p>
        </w:tc>
        <w:tc>
          <w:tcPr/>
          <w:p>
            <w:pPr>
              <w:pStyle w:val="Compact"/>
            </w:pPr>
            <w:r>
              <w:t xml:space="preserve">0.32</w:t>
            </w:r>
          </w:p>
        </w:tc>
      </w:tr>
      <w:tr>
        <w:tc>
          <w:tcPr/>
          <w:p>
            <w:pPr>
              <w:pStyle w:val="Compact"/>
            </w:pPr>
            <w:r>
              <w:t xml:space="preserve">θ3</w:t>
            </w:r>
          </w:p>
        </w:tc>
        <w:tc>
          <w:tcPr/>
          <w:p>
            <w:pPr>
              <w:pStyle w:val="Compact"/>
            </w:pPr>
            <w:r>
              <w:t xml:space="preserve">Contact scale, age 30–39</w:t>
            </w:r>
          </w:p>
        </w:tc>
        <w:tc>
          <w:tcPr/>
          <w:p>
            <w:pPr>
              <w:pStyle w:val="Compact"/>
            </w:pPr>
            <w:r>
              <w:t xml:space="preserve">-3.102</w:t>
            </w:r>
          </w:p>
        </w:tc>
        <w:tc>
          <w:tcPr/>
          <w:p>
            <w:pPr>
              <w:pStyle w:val="Compact"/>
            </w:pPr>
            <w:r>
              <w:t xml:space="preserve">-3.098 (-3.311 to -2.915)</w:t>
            </w:r>
          </w:p>
        </w:tc>
        <w:tc>
          <w:tcPr/>
          <w:p>
            <w:pPr>
              <w:pStyle w:val="Compact"/>
            </w:pPr>
            <w:r>
              <w:t xml:space="preserve">0.102</w:t>
            </w:r>
          </w:p>
        </w:tc>
        <w:tc>
          <w:tcPr/>
          <w:p>
            <w:pPr>
              <w:pStyle w:val="Compact"/>
            </w:pPr>
            <w:r>
              <w:t xml:space="preserve">0.51</w:t>
            </w:r>
          </w:p>
        </w:tc>
      </w:tr>
      <w:tr>
        <w:tc>
          <w:tcPr/>
          <w:p>
            <w:pPr>
              <w:pStyle w:val="Compact"/>
            </w:pPr>
            <w:r>
              <w:t xml:space="preserve">θ4</w:t>
            </w:r>
          </w:p>
        </w:tc>
        <w:tc>
          <w:tcPr/>
          <w:p>
            <w:pPr>
              <w:pStyle w:val="Compact"/>
            </w:pPr>
            <w:r>
              <w:t xml:space="preserve">Contact scale, age 40–49</w:t>
            </w:r>
          </w:p>
        </w:tc>
        <w:tc>
          <w:tcPr/>
          <w:p>
            <w:pPr>
              <w:pStyle w:val="Compact"/>
            </w:pPr>
            <w:r>
              <w:t xml:space="preserve">-0.484</w:t>
            </w:r>
          </w:p>
        </w:tc>
        <w:tc>
          <w:tcPr/>
          <w:p>
            <w:pPr>
              <w:pStyle w:val="Compact"/>
            </w:pPr>
            <w:r>
              <w:t xml:space="preserve">-0.482 (-0.654 to -0.320)</w:t>
            </w:r>
          </w:p>
        </w:tc>
        <w:tc>
          <w:tcPr/>
          <w:p>
            <w:pPr>
              <w:pStyle w:val="Compact"/>
            </w:pPr>
            <w:r>
              <w:t xml:space="preserve">0.085</w:t>
            </w:r>
          </w:p>
        </w:tc>
        <w:tc>
          <w:tcPr/>
          <w:p>
            <w:pPr>
              <w:pStyle w:val="Compact"/>
            </w:pPr>
            <w:r>
              <w:t xml:space="preserve">0.43</w:t>
            </w:r>
          </w:p>
        </w:tc>
      </w:tr>
      <w:tr>
        <w:tc>
          <w:tcPr/>
          <w:p>
            <w:pPr>
              <w:pStyle w:val="Compact"/>
            </w:pPr>
            <w:r>
              <w:t xml:space="preserve">θ5</w:t>
            </w:r>
          </w:p>
        </w:tc>
        <w:tc>
          <w:tcPr/>
          <w:p>
            <w:pPr>
              <w:pStyle w:val="Compact"/>
            </w:pPr>
            <w:r>
              <w:t xml:space="preserve">Contact scale, age 50–59</w:t>
            </w:r>
          </w:p>
        </w:tc>
        <w:tc>
          <w:tcPr/>
          <w:p>
            <w:pPr>
              <w:pStyle w:val="Compact"/>
            </w:pPr>
            <w:r>
              <w:t xml:space="preserve">2.208</w:t>
            </w:r>
          </w:p>
        </w:tc>
        <w:tc>
          <w:tcPr/>
          <w:p>
            <w:pPr>
              <w:pStyle w:val="Compact"/>
            </w:pPr>
            <w:r>
              <w:t xml:space="preserve">2.205 (1.929 to 2.467)</w:t>
            </w:r>
          </w:p>
        </w:tc>
        <w:tc>
          <w:tcPr/>
          <w:p>
            <w:pPr>
              <w:pStyle w:val="Compact"/>
            </w:pPr>
            <w:r>
              <w:t xml:space="preserve">0.139</w:t>
            </w:r>
          </w:p>
        </w:tc>
        <w:tc>
          <w:tcPr/>
          <w:p>
            <w:pPr>
              <w:pStyle w:val="Compact"/>
            </w:pPr>
            <w:r>
              <w:t xml:space="preserve">0.69</w:t>
            </w:r>
          </w:p>
        </w:tc>
      </w:tr>
      <w:tr>
        <w:tc>
          <w:tcPr/>
          <w:p>
            <w:pPr>
              <w:pStyle w:val="Compact"/>
            </w:pPr>
            <w:r>
              <w:t xml:space="preserve">θ6</w:t>
            </w:r>
          </w:p>
        </w:tc>
        <w:tc>
          <w:tcPr/>
          <w:p>
            <w:pPr>
              <w:pStyle w:val="Compact"/>
            </w:pPr>
            <w:r>
              <w:t xml:space="preserve">Contact scale, age 60+</w:t>
            </w:r>
          </w:p>
        </w:tc>
        <w:tc>
          <w:tcPr/>
          <w:p>
            <w:pPr>
              <w:pStyle w:val="Compact"/>
            </w:pPr>
            <w:r>
              <w:t xml:space="preserve">0.591</w:t>
            </w:r>
          </w:p>
        </w:tc>
        <w:tc>
          <w:tcPr/>
          <w:p>
            <w:pPr>
              <w:pStyle w:val="Compact"/>
            </w:pPr>
            <w:r>
              <w:t xml:space="preserve">0.583 (0.203 to 0.965)</w:t>
            </w:r>
          </w:p>
        </w:tc>
        <w:tc>
          <w:tcPr/>
          <w:p>
            <w:pPr>
              <w:pStyle w:val="Compact"/>
            </w:pPr>
            <w:r>
              <w:t xml:space="preserve">0.195</w:t>
            </w:r>
          </w:p>
        </w:tc>
        <w:tc>
          <w:tcPr/>
          <w:p>
            <w:pPr>
              <w:pStyle w:val="Compact"/>
            </w:pPr>
            <w:r>
              <w:t xml:space="preserve">0.98</w:t>
            </w:r>
          </w:p>
        </w:tc>
      </w:tr>
      <w:tr>
        <w:tc>
          <w:tcPr/>
          <w:p>
            <w:pPr>
              <w:pStyle w:val="Compact"/>
            </w:pPr>
            <w:r>
              <w:t xml:space="preserve">θ7</w:t>
            </w:r>
          </w:p>
        </w:tc>
        <w:tc>
          <w:tcPr/>
          <w:p>
            <w:pPr>
              <w:pStyle w:val="Compact"/>
            </w:pPr>
            <w:r>
              <w:t xml:space="preserve">Entry scale, age &lt;20</w:t>
            </w:r>
          </w:p>
        </w:tc>
        <w:tc>
          <w:tcPr/>
          <w:p>
            <w:pPr>
              <w:pStyle w:val="Compact"/>
            </w:pPr>
            <w:r>
              <w:t xml:space="preserve">-1.870</w:t>
            </w:r>
          </w:p>
        </w:tc>
        <w:tc>
          <w:tcPr/>
          <w:p>
            <w:pPr>
              <w:pStyle w:val="Compact"/>
            </w:pPr>
            <w:r>
              <w:t xml:space="preserve">-1.864 (-2.036 to -1.690)</w:t>
            </w:r>
          </w:p>
        </w:tc>
        <w:tc>
          <w:tcPr/>
          <w:p>
            <w:pPr>
              <w:pStyle w:val="Compact"/>
            </w:pPr>
            <w:r>
              <w:t xml:space="preserve">0.088</w:t>
            </w:r>
          </w:p>
        </w:tc>
        <w:tc>
          <w:tcPr/>
          <w:p>
            <w:pPr>
              <w:pStyle w:val="Compact"/>
            </w:pPr>
            <w:r>
              <w:t xml:space="preserve">0.44</w:t>
            </w:r>
          </w:p>
        </w:tc>
      </w:tr>
      <w:tr>
        <w:tc>
          <w:tcPr/>
          <w:p>
            <w:pPr>
              <w:pStyle w:val="Compact"/>
            </w:pPr>
            <w:r>
              <w:t xml:space="preserve">θ8</w:t>
            </w:r>
          </w:p>
        </w:tc>
        <w:tc>
          <w:tcPr/>
          <w:p>
            <w:pPr>
              <w:pStyle w:val="Compact"/>
            </w:pPr>
            <w:r>
              <w:t xml:space="preserve">Entry scale, age 20–29</w:t>
            </w:r>
          </w:p>
        </w:tc>
        <w:tc>
          <w:tcPr/>
          <w:p>
            <w:pPr>
              <w:pStyle w:val="Compact"/>
            </w:pPr>
            <w:r>
              <w:t xml:space="preserve">-0.281</w:t>
            </w:r>
          </w:p>
        </w:tc>
        <w:tc>
          <w:tcPr/>
          <w:p>
            <w:pPr>
              <w:pStyle w:val="Compact"/>
            </w:pPr>
            <w:r>
              <w:t xml:space="preserve">-0.282 (-0.432 to -0.137)</w:t>
            </w:r>
          </w:p>
        </w:tc>
        <w:tc>
          <w:tcPr/>
          <w:p>
            <w:pPr>
              <w:pStyle w:val="Compact"/>
            </w:pPr>
            <w:r>
              <w:t xml:space="preserve">0.075</w:t>
            </w:r>
          </w:p>
        </w:tc>
        <w:tc>
          <w:tcPr/>
          <w:p>
            <w:pPr>
              <w:pStyle w:val="Compact"/>
            </w:pPr>
            <w:r>
              <w:t xml:space="preserve">0.38</w:t>
            </w:r>
          </w:p>
        </w:tc>
      </w:tr>
      <w:tr>
        <w:tc>
          <w:tcPr/>
          <w:p>
            <w:pPr>
              <w:pStyle w:val="Compact"/>
            </w:pPr>
            <w:r>
              <w:t xml:space="preserve">θ9</w:t>
            </w:r>
          </w:p>
        </w:tc>
        <w:tc>
          <w:tcPr/>
          <w:p>
            <w:pPr>
              <w:pStyle w:val="Compact"/>
            </w:pPr>
            <w:r>
              <w:t xml:space="preserve">Entry scale, age 30–39</w:t>
            </w:r>
          </w:p>
        </w:tc>
        <w:tc>
          <w:tcPr/>
          <w:p>
            <w:pPr>
              <w:pStyle w:val="Compact"/>
            </w:pPr>
            <w:r>
              <w:t xml:space="preserve">-1.497</w:t>
            </w:r>
          </w:p>
        </w:tc>
        <w:tc>
          <w:tcPr/>
          <w:p>
            <w:pPr>
              <w:pStyle w:val="Compact"/>
            </w:pPr>
            <w:r>
              <w:t xml:space="preserve">-1.485 (-1.854 to -1.136)</w:t>
            </w:r>
          </w:p>
        </w:tc>
        <w:tc>
          <w:tcPr/>
          <w:p>
            <w:pPr>
              <w:pStyle w:val="Compact"/>
            </w:pPr>
            <w:r>
              <w:t xml:space="preserve">0.184</w:t>
            </w:r>
          </w:p>
        </w:tc>
        <w:tc>
          <w:tcPr/>
          <w:p>
            <w:pPr>
              <w:pStyle w:val="Compact"/>
            </w:pPr>
            <w:r>
              <w:t xml:space="preserve">0.92</w:t>
            </w:r>
          </w:p>
        </w:tc>
      </w:tr>
      <w:tr>
        <w:tc>
          <w:tcPr/>
          <w:p>
            <w:pPr>
              <w:pStyle w:val="Compact"/>
            </w:pPr>
            <w:r>
              <w:t xml:space="preserve">θ10</w:t>
            </w:r>
          </w:p>
        </w:tc>
        <w:tc>
          <w:tcPr/>
          <w:p>
            <w:pPr>
              <w:pStyle w:val="Compact"/>
            </w:pPr>
            <w:r>
              <w:t xml:space="preserve">Entry scale, age 40–49</w:t>
            </w:r>
          </w:p>
        </w:tc>
        <w:tc>
          <w:tcPr/>
          <w:p>
            <w:pPr>
              <w:pStyle w:val="Compact"/>
            </w:pPr>
            <w:r>
              <w:t xml:space="preserve">0.177</w:t>
            </w:r>
          </w:p>
        </w:tc>
        <w:tc>
          <w:tcPr/>
          <w:p>
            <w:pPr>
              <w:pStyle w:val="Compact"/>
            </w:pPr>
            <w:r>
              <w:t xml:space="preserve">0.166 (-0.145 to 0.438)</w:t>
            </w:r>
          </w:p>
        </w:tc>
        <w:tc>
          <w:tcPr/>
          <w:p>
            <w:pPr>
              <w:pStyle w:val="Compact"/>
            </w:pPr>
            <w:r>
              <w:t xml:space="preserve">0.149</w:t>
            </w:r>
          </w:p>
        </w:tc>
        <w:tc>
          <w:tcPr/>
          <w:p>
            <w:pPr>
              <w:pStyle w:val="Compact"/>
            </w:pPr>
            <w:r>
              <w:t xml:space="preserve">0.74</w:t>
            </w:r>
          </w:p>
        </w:tc>
      </w:tr>
      <w:tr>
        <w:tc>
          <w:tcPr/>
          <w:p>
            <w:pPr>
              <w:pStyle w:val="Compact"/>
            </w:pPr>
            <w:r>
              <w:t xml:space="preserve">θ11</w:t>
            </w:r>
          </w:p>
        </w:tc>
        <w:tc>
          <w:tcPr/>
          <w:p>
            <w:pPr>
              <w:pStyle w:val="Compact"/>
            </w:pPr>
            <w:r>
              <w:t xml:space="preserve">Entry scale, age 50–59</w:t>
            </w:r>
          </w:p>
        </w:tc>
        <w:tc>
          <w:tcPr/>
          <w:p>
            <w:pPr>
              <w:pStyle w:val="Compact"/>
            </w:pPr>
            <w:r>
              <w:t xml:space="preserve">1.307</w:t>
            </w:r>
          </w:p>
        </w:tc>
        <w:tc>
          <w:tcPr/>
          <w:p>
            <w:pPr>
              <w:pStyle w:val="Compact"/>
            </w:pPr>
            <w:r>
              <w:t xml:space="preserve">1.317 (1.005 to 1.601)</w:t>
            </w:r>
          </w:p>
        </w:tc>
        <w:tc>
          <w:tcPr/>
          <w:p>
            <w:pPr>
              <w:pStyle w:val="Compact"/>
            </w:pPr>
            <w:r>
              <w:t xml:space="preserve">0.153</w:t>
            </w:r>
          </w:p>
        </w:tc>
        <w:tc>
          <w:tcPr/>
          <w:p>
            <w:pPr>
              <w:pStyle w:val="Compact"/>
            </w:pPr>
            <w:r>
              <w:t xml:space="preserve">0.77</w:t>
            </w:r>
          </w:p>
        </w:tc>
      </w:tr>
      <w:tr>
        <w:tc>
          <w:tcPr/>
          <w:p>
            <w:pPr>
              <w:pStyle w:val="Compact"/>
            </w:pPr>
            <w:r>
              <w:t xml:space="preserve">θ12</w:t>
            </w:r>
          </w:p>
        </w:tc>
        <w:tc>
          <w:tcPr/>
          <w:p>
            <w:pPr>
              <w:pStyle w:val="Compact"/>
            </w:pPr>
            <w:r>
              <w:t xml:space="preserve">Entry scale, age 60+</w:t>
            </w:r>
          </w:p>
        </w:tc>
        <w:tc>
          <w:tcPr/>
          <w:p>
            <w:pPr>
              <w:pStyle w:val="Compact"/>
            </w:pPr>
            <w:r>
              <w:t xml:space="preserve">3.805</w:t>
            </w:r>
          </w:p>
        </w:tc>
        <w:tc>
          <w:tcPr/>
          <w:p>
            <w:pPr>
              <w:pStyle w:val="Compact"/>
            </w:pPr>
            <w:r>
              <w:t xml:space="preserve">3.785 (3.435 to 4.102)</w:t>
            </w:r>
          </w:p>
        </w:tc>
        <w:tc>
          <w:tcPr/>
          <w:p>
            <w:pPr>
              <w:pStyle w:val="Compact"/>
            </w:pPr>
            <w:r>
              <w:t xml:space="preserve">0.170</w:t>
            </w:r>
          </w:p>
        </w:tc>
        <w:tc>
          <w:tcPr/>
          <w:p>
            <w:pPr>
              <w:pStyle w:val="Compact"/>
            </w:pPr>
            <w:r>
              <w:t xml:space="preserve">0.85</w:t>
            </w:r>
          </w:p>
        </w:tc>
      </w:tr>
    </w:tbl>
    <w:p>
      <w:pPr>
        <w:pStyle w:val="BodyText"/>
      </w:pPr>
      <w:r>
        <w:t xml:space="preserve">Table S6 compares the targets with the best deterministic fit and the 95% posterior predictive interval. All 12 predictive intervals overlapped the target intervals. Fig S1 shows the fit.</w:t>
      </w:r>
    </w:p>
    <w:p>
      <w:pPr>
        <w:pStyle w:val="BodyText"/>
      </w:pPr>
      <w:r>
        <w:rPr>
          <w:b/>
          <w:bCs/>
        </w:rPr>
        <w:t xml:space="preserve">Table S6. Calibration targets and model fit, 2015.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group</w:t>
            </w:r>
          </w:p>
        </w:tc>
        <w:tc>
          <w:tcPr/>
          <w:p>
            <w:pPr>
              <w:pStyle w:val="Compact"/>
            </w:pPr>
            <w:r>
              <w:t xml:space="preserve">Seroprevalence target</w:t>
            </w:r>
          </w:p>
        </w:tc>
        <w:tc>
          <w:tcPr/>
          <w:p>
            <w:pPr>
              <w:pStyle w:val="Compact"/>
            </w:pPr>
            <w:r>
              <w:t xml:space="preserve">Best fit</w:t>
            </w:r>
          </w:p>
        </w:tc>
        <w:tc>
          <w:tcPr/>
          <w:p>
            <w:pPr>
              <w:pStyle w:val="Compact"/>
            </w:pPr>
            <w:r>
              <w:t xml:space="preserve">Posterior 95% interval</w:t>
            </w:r>
          </w:p>
        </w:tc>
        <w:tc>
          <w:tcPr/>
          <w:p>
            <w:pPr>
              <w:pStyle w:val="Compact"/>
            </w:pPr>
            <w:r>
              <w:t xml:space="preserve">Population target</w:t>
            </w:r>
          </w:p>
        </w:tc>
        <w:tc>
          <w:tcPr/>
          <w:p>
            <w:pPr>
              <w:pStyle w:val="Compact"/>
            </w:pPr>
            <w:r>
              <w:t xml:space="preserve">Best fit</w:t>
            </w:r>
          </w:p>
        </w:tc>
        <w:tc>
          <w:tcPr/>
          <w:p>
            <w:pPr>
              <w:pStyle w:val="Compact"/>
            </w:pPr>
            <w:r>
              <w:t xml:space="preserve">Posterior 95% interval</w:t>
            </w:r>
          </w:p>
        </w:tc>
      </w:tr>
      <w:tr>
        <w:tc>
          <w:tcPr/>
          <w:p>
            <w:pPr>
              <w:pStyle w:val="Compact"/>
            </w:pPr>
            <w:r>
              <w:t xml:space="preserve">&lt;20</w:t>
            </w:r>
          </w:p>
        </w:tc>
        <w:tc>
          <w:tcPr/>
          <w:p>
            <w:pPr>
              <w:pStyle w:val="Compact"/>
            </w:pPr>
            <w:r>
              <w:t xml:space="preserve">12.7%</w:t>
            </w:r>
          </w:p>
        </w:tc>
        <w:tc>
          <w:tcPr/>
          <w:p>
            <w:pPr>
              <w:pStyle w:val="Compact"/>
            </w:pPr>
            <w:r>
              <w:t xml:space="preserve">13.2%</w:t>
            </w:r>
          </w:p>
        </w:tc>
        <w:tc>
          <w:tcPr/>
          <w:p>
            <w:pPr>
              <w:pStyle w:val="Compact"/>
            </w:pPr>
            <w:r>
              <w:t xml:space="preserve">9.1% to 17.9%</w:t>
            </w:r>
          </w:p>
        </w:tc>
        <w:tc>
          <w:tcPr/>
          <w:p>
            <w:pPr>
              <w:pStyle w:val="Compact"/>
            </w:pPr>
            <w:r>
              <w:t xml:space="preserve">102</w:t>
            </w:r>
          </w:p>
        </w:tc>
        <w:tc>
          <w:tcPr/>
          <w:p>
            <w:pPr>
              <w:pStyle w:val="Compact"/>
            </w:pPr>
            <w:r>
              <w:t xml:space="preserve">101</w:t>
            </w:r>
          </w:p>
        </w:tc>
        <w:tc>
          <w:tcPr/>
          <w:p>
            <w:pPr>
              <w:pStyle w:val="Compact"/>
            </w:pPr>
            <w:r>
              <w:t xml:space="preserve">86 to 122</w:t>
            </w:r>
          </w:p>
        </w:tc>
      </w:tr>
      <w:tr>
        <w:tc>
          <w:tcPr/>
          <w:p>
            <w:pPr>
              <w:pStyle w:val="Compact"/>
            </w:pPr>
            <w:r>
              <w:t xml:space="preserve">20-29</w:t>
            </w:r>
          </w:p>
        </w:tc>
        <w:tc>
          <w:tcPr/>
          <w:p>
            <w:pPr>
              <w:pStyle w:val="Compact"/>
            </w:pPr>
            <w:r>
              <w:t xml:space="preserve">19.2%</w:t>
            </w:r>
          </w:p>
        </w:tc>
        <w:tc>
          <w:tcPr/>
          <w:p>
            <w:pPr>
              <w:pStyle w:val="Compact"/>
            </w:pPr>
            <w:r>
              <w:t xml:space="preserve">19.2%</w:t>
            </w:r>
          </w:p>
        </w:tc>
        <w:tc>
          <w:tcPr/>
          <w:p>
            <w:pPr>
              <w:pStyle w:val="Compact"/>
            </w:pPr>
            <w:r>
              <w:t xml:space="preserve">17.1% to 21.4%</w:t>
            </w:r>
          </w:p>
        </w:tc>
        <w:tc>
          <w:tcPr/>
          <w:p>
            <w:pPr>
              <w:pStyle w:val="Compact"/>
            </w:pPr>
            <w:r>
              <w:t xml:space="preserve">1001</w:t>
            </w:r>
          </w:p>
        </w:tc>
        <w:tc>
          <w:tcPr/>
          <w:p>
            <w:pPr>
              <w:pStyle w:val="Compact"/>
            </w:pPr>
            <w:r>
              <w:t xml:space="preserve">1015</w:t>
            </w:r>
          </w:p>
        </w:tc>
        <w:tc>
          <w:tcPr/>
          <w:p>
            <w:pPr>
              <w:pStyle w:val="Compact"/>
            </w:pPr>
            <w:r>
              <w:t xml:space="preserve">880 to 1166</w:t>
            </w:r>
          </w:p>
        </w:tc>
      </w:tr>
      <w:tr>
        <w:tc>
          <w:tcPr/>
          <w:p>
            <w:pPr>
              <w:pStyle w:val="Compact"/>
            </w:pPr>
            <w:r>
              <w:t xml:space="preserve">30-39</w:t>
            </w:r>
          </w:p>
        </w:tc>
        <w:tc>
          <w:tcPr/>
          <w:p>
            <w:pPr>
              <w:pStyle w:val="Compact"/>
            </w:pPr>
            <w:r>
              <w:t xml:space="preserve">30.0%</w:t>
            </w:r>
          </w:p>
        </w:tc>
        <w:tc>
          <w:tcPr/>
          <w:p>
            <w:pPr>
              <w:pStyle w:val="Compact"/>
            </w:pPr>
            <w:r>
              <w:t xml:space="preserve">30.0%</w:t>
            </w:r>
          </w:p>
        </w:tc>
        <w:tc>
          <w:tcPr/>
          <w:p>
            <w:pPr>
              <w:pStyle w:val="Compact"/>
            </w:pPr>
            <w:r>
              <w:t xml:space="preserve">27.2% to 32.7%</w:t>
            </w:r>
          </w:p>
        </w:tc>
        <w:tc>
          <w:tcPr/>
          <w:p>
            <w:pPr>
              <w:pStyle w:val="Compact"/>
            </w:pPr>
            <w:r>
              <w:t xml:space="preserve">806</w:t>
            </w:r>
          </w:p>
        </w:tc>
        <w:tc>
          <w:tcPr/>
          <w:p>
            <w:pPr>
              <w:pStyle w:val="Compact"/>
            </w:pPr>
            <w:r>
              <w:t xml:space="preserve">793</w:t>
            </w:r>
          </w:p>
        </w:tc>
        <w:tc>
          <w:tcPr/>
          <w:p>
            <w:pPr>
              <w:pStyle w:val="Compact"/>
            </w:pPr>
            <w:r>
              <w:t xml:space="preserve">711 to 891</w:t>
            </w:r>
          </w:p>
        </w:tc>
      </w:tr>
      <w:tr>
        <w:tc>
          <w:tcPr/>
          <w:p>
            <w:pPr>
              <w:pStyle w:val="Compact"/>
            </w:pPr>
            <w:r>
              <w:t xml:space="preserve">40-49</w:t>
            </w:r>
          </w:p>
        </w:tc>
        <w:tc>
          <w:tcPr/>
          <w:p>
            <w:pPr>
              <w:pStyle w:val="Compact"/>
            </w:pPr>
            <w:r>
              <w:t xml:space="preserve">48.3%</w:t>
            </w:r>
          </w:p>
        </w:tc>
        <w:tc>
          <w:tcPr/>
          <w:p>
            <w:pPr>
              <w:pStyle w:val="Compact"/>
            </w:pPr>
            <w:r>
              <w:t xml:space="preserve">48.3%</w:t>
            </w:r>
          </w:p>
        </w:tc>
        <w:tc>
          <w:tcPr/>
          <w:p>
            <w:pPr>
              <w:pStyle w:val="Compact"/>
            </w:pPr>
            <w:r>
              <w:t xml:space="preserve">45.2% to 51.6%</w:t>
            </w:r>
          </w:p>
        </w:tc>
        <w:tc>
          <w:tcPr/>
          <w:p>
            <w:pPr>
              <w:pStyle w:val="Compact"/>
            </w:pPr>
            <w:r>
              <w:t xml:space="preserve">754</w:t>
            </w:r>
          </w:p>
        </w:tc>
        <w:tc>
          <w:tcPr/>
          <w:p>
            <w:pPr>
              <w:pStyle w:val="Compact"/>
            </w:pPr>
            <w:r>
              <w:t xml:space="preserve">765</w:t>
            </w:r>
          </w:p>
        </w:tc>
        <w:tc>
          <w:tcPr/>
          <w:p>
            <w:pPr>
              <w:pStyle w:val="Compact"/>
            </w:pPr>
            <w:r>
              <w:t xml:space="preserve">685 to 863</w:t>
            </w:r>
          </w:p>
        </w:tc>
      </w:tr>
      <w:tr>
        <w:tc>
          <w:tcPr/>
          <w:p>
            <w:pPr>
              <w:pStyle w:val="Compact"/>
            </w:pPr>
            <w:r>
              <w:t xml:space="preserve">50-59</w:t>
            </w:r>
          </w:p>
        </w:tc>
        <w:tc>
          <w:tcPr/>
          <w:p>
            <w:pPr>
              <w:pStyle w:val="Compact"/>
            </w:pPr>
            <w:r>
              <w:t xml:space="preserve">53.1%</w:t>
            </w:r>
          </w:p>
        </w:tc>
        <w:tc>
          <w:tcPr/>
          <w:p>
            <w:pPr>
              <w:pStyle w:val="Compact"/>
            </w:pPr>
            <w:r>
              <w:t xml:space="preserve">52.9%</w:t>
            </w:r>
          </w:p>
        </w:tc>
        <w:tc>
          <w:tcPr/>
          <w:p>
            <w:pPr>
              <w:pStyle w:val="Compact"/>
            </w:pPr>
            <w:r>
              <w:t xml:space="preserve">49.5% to 56.0%</w:t>
            </w:r>
          </w:p>
        </w:tc>
        <w:tc>
          <w:tcPr/>
          <w:p>
            <w:pPr>
              <w:pStyle w:val="Compact"/>
            </w:pPr>
            <w:r>
              <w:t xml:space="preserve">557</w:t>
            </w:r>
          </w:p>
        </w:tc>
        <w:tc>
          <w:tcPr/>
          <w:p>
            <w:pPr>
              <w:pStyle w:val="Compact"/>
            </w:pPr>
            <w:r>
              <w:t xml:space="preserve">528</w:t>
            </w:r>
          </w:p>
        </w:tc>
        <w:tc>
          <w:tcPr/>
          <w:p>
            <w:pPr>
              <w:pStyle w:val="Compact"/>
            </w:pPr>
            <w:r>
              <w:t xml:space="preserve">476 to 595</w:t>
            </w:r>
          </w:p>
        </w:tc>
      </w:tr>
      <w:tr>
        <w:tc>
          <w:tcPr/>
          <w:p>
            <w:pPr>
              <w:pStyle w:val="Compact"/>
            </w:pPr>
            <w:r>
              <w:t xml:space="preserve">60+</w:t>
            </w:r>
          </w:p>
        </w:tc>
        <w:tc>
          <w:tcPr/>
          <w:p>
            <w:pPr>
              <w:pStyle w:val="Compact"/>
            </w:pPr>
            <w:r>
              <w:t xml:space="preserve">42.9%</w:t>
            </w:r>
          </w:p>
        </w:tc>
        <w:tc>
          <w:tcPr/>
          <w:p>
            <w:pPr>
              <w:pStyle w:val="Compact"/>
            </w:pPr>
            <w:r>
              <w:t xml:space="preserve">43.8%</w:t>
            </w:r>
          </w:p>
        </w:tc>
        <w:tc>
          <w:tcPr/>
          <w:p>
            <w:pPr>
              <w:pStyle w:val="Compact"/>
            </w:pPr>
            <w:r>
              <w:t xml:space="preserve">40.2% to 47.9%</w:t>
            </w:r>
          </w:p>
        </w:tc>
        <w:tc>
          <w:tcPr/>
          <w:p>
            <w:pPr>
              <w:pStyle w:val="Compact"/>
            </w:pPr>
            <w:r>
              <w:t xml:space="preserve">147</w:t>
            </w:r>
          </w:p>
        </w:tc>
        <w:tc>
          <w:tcPr/>
          <w:p>
            <w:pPr>
              <w:pStyle w:val="Compact"/>
            </w:pPr>
            <w:r>
              <w:t xml:space="preserve">152</w:t>
            </w:r>
          </w:p>
        </w:tc>
        <w:tc>
          <w:tcPr/>
          <w:p>
            <w:pPr>
              <w:pStyle w:val="Compact"/>
            </w:pPr>
            <w:r>
              <w:t xml:space="preserve">137 to 171</w:t>
            </w:r>
          </w:p>
        </w:tc>
      </w:tr>
    </w:tbl>
    <w:p>
      <w:pPr>
        <w:pStyle w:val="CaptionedFigure"/>
      </w:pPr>
      <w:r>
        <w:drawing>
          <wp:inline>
            <wp:extent cx="5334000" cy="2844800"/>
            <wp:effectExtent b="0" l="0" r="0" t="0"/>
            <wp:docPr descr="Fig S1. Calibration of age specific seroprevalence and prison population in 2015. Target intervals are compared with 95% posterior predictive intervals from the MCMC posterior and, for contrast, single round neural posterior estimation." title="" id="21" name="Picture"/>
            <a:graphic>
              <a:graphicData uri="http://schemas.openxmlformats.org/drawingml/2006/picture">
                <pic:pic>
                  <pic:nvPicPr>
                    <pic:cNvPr descr="/Users/yichenhe/Documents/Work/HepC-Transimission-Modelling/figures/calibration_agepop.png" id="22" name="Picture"/>
                    <pic:cNvPicPr>
                      <a:picLocks noChangeArrowheads="1" noChangeAspect="1"/>
                    </pic:cNvPicPr>
                  </pic:nvPicPr>
                  <pic:blipFill>
                    <a:blip r:embed="rId2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Fig S1. Calibration of age specific seroprevalence and prison population in 2015. Target intervals are compared with 95% posterior predictive intervals from the MCMC posterior and, for contrast, single round neural posterior estimation.</w:t>
      </w:r>
    </w:p>
    <w:p>
      <w:pPr>
        <w:pStyle w:val="BodyText"/>
      </w:pPr>
      <w:r>
        <w:t xml:space="preserve">In 2015 the model estimated 1,401 (95% interval: 1,290–1,521) people in D, 3,365 (3,085–3,661) in J, 1,532 (1,393–1,681) in F and 14,917 (13,428–16,590) in X. The total was 21,224 (19,226–23,437) people with a history of injecting drugs. Of these, 4,280 (3,873–4,733) were viraemic.</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S7.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S8). In F and X, each person screened had one antibody test. Each expected antibody positive person had one RNA test. Each treatment start had one consultation and one full drug course. In J, each antibody positive person entering prison had one antibody test. Each treatment start in J had one RNA test,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[22]</w:t>
      </w:r>
      <w:r>
        <w:t xml:space="preserve">. This is USD 30,924 per course. We converted it at the 2025 average rate of 1.3066 Singapore dollars per US dollar</w:t>
      </w:r>
      <w:r>
        <w:t xml:space="preserve"> </w:t>
      </w:r>
      <w:r>
        <w:t xml:space="preserve">[23]</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S8.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[22]</w:t>
      </w:r>
      <w:r>
        <w:t xml:space="preserve">, antibody test and consultation</w:t>
      </w:r>
      <w:r>
        <w:t xml:space="preserve"> </w:t>
      </w:r>
      <w:r>
        <w:t xml:space="preserve">[24]</w:t>
      </w:r>
      <w:r>
        <w:t xml:space="preserve">, RNA test</w:t>
      </w:r>
      <w:r>
        <w:t xml:space="preserve"> </w:t>
      </w:r>
      <w:r>
        <w:t xml:space="preserve">[25]</w:t>
      </w:r>
      <w:r>
        <w:t xml:space="preserve">.</w:t>
      </w:r>
    </w:p>
    <w:bookmarkEnd w:id="28"/>
    <w:bookmarkEnd w:id="29"/>
    <w:bookmarkStart w:id="51"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S9.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75.6% (95% UI: 68.5%–80.4%)</w:t>
            </w:r>
          </w:p>
        </w:tc>
        <w:tc>
          <w:tcPr/>
          <w:p>
            <w:pPr>
              <w:pStyle w:val="Compact"/>
            </w:pPr>
            <w:r>
              <w:t xml:space="preserve">42.6% (95% UI: 41.6%–43.7%)</w:t>
            </w:r>
          </w:p>
        </w:tc>
        <w:tc>
          <w:tcPr/>
          <w:p>
            <w:pPr>
              <w:pStyle w:val="Compact"/>
            </w:pPr>
            <w:r>
              <w:t xml:space="preserve">0%</w:t>
            </w:r>
          </w:p>
        </w:tc>
        <w:tc>
          <w:tcPr/>
          <w:p>
            <w:pPr>
              <w:pStyle w:val="Compact"/>
            </w:pPr>
            <w:r>
              <w:t xml:space="preserve">76.2% (95% UI: 69.4%–80.9%)</w:t>
            </w:r>
          </w:p>
        </w:tc>
        <w:tc>
          <w:tcPr/>
          <w:p>
            <w:pPr>
              <w:pStyle w:val="Compact"/>
            </w:pPr>
            <w:r>
              <w:t xml:space="preserve">36.5% (95% UI: 35.7%–37.4%)</w:t>
            </w:r>
          </w:p>
        </w:tc>
      </w:tr>
      <w:tr>
        <w:tc>
          <w:tcPr/>
          <w:p>
            <w:pPr>
              <w:pStyle w:val="Compact"/>
            </w:pPr>
            <w:r>
              <w:t xml:space="preserve">J + 600/year, F 25%</w:t>
            </w:r>
          </w:p>
        </w:tc>
        <w:tc>
          <w:tcPr/>
          <w:p>
            <w:pPr>
              <w:pStyle w:val="Compact"/>
            </w:pPr>
            <w:r>
              <w:t xml:space="preserve">79.8% (95% UI: 73.6%–83.9%)</w:t>
            </w:r>
          </w:p>
        </w:tc>
        <w:tc>
          <w:tcPr/>
          <w:p>
            <w:pPr>
              <w:pStyle w:val="Compact"/>
            </w:pPr>
            <w:r>
              <w:t xml:space="preserve">46.5% (95% UI: 45.3%–47.7%)</w:t>
            </w:r>
          </w:p>
        </w:tc>
        <w:tc>
          <w:tcPr/>
          <w:p>
            <w:pPr>
              <w:pStyle w:val="Compact"/>
            </w:pPr>
            <w:r>
              <w:t xml:space="preserve">0%</w:t>
            </w:r>
          </w:p>
        </w:tc>
        <w:tc>
          <w:tcPr/>
          <w:p>
            <w:pPr>
              <w:pStyle w:val="Compact"/>
            </w:pPr>
            <w:r>
              <w:t xml:space="preserve">80.2% (95% UI: 74.1%–84.3%)</w:t>
            </w:r>
          </w:p>
        </w:tc>
        <w:tc>
          <w:tcPr/>
          <w:p>
            <w:pPr>
              <w:pStyle w:val="Compact"/>
            </w:pPr>
            <w:r>
              <w:t xml:space="preserve">40.9% (95% UI: 39.9%–42.0%)</w:t>
            </w:r>
          </w:p>
        </w:tc>
      </w:tr>
      <w:tr>
        <w:tc>
          <w:tcPr/>
          <w:p>
            <w:pPr>
              <w:pStyle w:val="Compact"/>
            </w:pPr>
            <w:r>
              <w:t xml:space="preserve">J + 1,000/year, F 25%</w:t>
            </w:r>
          </w:p>
        </w:tc>
        <w:tc>
          <w:tcPr/>
          <w:p>
            <w:pPr>
              <w:pStyle w:val="Compact"/>
            </w:pPr>
            <w:r>
              <w:t xml:space="preserve">82.1% (95% UI: 76.5%–85.9%)</w:t>
            </w:r>
          </w:p>
        </w:tc>
        <w:tc>
          <w:tcPr/>
          <w:p>
            <w:pPr>
              <w:pStyle w:val="Compact"/>
            </w:pPr>
            <w:r>
              <w:t xml:space="preserve">48.9% (95% UI: 47.6%–50.1%)</w:t>
            </w:r>
          </w:p>
        </w:tc>
        <w:tc>
          <w:tcPr/>
          <w:p>
            <w:pPr>
              <w:pStyle w:val="Compact"/>
            </w:pPr>
            <w:r>
              <w:t xml:space="preserve">0%</w:t>
            </w:r>
          </w:p>
        </w:tc>
        <w:tc>
          <w:tcPr/>
          <w:p>
            <w:pPr>
              <w:pStyle w:val="Compact"/>
            </w:pPr>
            <w:r>
              <w:t xml:space="preserve">82.5% (95% UI: 76.9%–86.3%)</w:t>
            </w:r>
          </w:p>
        </w:tc>
        <w:tc>
          <w:tcPr/>
          <w:p>
            <w:pPr>
              <w:pStyle w:val="Compact"/>
            </w:pPr>
            <w:r>
              <w:t xml:space="preserve">43.6% (95% UI: 42.4%–44.8%)</w:t>
            </w:r>
          </w:p>
        </w:tc>
      </w:tr>
      <w:tr>
        <w:tc>
          <w:tcPr/>
          <w:p>
            <w:pPr>
              <w:pStyle w:val="Compact"/>
            </w:pPr>
            <w:r>
              <w:t xml:space="preserve">J + 2,000/year, F 25%</w:t>
            </w:r>
          </w:p>
        </w:tc>
        <w:tc>
          <w:tcPr/>
          <w:p>
            <w:pPr>
              <w:pStyle w:val="Compact"/>
            </w:pPr>
            <w:r>
              <w:t xml:space="preserve">86.6% (95% UI: 82.1%–89.7%)</w:t>
            </w:r>
          </w:p>
        </w:tc>
        <w:tc>
          <w:tcPr/>
          <w:p>
            <w:pPr>
              <w:pStyle w:val="Compact"/>
            </w:pPr>
            <w:r>
              <w:t xml:space="preserve">54.1% (95% UI: 52.6%–55.5%)</w:t>
            </w:r>
          </w:p>
        </w:tc>
        <w:tc>
          <w:tcPr/>
          <w:p>
            <w:pPr>
              <w:pStyle w:val="Compact"/>
            </w:pPr>
            <w:r>
              <w:t xml:space="preserve">0%</w:t>
            </w:r>
          </w:p>
        </w:tc>
        <w:tc>
          <w:tcPr/>
          <w:p>
            <w:pPr>
              <w:pStyle w:val="Compact"/>
            </w:pPr>
            <w:r>
              <w:t xml:space="preserve">86.9% (95% UI: 82.4%–89.9%)</w:t>
            </w:r>
          </w:p>
        </w:tc>
        <w:tc>
          <w:tcPr/>
          <w:p>
            <w:pPr>
              <w:pStyle w:val="Compact"/>
            </w:pPr>
            <w:r>
              <w:t xml:space="preserve">49.5% (95% UI: 48.0%–50.9%)</w:t>
            </w:r>
          </w:p>
        </w:tc>
      </w:tr>
      <w:tr>
        <w:tc>
          <w:tcPr/>
          <w:p>
            <w:pPr>
              <w:pStyle w:val="Compact"/>
            </w:pPr>
            <w:r>
              <w:t xml:space="preserve">J + 5,000/year, F 25%</w:t>
            </w:r>
          </w:p>
        </w:tc>
        <w:tc>
          <w:tcPr/>
          <w:p>
            <w:pPr>
              <w:pStyle w:val="Compact"/>
            </w:pPr>
            <w:r>
              <w:t xml:space="preserve">93.0% (95% UI: 90.4%–94.7%)</w:t>
            </w:r>
          </w:p>
        </w:tc>
        <w:tc>
          <w:tcPr/>
          <w:p>
            <w:pPr>
              <w:pStyle w:val="Compact"/>
            </w:pPr>
            <w:r>
              <w:t xml:space="preserve">64.9% (95% UI: 63.2%–66.5%)</w:t>
            </w:r>
          </w:p>
        </w:tc>
        <w:tc>
          <w:tcPr/>
          <w:p>
            <w:pPr>
              <w:pStyle w:val="Compact"/>
            </w:pPr>
            <w:r>
              <w:t xml:space="preserve">45%</w:t>
            </w:r>
          </w:p>
        </w:tc>
        <w:tc>
          <w:tcPr/>
          <w:p>
            <w:pPr>
              <w:pStyle w:val="Compact"/>
            </w:pPr>
            <w:r>
              <w:t xml:space="preserve">93.1% (95% UI: 90.5%–94.8%)</w:t>
            </w:r>
          </w:p>
        </w:tc>
        <w:tc>
          <w:tcPr/>
          <w:p>
            <w:pPr>
              <w:pStyle w:val="Compact"/>
            </w:pPr>
            <w:r>
              <w:t xml:space="preserve">61.7% (95% UI: 59.8%–63.3%)</w:t>
            </w:r>
          </w:p>
        </w:tc>
      </w:tr>
      <w:tr>
        <w:tc>
          <w:tcPr/>
          <w:p>
            <w:pPr>
              <w:pStyle w:val="Compact"/>
            </w:pPr>
            <w:r>
              <w:t xml:space="preserve">J + 8,000/year, F 25%</w:t>
            </w:r>
          </w:p>
        </w:tc>
        <w:tc>
          <w:tcPr/>
          <w:p>
            <w:pPr>
              <w:pStyle w:val="Compact"/>
            </w:pPr>
            <w:r>
              <w:t xml:space="preserve">94.0% (95% UI: 91.9%–95.4%)</w:t>
            </w:r>
          </w:p>
        </w:tc>
        <w:tc>
          <w:tcPr/>
          <w:p>
            <w:pPr>
              <w:pStyle w:val="Compact"/>
            </w:pPr>
            <w:r>
              <w:t xml:space="preserve">70.6% (95% UI: 69.2%–71.8%)</w:t>
            </w:r>
          </w:p>
        </w:tc>
        <w:tc>
          <w:tcPr/>
          <w:p>
            <w:pPr>
              <w:pStyle w:val="Compact"/>
            </w:pPr>
            <w:r>
              <w:t xml:space="preserve">100%</w:t>
            </w:r>
          </w:p>
        </w:tc>
        <w:tc>
          <w:tcPr/>
          <w:p>
            <w:pPr>
              <w:pStyle w:val="Compact"/>
            </w:pPr>
            <w:r>
              <w:t xml:space="preserve">94.1% (95% UI: 91.9%–95.5%)</w:t>
            </w:r>
          </w:p>
        </w:tc>
        <w:tc>
          <w:tcPr/>
          <w:p>
            <w:pPr>
              <w:pStyle w:val="Compact"/>
            </w:pPr>
            <w:r>
              <w:t xml:space="preserve">68.1% (95% UI: 66.5%–69.4%)</w:t>
            </w:r>
          </w:p>
        </w:tc>
      </w:tr>
      <w:tr>
        <w:tc>
          <w:tcPr/>
          <w:p>
            <w:pPr>
              <w:pStyle w:val="Compact"/>
            </w:pPr>
            <w:r>
              <w:t xml:space="preserve">J + 600/year, F 50%</w:t>
            </w:r>
          </w:p>
        </w:tc>
        <w:tc>
          <w:tcPr/>
          <w:p>
            <w:pPr>
              <w:pStyle w:val="Compact"/>
            </w:pPr>
            <w:r>
              <w:t xml:space="preserve">83.2% (95% UI: 77.8%–86.8%)</w:t>
            </w:r>
          </w:p>
        </w:tc>
        <w:tc>
          <w:tcPr/>
          <w:p>
            <w:pPr>
              <w:pStyle w:val="Compact"/>
            </w:pPr>
            <w:r>
              <w:t xml:space="preserve">45.4% (95% UI: 44.2%–46.5%)</w:t>
            </w:r>
          </w:p>
        </w:tc>
        <w:tc>
          <w:tcPr/>
          <w:p>
            <w:pPr>
              <w:pStyle w:val="Compact"/>
            </w:pPr>
            <w:r>
              <w:t xml:space="preserve">0%</w:t>
            </w:r>
          </w:p>
        </w:tc>
        <w:tc>
          <w:tcPr/>
          <w:p>
            <w:pPr>
              <w:pStyle w:val="Compact"/>
            </w:pPr>
            <w:r>
              <w:t xml:space="preserve">83.5% (95% UI: 78.1%–87.1%)</w:t>
            </w:r>
          </w:p>
        </w:tc>
        <w:tc>
          <w:tcPr/>
          <w:p>
            <w:pPr>
              <w:pStyle w:val="Compact"/>
            </w:pPr>
            <w:r>
              <w:t xml:space="preserve">39.6% (95% UI: 38.6%–40.6%)</w:t>
            </w:r>
          </w:p>
        </w:tc>
      </w:tr>
      <w:tr>
        <w:tc>
          <w:tcPr/>
          <w:p>
            <w:pPr>
              <w:pStyle w:val="Compact"/>
            </w:pPr>
            <w:r>
              <w:t xml:space="preserve">J + 1,000/year, F 50%</w:t>
            </w:r>
          </w:p>
        </w:tc>
        <w:tc>
          <w:tcPr/>
          <w:p>
            <w:pPr>
              <w:pStyle w:val="Compact"/>
            </w:pPr>
            <w:r>
              <w:t xml:space="preserve">86.6% (95% UI: 82.1%–89.7%)</w:t>
            </w:r>
          </w:p>
        </w:tc>
        <w:tc>
          <w:tcPr/>
          <w:p>
            <w:pPr>
              <w:pStyle w:val="Compact"/>
            </w:pPr>
            <w:r>
              <w:t xml:space="preserve">47.1% (95% UI: 45.9%–48.3%)</w:t>
            </w:r>
          </w:p>
        </w:tc>
        <w:tc>
          <w:tcPr/>
          <w:p>
            <w:pPr>
              <w:pStyle w:val="Compact"/>
            </w:pPr>
            <w:r>
              <w:t xml:space="preserve">0%</w:t>
            </w:r>
          </w:p>
        </w:tc>
        <w:tc>
          <w:tcPr/>
          <w:p>
            <w:pPr>
              <w:pStyle w:val="Compact"/>
            </w:pPr>
            <w:r>
              <w:t xml:space="preserve">86.9% (95% UI: 82.4%–89.9%)</w:t>
            </w:r>
          </w:p>
        </w:tc>
        <w:tc>
          <w:tcPr/>
          <w:p>
            <w:pPr>
              <w:pStyle w:val="Compact"/>
            </w:pPr>
            <w:r>
              <w:t xml:space="preserve">41.5% (95% UI: 40.4%–42.6%)</w:t>
            </w:r>
          </w:p>
        </w:tc>
      </w:tr>
      <w:tr>
        <w:tc>
          <w:tcPr/>
          <w:p>
            <w:pPr>
              <w:pStyle w:val="Compact"/>
            </w:pPr>
            <w:r>
              <w:t xml:space="preserve">J + 2,000/year, F 50%</w:t>
            </w:r>
          </w:p>
        </w:tc>
        <w:tc>
          <w:tcPr/>
          <w:p>
            <w:pPr>
              <w:pStyle w:val="Compact"/>
            </w:pPr>
            <w:r>
              <w:t xml:space="preserve">91.7% (95% UI: 88.7%–93.7%)</w:t>
            </w:r>
          </w:p>
        </w:tc>
        <w:tc>
          <w:tcPr/>
          <w:p>
            <w:pPr>
              <w:pStyle w:val="Compact"/>
            </w:pPr>
            <w:r>
              <w:t xml:space="preserve">50.9% (95% UI: 49.5%–52.2%)</w:t>
            </w:r>
          </w:p>
        </w:tc>
        <w:tc>
          <w:tcPr/>
          <w:p>
            <w:pPr>
              <w:pStyle w:val="Compact"/>
            </w:pPr>
            <w:r>
              <w:t xml:space="preserve">0%</w:t>
            </w:r>
          </w:p>
        </w:tc>
        <w:tc>
          <w:tcPr/>
          <w:p>
            <w:pPr>
              <w:pStyle w:val="Compact"/>
            </w:pPr>
            <w:r>
              <w:t xml:space="preserve">91.8% (95% UI: 88.9%–93.8%)</w:t>
            </w:r>
          </w:p>
        </w:tc>
        <w:tc>
          <w:tcPr/>
          <w:p>
            <w:pPr>
              <w:pStyle w:val="Compact"/>
            </w:pPr>
            <w:r>
              <w:t xml:space="preserve">45.8% (95% UI: 44.5%–47.1%)</w:t>
            </w:r>
          </w:p>
        </w:tc>
      </w:tr>
      <w:tr>
        <w:tc>
          <w:tcPr/>
          <w:p>
            <w:pPr>
              <w:pStyle w:val="Compact"/>
            </w:pPr>
            <w:r>
              <w:t xml:space="preserve">J + 5,000/year, F 50%</w:t>
            </w:r>
          </w:p>
        </w:tc>
        <w:tc>
          <w:tcPr/>
          <w:p>
            <w:pPr>
              <w:pStyle w:val="Compact"/>
            </w:pPr>
            <w:r>
              <w:t xml:space="preserve">94.0% (95% UI: 91.9%–95.4%)</w:t>
            </w:r>
          </w:p>
        </w:tc>
        <w:tc>
          <w:tcPr/>
          <w:p>
            <w:pPr>
              <w:pStyle w:val="Compact"/>
            </w:pPr>
            <w:r>
              <w:t xml:space="preserve">59.8% (95% UI: 58.1%–61.4%)</w:t>
            </w:r>
          </w:p>
        </w:tc>
        <w:tc>
          <w:tcPr/>
          <w:p>
            <w:pPr>
              <w:pStyle w:val="Compact"/>
            </w:pPr>
            <w:r>
              <w:t xml:space="preserve">0%</w:t>
            </w:r>
          </w:p>
        </w:tc>
        <w:tc>
          <w:tcPr/>
          <w:p>
            <w:pPr>
              <w:pStyle w:val="Compact"/>
            </w:pPr>
            <w:r>
              <w:t xml:space="preserve">94.1% (95% UI: 91.9%–95.5%)</w:t>
            </w:r>
          </w:p>
        </w:tc>
        <w:tc>
          <w:tcPr/>
          <w:p>
            <w:pPr>
              <w:pStyle w:val="Compact"/>
            </w:pPr>
            <w:r>
              <w:t xml:space="preserve">55.8% (95% UI: 54.0%–57.5%)</w:t>
            </w:r>
          </w:p>
        </w:tc>
      </w:tr>
      <w:tr>
        <w:tc>
          <w:tcPr/>
          <w:p>
            <w:pPr>
              <w:pStyle w:val="Compact"/>
            </w:pPr>
            <w:r>
              <w:t xml:space="preserve">J + 8,000/year, F 50%</w:t>
            </w:r>
          </w:p>
        </w:tc>
        <w:tc>
          <w:tcPr/>
          <w:p>
            <w:pPr>
              <w:pStyle w:val="Compact"/>
            </w:pPr>
            <w:r>
              <w:t xml:space="preserve">94.0% (95% UI: 91.9%–95.4%)</w:t>
            </w:r>
          </w:p>
        </w:tc>
        <w:tc>
          <w:tcPr/>
          <w:p>
            <w:pPr>
              <w:pStyle w:val="Compact"/>
            </w:pPr>
            <w:r>
              <w:t xml:space="preserve">65.8% (95% UI: 64.0%–67.3%)</w:t>
            </w:r>
          </w:p>
        </w:tc>
        <w:tc>
          <w:tcPr/>
          <w:p>
            <w:pPr>
              <w:pStyle w:val="Compact"/>
            </w:pPr>
            <w:r>
              <w:t xml:space="preserve">82%</w:t>
            </w:r>
          </w:p>
        </w:tc>
        <w:tc>
          <w:tcPr/>
          <w:p>
            <w:pPr>
              <w:pStyle w:val="Compact"/>
            </w:pPr>
            <w:r>
              <w:t xml:space="preserve">94.1% (95% UI: 91.9%–95.5%)</w:t>
            </w:r>
          </w:p>
        </w:tc>
        <w:tc>
          <w:tcPr/>
          <w:p>
            <w:pPr>
              <w:pStyle w:val="Compact"/>
            </w:pPr>
            <w:r>
              <w:t xml:space="preserve">62.6% (95% UI: 60.7%–64.3%)</w:t>
            </w:r>
          </w:p>
        </w:tc>
      </w:tr>
      <w:tr>
        <w:tc>
          <w:tcPr/>
          <w:p>
            <w:pPr>
              <w:pStyle w:val="Compact"/>
            </w:pPr>
            <w:r>
              <w:t xml:space="preserve">J + 600/year, F 75%</w:t>
            </w:r>
          </w:p>
        </w:tc>
        <w:tc>
          <w:tcPr/>
          <w:p>
            <w:pPr>
              <w:pStyle w:val="Compact"/>
            </w:pPr>
            <w:r>
              <w:t xml:space="preserve">85.9% (95% UI: 81.1%–89.1%)</w:t>
            </w:r>
          </w:p>
        </w:tc>
        <w:tc>
          <w:tcPr/>
          <w:p>
            <w:pPr>
              <w:pStyle w:val="Compact"/>
            </w:pPr>
            <w:r>
              <w:t xml:space="preserve">44.1% (95% UI: 43.0%–45.3%)</w:t>
            </w:r>
          </w:p>
        </w:tc>
        <w:tc>
          <w:tcPr/>
          <w:p>
            <w:pPr>
              <w:pStyle w:val="Compact"/>
            </w:pPr>
            <w:r>
              <w:t xml:space="preserve">0%</w:t>
            </w:r>
          </w:p>
        </w:tc>
        <w:tc>
          <w:tcPr/>
          <w:p>
            <w:pPr>
              <w:pStyle w:val="Compact"/>
            </w:pPr>
            <w:r>
              <w:t xml:space="preserve">86.1% (95% UI: 81.5%–89.3%)</w:t>
            </w:r>
          </w:p>
        </w:tc>
        <w:tc>
          <w:tcPr/>
          <w:p>
            <w:pPr>
              <w:pStyle w:val="Compact"/>
            </w:pPr>
            <w:r>
              <w:t xml:space="preserve">38.2% (95% UI: 37.2%–39.2%)</w:t>
            </w:r>
          </w:p>
        </w:tc>
      </w:tr>
      <w:tr>
        <w:tc>
          <w:tcPr/>
          <w:p>
            <w:pPr>
              <w:pStyle w:val="Compact"/>
            </w:pPr>
            <w:r>
              <w:t xml:space="preserve">J + 1,000/year, F 75%</w:t>
            </w:r>
          </w:p>
        </w:tc>
        <w:tc>
          <w:tcPr/>
          <w:p>
            <w:pPr>
              <w:pStyle w:val="Compact"/>
            </w:pPr>
            <w:r>
              <w:t xml:space="preserve">89.7% (95% UI: 86.1%–92.1%)</w:t>
            </w:r>
          </w:p>
        </w:tc>
        <w:tc>
          <w:tcPr/>
          <w:p>
            <w:pPr>
              <w:pStyle w:val="Compact"/>
            </w:pPr>
            <w:r>
              <w:t xml:space="preserve">45.1% (95% UI: 43.9%–46.2%)</w:t>
            </w:r>
          </w:p>
        </w:tc>
        <w:tc>
          <w:tcPr/>
          <w:p>
            <w:pPr>
              <w:pStyle w:val="Compact"/>
            </w:pPr>
            <w:r>
              <w:t xml:space="preserve">0%</w:t>
            </w:r>
          </w:p>
        </w:tc>
        <w:tc>
          <w:tcPr/>
          <w:p>
            <w:pPr>
              <w:pStyle w:val="Compact"/>
            </w:pPr>
            <w:r>
              <w:t xml:space="preserve">89.9% (95% UI: 86.3%–92.3%)</w:t>
            </w:r>
          </w:p>
        </w:tc>
        <w:tc>
          <w:tcPr/>
          <w:p>
            <w:pPr>
              <w:pStyle w:val="Compact"/>
            </w:pPr>
            <w:r>
              <w:t xml:space="preserve">39.2% (95% UI: 38.2%–40.2%)</w:t>
            </w:r>
          </w:p>
        </w:tc>
      </w:tr>
      <w:tr>
        <w:tc>
          <w:tcPr/>
          <w:p>
            <w:pPr>
              <w:pStyle w:val="Compact"/>
            </w:pPr>
            <w:r>
              <w:t xml:space="preserve">J + 2,000/year, F 75%</w:t>
            </w:r>
          </w:p>
        </w:tc>
        <w:tc>
          <w:tcPr/>
          <w:p>
            <w:pPr>
              <w:pStyle w:val="Compact"/>
            </w:pPr>
            <w:r>
              <w:t xml:space="preserve">93.8% (95% UI: 91.6%–95.2%)</w:t>
            </w:r>
          </w:p>
        </w:tc>
        <w:tc>
          <w:tcPr/>
          <w:p>
            <w:pPr>
              <w:pStyle w:val="Compact"/>
            </w:pPr>
            <w:r>
              <w:t xml:space="preserve">47.2% (95% UI: 46.0%–48.4%)</w:t>
            </w:r>
          </w:p>
        </w:tc>
        <w:tc>
          <w:tcPr/>
          <w:p>
            <w:pPr>
              <w:pStyle w:val="Compact"/>
            </w:pPr>
            <w:r>
              <w:t xml:space="preserve">0%</w:t>
            </w:r>
          </w:p>
        </w:tc>
        <w:tc>
          <w:tcPr/>
          <w:p>
            <w:pPr>
              <w:pStyle w:val="Compact"/>
            </w:pPr>
            <w:r>
              <w:t xml:space="preserve">93.9% (95% UI: 91.6%–95.4%)</w:t>
            </w:r>
          </w:p>
        </w:tc>
        <w:tc>
          <w:tcPr/>
          <w:p>
            <w:pPr>
              <w:pStyle w:val="Compact"/>
            </w:pPr>
            <w:r>
              <w:t xml:space="preserve">41.6% (95% UI: 40.5%–42.7%)</w:t>
            </w:r>
          </w:p>
        </w:tc>
      </w:tr>
      <w:tr>
        <w:tc>
          <w:tcPr/>
          <w:p>
            <w:pPr>
              <w:pStyle w:val="Compact"/>
            </w:pPr>
            <w:r>
              <w:t xml:space="preserve">J + 5,000/year, F 75%</w:t>
            </w:r>
          </w:p>
        </w:tc>
        <w:tc>
          <w:tcPr/>
          <w:p>
            <w:pPr>
              <w:pStyle w:val="Compact"/>
            </w:pPr>
            <w:r>
              <w:t xml:space="preserve">94.0% (95% UI: 91.9%–95.4%)</w:t>
            </w:r>
          </w:p>
        </w:tc>
        <w:tc>
          <w:tcPr/>
          <w:p>
            <w:pPr>
              <w:pStyle w:val="Compact"/>
            </w:pPr>
            <w:r>
              <w:t xml:space="preserve">52.7% (95% UI: 51.2%–54.0%)</w:t>
            </w:r>
          </w:p>
        </w:tc>
        <w:tc>
          <w:tcPr/>
          <w:p>
            <w:pPr>
              <w:pStyle w:val="Compact"/>
            </w:pPr>
            <w:r>
              <w:t xml:space="preserve">0%</w:t>
            </w:r>
          </w:p>
        </w:tc>
        <w:tc>
          <w:tcPr/>
          <w:p>
            <w:pPr>
              <w:pStyle w:val="Compact"/>
            </w:pPr>
            <w:r>
              <w:t xml:space="preserve">94.1% (95% UI: 91.9%–95.5%)</w:t>
            </w:r>
          </w:p>
        </w:tc>
        <w:tc>
          <w:tcPr/>
          <w:p>
            <w:pPr>
              <w:pStyle w:val="Compact"/>
            </w:pPr>
            <w:r>
              <w:t xml:space="preserve">47.8% (95% UI: 46.3%–49.1%)</w:t>
            </w:r>
          </w:p>
        </w:tc>
      </w:tr>
      <w:tr>
        <w:tc>
          <w:tcPr/>
          <w:p>
            <w:pPr>
              <w:pStyle w:val="Compact"/>
            </w:pPr>
            <w:r>
              <w:t xml:space="preserve">J + 8,000/year, F 75%</w:t>
            </w:r>
          </w:p>
        </w:tc>
        <w:tc>
          <w:tcPr/>
          <w:p>
            <w:pPr>
              <w:pStyle w:val="Compact"/>
            </w:pPr>
            <w:r>
              <w:t xml:space="preserve">94.0% (95% UI: 91.9%–95.4%)</w:t>
            </w:r>
          </w:p>
        </w:tc>
        <w:tc>
          <w:tcPr/>
          <w:p>
            <w:pPr>
              <w:pStyle w:val="Compact"/>
            </w:pPr>
            <w:r>
              <w:t xml:space="preserve">57.2% (95% UI: 55.6%–58.7%)</w:t>
            </w:r>
          </w:p>
        </w:tc>
        <w:tc>
          <w:tcPr/>
          <w:p>
            <w:pPr>
              <w:pStyle w:val="Compact"/>
            </w:pPr>
            <w:r>
              <w:t xml:space="preserve">0%</w:t>
            </w:r>
          </w:p>
        </w:tc>
        <w:tc>
          <w:tcPr/>
          <w:p>
            <w:pPr>
              <w:pStyle w:val="Compact"/>
            </w:pPr>
            <w:r>
              <w:t xml:space="preserve">94.1% (95% UI: 91.9%–95.5%)</w:t>
            </w:r>
          </w:p>
        </w:tc>
        <w:tc>
          <w:tcPr/>
          <w:p>
            <w:pPr>
              <w:pStyle w:val="Compact"/>
            </w:pPr>
            <w:r>
              <w:t xml:space="preserve">52.9% (95% UI: 51.2%–54.5%)</w:t>
            </w:r>
          </w:p>
        </w:tc>
      </w:tr>
      <w:tr>
        <w:tc>
          <w:tcPr/>
          <w:p>
            <w:pPr>
              <w:pStyle w:val="Compact"/>
            </w:pPr>
            <w:r>
              <w:t xml:space="preserve">J + no screening cap</w:t>
            </w:r>
          </w:p>
        </w:tc>
        <w:tc>
          <w:tcPr/>
          <w:p>
            <w:pPr>
              <w:pStyle w:val="Compact"/>
            </w:pPr>
            <w:r>
              <w:t xml:space="preserve">94.0% (95% UI: 91.9%–95.4%)</w:t>
            </w:r>
          </w:p>
        </w:tc>
        <w:tc>
          <w:tcPr/>
          <w:p>
            <w:pPr>
              <w:pStyle w:val="Compact"/>
            </w:pPr>
            <w:r>
              <w:t xml:space="preserve">74.6% (95% UI: 74.3%–74.9%)</w:t>
            </w:r>
          </w:p>
        </w:tc>
        <w:tc>
          <w:tcPr/>
          <w:p>
            <w:pPr>
              <w:pStyle w:val="Compact"/>
            </w:pPr>
            <w:r>
              <w:t xml:space="preserve">100%</w:t>
            </w:r>
          </w:p>
        </w:tc>
        <w:tc>
          <w:tcPr/>
          <w:p>
            <w:pPr>
              <w:pStyle w:val="Compact"/>
            </w:pPr>
            <w:r>
              <w:t xml:space="preserve">94.1% (95% UI: 91.9%–95.5%)</w:t>
            </w:r>
          </w:p>
        </w:tc>
        <w:tc>
          <w:tcPr/>
          <w:p>
            <w:pPr>
              <w:pStyle w:val="Compact"/>
            </w:pPr>
            <w:r>
              <w:t xml:space="preserve">72.6% (95% UI: 72.3%–72.8%)</w:t>
            </w:r>
          </w:p>
        </w:tc>
      </w:tr>
    </w:tbl>
    <w:p>
      <w:pPr>
        <w:pStyle w:val="BodyText"/>
      </w:pPr>
      <w:r>
        <w:t xml:space="preserve">Values are medians (95% UI) across 2,000 posterior draws.</w:t>
      </w:r>
    </w:p>
    <w:p>
      <w:pPr>
        <w:pStyle w:val="CaptionedFigure"/>
      </w:pPr>
      <w:r>
        <w:drawing>
          <wp:inline>
            <wp:extent cx="5334000" cy="2424545"/>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output/scenarios_2026/scenario_target_trajectories.png" id="32" name="Picture"/>
                    <pic:cNvPicPr>
                      <a:picLocks noChangeArrowheads="1" noChangeAspect="1"/>
                    </pic:cNvPicPr>
                  </pic:nvPicPr>
                  <pic:blipFill>
                    <a:blip r:embed="rId30"/>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800600" cy="4000500"/>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output/scenarios_2026/scenario_target_heatmap.png" id="35" name="Picture"/>
                    <pic:cNvPicPr>
                      <a:picLocks noChangeArrowheads="1" noChangeAspect="1"/>
                    </pic:cNvPicPr>
                  </pic:nvPicPr>
                  <pic:blipFill>
                    <a:blip r:embed="rId33"/>
                    <a:stretch>
                      <a:fillRect/>
                    </a:stretch>
                  </pic:blipFill>
                  <pic:spPr bwMode="auto">
                    <a:xfrm>
                      <a:off x="0" y="0"/>
                      <a:ext cx="4800600" cy="4000500"/>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S10.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453 (95% UI: 387–533)</w:t>
            </w:r>
          </w:p>
        </w:tc>
        <w:tc>
          <w:tcPr/>
          <w:p>
            <w:pPr>
              <w:pStyle w:val="Compact"/>
            </w:pPr>
            <w:r>
              <w:t xml:space="preserve">S$17.6 million (95% UI: S$15.0 million–S$20.7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687 (95% UI: 646–731)</w:t>
            </w:r>
          </w:p>
        </w:tc>
        <w:tc>
          <w:tcPr/>
          <w:p>
            <w:pPr>
              <w:pStyle w:val="Compact"/>
            </w:pPr>
            <w:r>
              <w:t xml:space="preserve">238 (95% UI: 222–255)</w:t>
            </w:r>
          </w:p>
        </w:tc>
        <w:tc>
          <w:tcPr/>
          <w:p>
            <w:pPr>
              <w:pStyle w:val="Compact"/>
            </w:pPr>
            <w:r>
              <w:t xml:space="preserve">410 (95% UI: 348–484)</w:t>
            </w:r>
          </w:p>
        </w:tc>
        <w:tc>
          <w:tcPr/>
          <w:p>
            <w:pPr>
              <w:pStyle w:val="Compact"/>
            </w:pPr>
            <w:r>
              <w:t xml:space="preserve">S$25.4 million (95% UI: S$22.7 million–S$28.6 million)</w:t>
            </w:r>
          </w:p>
        </w:tc>
        <w:tc>
          <w:tcPr/>
          <w:p>
            <w:pPr>
              <w:pStyle w:val="Compact"/>
            </w:pPr>
            <w:r>
              <w:t xml:space="preserve">S$7.8 million (95% UI: S$7.2 million–S$8.4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1,143 (95% UI: 1,075–1,216)</w:t>
            </w:r>
          </w:p>
        </w:tc>
        <w:tc>
          <w:tcPr/>
          <w:p>
            <w:pPr>
              <w:pStyle w:val="Compact"/>
            </w:pPr>
            <w:r>
              <w:t xml:space="preserve">381 (95% UI: 356–408)</w:t>
            </w:r>
          </w:p>
        </w:tc>
        <w:tc>
          <w:tcPr/>
          <w:p>
            <w:pPr>
              <w:pStyle w:val="Compact"/>
            </w:pPr>
            <w:r>
              <w:t xml:space="preserve">384 (95% UI: 326–455)</w:t>
            </w:r>
          </w:p>
        </w:tc>
        <w:tc>
          <w:tcPr/>
          <w:p>
            <w:pPr>
              <w:pStyle w:val="Compact"/>
            </w:pPr>
            <w:r>
              <w:t xml:space="preserve">S$30.1 million (95% UI: S$27.3 million–S$33.4 million)</w:t>
            </w:r>
          </w:p>
        </w:tc>
        <w:tc>
          <w:tcPr/>
          <w:p>
            <w:pPr>
              <w:pStyle w:val="Compact"/>
            </w:pPr>
            <w:r>
              <w:t xml:space="preserve">S$12.5 million (95% UI: S$11.6 million–S$13.5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2,279 (95% UI: 2,142–2,425)</w:t>
            </w:r>
          </w:p>
        </w:tc>
        <w:tc>
          <w:tcPr/>
          <w:p>
            <w:pPr>
              <w:pStyle w:val="Compact"/>
            </w:pPr>
            <w:r>
              <w:t xml:space="preserve">692 (95% UI: 645–741)</w:t>
            </w:r>
          </w:p>
        </w:tc>
        <w:tc>
          <w:tcPr/>
          <w:p>
            <w:pPr>
              <w:pStyle w:val="Compact"/>
            </w:pPr>
            <w:r>
              <w:t xml:space="preserve">331 (95% UI: 279–394)</w:t>
            </w:r>
          </w:p>
        </w:tc>
        <w:tc>
          <w:tcPr/>
          <w:p>
            <w:pPr>
              <w:pStyle w:val="Compact"/>
            </w:pPr>
            <w:r>
              <w:t xml:space="preserve">S$40.5 million (95% UI: S$37.3 million–S$44.4 million)</w:t>
            </w:r>
          </w:p>
        </w:tc>
        <w:tc>
          <w:tcPr/>
          <w:p>
            <w:pPr>
              <w:pStyle w:val="Compact"/>
            </w:pPr>
            <w:r>
              <w:t xml:space="preserve">S$22.9 million (95% UI: S$21.3 million–S$24.7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5,657 (95% UI: 5,317–6,016)</w:t>
            </w:r>
          </w:p>
        </w:tc>
        <w:tc>
          <w:tcPr/>
          <w:p>
            <w:pPr>
              <w:pStyle w:val="Compact"/>
            </w:pPr>
            <w:r>
              <w:t xml:space="preserve">1,309 (95% UI: 1,214–1,415)</w:t>
            </w:r>
          </w:p>
        </w:tc>
        <w:tc>
          <w:tcPr/>
          <w:p>
            <w:pPr>
              <w:pStyle w:val="Compact"/>
            </w:pPr>
            <w:r>
              <w:t xml:space="preserve">234 (95% UI: 195–281)</w:t>
            </w:r>
          </w:p>
        </w:tc>
        <w:tc>
          <w:tcPr/>
          <w:p>
            <w:pPr>
              <w:pStyle w:val="Compact"/>
            </w:pPr>
            <w:r>
              <w:t xml:space="preserve">S$62.4 million (95% UI: S$57.7 million–S$67.8 million)</w:t>
            </w:r>
          </w:p>
        </w:tc>
        <w:tc>
          <w:tcPr/>
          <w:p>
            <w:pPr>
              <w:pStyle w:val="Compact"/>
            </w:pPr>
            <w:r>
              <w:t xml:space="preserve">S$44.8 million (95% UI: S$41.2 million–S$48.7 million)</w:t>
            </w:r>
          </w:p>
        </w:tc>
      </w:tr>
      <w:tr>
        <w:tc>
          <w:tcPr/>
          <w:p>
            <w:pPr>
              <w:pStyle w:val="Compact"/>
            </w:pPr>
            <w:r>
              <w:t xml:space="preserve">J + 8,000/year, F 25%</w:t>
            </w:r>
          </w:p>
        </w:tc>
        <w:tc>
          <w:tcPr/>
          <w:p>
            <w:pPr>
              <w:pStyle w:val="Compact"/>
            </w:pPr>
            <w:r>
              <w:t xml:space="preserve">37,852 (95% UI: 37,252–38,529)</w:t>
            </w:r>
          </w:p>
        </w:tc>
        <w:tc>
          <w:tcPr/>
          <w:p>
            <w:pPr>
              <w:pStyle w:val="Compact"/>
            </w:pPr>
            <w:r>
              <w:t xml:space="preserve">8,484 (95% UI: 7,976–9,035)</w:t>
            </w:r>
          </w:p>
        </w:tc>
        <w:tc>
          <w:tcPr/>
          <w:p>
            <w:pPr>
              <w:pStyle w:val="Compact"/>
            </w:pPr>
            <w:r>
              <w:t xml:space="preserve">1,615 (95% UI: 1,479–1,766)</w:t>
            </w:r>
          </w:p>
        </w:tc>
        <w:tc>
          <w:tcPr/>
          <w:p>
            <w:pPr>
              <w:pStyle w:val="Compact"/>
            </w:pPr>
            <w:r>
              <w:t xml:space="preserve">213 (95% UI: 180–253)</w:t>
            </w:r>
          </w:p>
        </w:tc>
        <w:tc>
          <w:tcPr/>
          <w:p>
            <w:pPr>
              <w:pStyle w:val="Compact"/>
            </w:pPr>
            <w:r>
              <w:t xml:space="preserve">S$75.2 million (95% UI: S$69.2 million–S$82.1 million)</w:t>
            </w:r>
          </w:p>
        </w:tc>
        <w:tc>
          <w:tcPr/>
          <w:p>
            <w:pPr>
              <w:pStyle w:val="Compact"/>
            </w:pPr>
            <w:r>
              <w:t xml:space="preserve">S$57.6 million (95% UI: S$52.7 million–S$63.3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725 (95% UI: 683–773)</w:t>
            </w:r>
          </w:p>
        </w:tc>
        <w:tc>
          <w:tcPr/>
          <w:p>
            <w:pPr>
              <w:pStyle w:val="Compact"/>
            </w:pPr>
            <w:r>
              <w:t xml:space="preserve">200 (95% UI: 186–214)</w:t>
            </w:r>
          </w:p>
        </w:tc>
        <w:tc>
          <w:tcPr/>
          <w:p>
            <w:pPr>
              <w:pStyle w:val="Compact"/>
            </w:pPr>
            <w:r>
              <w:t xml:space="preserve">373 (95% UI: 315–442)</w:t>
            </w:r>
          </w:p>
        </w:tc>
        <w:tc>
          <w:tcPr/>
          <w:p>
            <w:pPr>
              <w:pStyle w:val="Compact"/>
            </w:pPr>
            <w:r>
              <w:t xml:space="preserve">S$22.5 million (95% UI: S$19.9 million–S$25.5 million)</w:t>
            </w:r>
          </w:p>
        </w:tc>
        <w:tc>
          <w:tcPr/>
          <w:p>
            <w:pPr>
              <w:pStyle w:val="Compact"/>
            </w:pPr>
            <w:r>
              <w:t xml:space="preserve">S$4.9 million (95% UI: S$4.5 million–S$5.3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1,202 (95% UI: 1,132–1,282)</w:t>
            </w:r>
          </w:p>
        </w:tc>
        <w:tc>
          <w:tcPr/>
          <w:p>
            <w:pPr>
              <w:pStyle w:val="Compact"/>
            </w:pPr>
            <w:r>
              <w:t xml:space="preserve">315 (95% UI: 293–338)</w:t>
            </w:r>
          </w:p>
        </w:tc>
        <w:tc>
          <w:tcPr/>
          <w:p>
            <w:pPr>
              <w:pStyle w:val="Compact"/>
            </w:pPr>
            <w:r>
              <w:t xml:space="preserve">331 (95% UI: 279–394)</w:t>
            </w:r>
          </w:p>
        </w:tc>
        <w:tc>
          <w:tcPr/>
          <w:p>
            <w:pPr>
              <w:pStyle w:val="Compact"/>
            </w:pPr>
            <w:r>
              <w:t xml:space="preserve">S$25.5 million (95% UI: S$22.9 million–S$28.6 million)</w:t>
            </w:r>
          </w:p>
        </w:tc>
        <w:tc>
          <w:tcPr/>
          <w:p>
            <w:pPr>
              <w:pStyle w:val="Compact"/>
            </w:pPr>
            <w:r>
              <w:t xml:space="preserve">S$8.0 million (95% UI: S$7.3 million–S$8.6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2,379 (95% UI: 2,241–2,535)</w:t>
            </w:r>
          </w:p>
        </w:tc>
        <w:tc>
          <w:tcPr/>
          <w:p>
            <w:pPr>
              <w:pStyle w:val="Compact"/>
            </w:pPr>
            <w:r>
              <w:t xml:space="preserve">557 (95% UI: 519–598)</w:t>
            </w:r>
          </w:p>
        </w:tc>
        <w:tc>
          <w:tcPr/>
          <w:p>
            <w:pPr>
              <w:pStyle w:val="Compact"/>
            </w:pPr>
            <w:r>
              <w:t xml:space="preserve">258 (95% UI: 215–309)</w:t>
            </w:r>
          </w:p>
        </w:tc>
        <w:tc>
          <w:tcPr/>
          <w:p>
            <w:pPr>
              <w:pStyle w:val="Compact"/>
            </w:pPr>
            <w:r>
              <w:t xml:space="preserve">S$32.6 million (95% UI: S$29.8 million–S$35.9 million)</w:t>
            </w:r>
          </w:p>
        </w:tc>
        <w:tc>
          <w:tcPr/>
          <w:p>
            <w:pPr>
              <w:pStyle w:val="Compact"/>
            </w:pPr>
            <w:r>
              <w:t xml:space="preserve">S$15.0 million (95% UI: S$13.8 million–S$16.3 million)</w:t>
            </w:r>
          </w:p>
        </w:tc>
      </w:tr>
      <w:tr>
        <w:tc>
          <w:tcPr/>
          <w:p>
            <w:pPr>
              <w:pStyle w:val="Compact"/>
            </w:pPr>
            <w:r>
              <w:t xml:space="preserve">J + 5,000/year, F 50%</w:t>
            </w:r>
          </w:p>
        </w:tc>
        <w:tc>
          <w:tcPr/>
          <w:p>
            <w:pPr>
              <w:pStyle w:val="Compact"/>
            </w:pPr>
            <w:r>
              <w:t xml:space="preserve">20,352 (95% UI: 19,752–21,029)</w:t>
            </w:r>
          </w:p>
        </w:tc>
        <w:tc>
          <w:tcPr/>
          <w:p>
            <w:pPr>
              <w:pStyle w:val="Compact"/>
            </w:pPr>
            <w:r>
              <w:t xml:space="preserve">4,706 (95% UI: 4,402–5,034)</w:t>
            </w:r>
          </w:p>
        </w:tc>
        <w:tc>
          <w:tcPr/>
          <w:p>
            <w:pPr>
              <w:pStyle w:val="Compact"/>
            </w:pPr>
            <w:r>
              <w:t xml:space="preserve">1,047 (95% UI: 975–1,128)</w:t>
            </w:r>
          </w:p>
        </w:tc>
        <w:tc>
          <w:tcPr/>
          <w:p>
            <w:pPr>
              <w:pStyle w:val="Compact"/>
            </w:pPr>
            <w:r>
              <w:t xml:space="preserve">213 (95% UI: 180–253)</w:t>
            </w:r>
          </w:p>
        </w:tc>
        <w:tc>
          <w:tcPr/>
          <w:p>
            <w:pPr>
              <w:pStyle w:val="Compact"/>
            </w:pPr>
            <w:r>
              <w:t xml:space="preserve">S$50.9 million (95% UI: S$47.2 million–S$55.2 million)</w:t>
            </w:r>
          </w:p>
        </w:tc>
        <w:tc>
          <w:tcPr/>
          <w:p>
            <w:pPr>
              <w:pStyle w:val="Compact"/>
            </w:pPr>
            <w:r>
              <w:t xml:space="preserve">S$33.3 million (95% UI: S$30.8 million–S$36.0 million)</w:t>
            </w:r>
          </w:p>
        </w:tc>
      </w:tr>
      <w:tr>
        <w:tc>
          <w:tcPr/>
          <w:p>
            <w:pPr>
              <w:pStyle w:val="Compact"/>
            </w:pPr>
            <w:r>
              <w:t xml:space="preserve">J + 8,000/year, F 50%</w:t>
            </w:r>
          </w:p>
        </w:tc>
        <w:tc>
          <w:tcPr/>
          <w:p>
            <w:pPr>
              <w:pStyle w:val="Compact"/>
            </w:pPr>
            <w:r>
              <w:t xml:space="preserve">27,852 (95% UI: 27,252–28,529)</w:t>
            </w:r>
          </w:p>
        </w:tc>
        <w:tc>
          <w:tcPr/>
          <w:p>
            <w:pPr>
              <w:pStyle w:val="Compact"/>
            </w:pPr>
            <w:r>
              <w:t xml:space="preserve">6,321 (95% UI: 5,935–6,749)</w:t>
            </w:r>
          </w:p>
        </w:tc>
        <w:tc>
          <w:tcPr/>
          <w:p>
            <w:pPr>
              <w:pStyle w:val="Compact"/>
            </w:pPr>
            <w:r>
              <w:t xml:space="preserve">1,361 (95% UI: 1,261–1,476)</w:t>
            </w:r>
          </w:p>
        </w:tc>
        <w:tc>
          <w:tcPr/>
          <w:p>
            <w:pPr>
              <w:pStyle w:val="Compact"/>
            </w:pPr>
            <w:r>
              <w:t xml:space="preserve">213 (95% UI: 180–253)</w:t>
            </w:r>
          </w:p>
        </w:tc>
        <w:tc>
          <w:tcPr/>
          <w:p>
            <w:pPr>
              <w:pStyle w:val="Compact"/>
            </w:pPr>
            <w:r>
              <w:t xml:space="preserve">S$64.0 million (95% UI: S$59.1 million–S$69.5 million)</w:t>
            </w:r>
          </w:p>
        </w:tc>
        <w:tc>
          <w:tcPr/>
          <w:p>
            <w:pPr>
              <w:pStyle w:val="Compact"/>
            </w:pPr>
            <w:r>
              <w:t xml:space="preserve">S$46.4 million (95% UI: S$42.6 million–S$50.5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761 (95% UI: 714–812)</w:t>
            </w:r>
          </w:p>
        </w:tc>
        <w:tc>
          <w:tcPr/>
          <w:p>
            <w:pPr>
              <w:pStyle w:val="Compact"/>
            </w:pPr>
            <w:r>
              <w:t xml:space="preserve">153 (95% UI: 141–167)</w:t>
            </w:r>
          </w:p>
        </w:tc>
        <w:tc>
          <w:tcPr/>
          <w:p>
            <w:pPr>
              <w:pStyle w:val="Compact"/>
            </w:pPr>
            <w:r>
              <w:t xml:space="preserve">341 (95% UI: 288–405)</w:t>
            </w:r>
          </w:p>
        </w:tc>
        <w:tc>
          <w:tcPr/>
          <w:p>
            <w:pPr>
              <w:pStyle w:val="Compact"/>
            </w:pPr>
            <w:r>
              <w:t xml:space="preserve">S$19.5 million (95% UI: S$17.0 million–S$22.5 million)</w:t>
            </w:r>
          </w:p>
        </w:tc>
        <w:tc>
          <w:tcPr/>
          <w:p>
            <w:pPr>
              <w:pStyle w:val="Compact"/>
            </w:pPr>
            <w:r>
              <w:t xml:space="preserve">S$1.9 million (95% UI: S$1.7 million–S$2.2 million)</w:t>
            </w:r>
          </w:p>
        </w:tc>
      </w:tr>
      <w:tr>
        <w:tc>
          <w:tcPr/>
          <w:p>
            <w:pPr>
              <w:pStyle w:val="Compact"/>
            </w:pPr>
            <w:r>
              <w:t xml:space="preserve">J + 1,000/year, F 75%</w:t>
            </w:r>
          </w:p>
        </w:tc>
        <w:tc>
          <w:tcPr/>
          <w:p>
            <w:pPr>
              <w:pStyle w:val="Compact"/>
            </w:pPr>
            <w:r>
              <w:t xml:space="preserve">5,000 (95% UI: 5,000–5,000)</w:t>
            </w:r>
          </w:p>
        </w:tc>
        <w:tc>
          <w:tcPr/>
          <w:p>
            <w:pPr>
              <w:pStyle w:val="Compact"/>
            </w:pPr>
            <w:r>
              <w:t xml:space="preserve">1,255 (95% UI: 1,180–1,339)</w:t>
            </w:r>
          </w:p>
        </w:tc>
        <w:tc>
          <w:tcPr/>
          <w:p>
            <w:pPr>
              <w:pStyle w:val="Compact"/>
            </w:pPr>
            <w:r>
              <w:t xml:space="preserve">230 (95% UI: 213–251)</w:t>
            </w:r>
          </w:p>
        </w:tc>
        <w:tc>
          <w:tcPr/>
          <w:p>
            <w:pPr>
              <w:pStyle w:val="Compact"/>
            </w:pPr>
            <w:r>
              <w:t xml:space="preserve">290 (95% UI: 243–346)</w:t>
            </w:r>
          </w:p>
        </w:tc>
        <w:tc>
          <w:tcPr/>
          <w:p>
            <w:pPr>
              <w:pStyle w:val="Compact"/>
            </w:pPr>
            <w:r>
              <w:t xml:space="preserve">S$20.8 million (95% UI: S$18.3 million–S$23.6 million)</w:t>
            </w:r>
          </w:p>
        </w:tc>
        <w:tc>
          <w:tcPr/>
          <w:p>
            <w:pPr>
              <w:pStyle w:val="Compact"/>
            </w:pPr>
            <w:r>
              <w:t xml:space="preserve">S$3.2 million (95% UI: S$2.7 million–S$3.6 million)</w:t>
            </w:r>
          </w:p>
        </w:tc>
      </w:tr>
      <w:tr>
        <w:tc>
          <w:tcPr/>
          <w:p>
            <w:pPr>
              <w:pStyle w:val="Compact"/>
            </w:pPr>
            <w:r>
              <w:t xml:space="preserve">J + 2,000/year, F 75%</w:t>
            </w:r>
          </w:p>
        </w:tc>
        <w:tc>
          <w:tcPr/>
          <w:p>
            <w:pPr>
              <w:pStyle w:val="Compact"/>
            </w:pPr>
            <w:r>
              <w:t xml:space="preserve">10,000 (95% UI: 9,752–10,000)</w:t>
            </w:r>
          </w:p>
        </w:tc>
        <w:tc>
          <w:tcPr/>
          <w:p>
            <w:pPr>
              <w:pStyle w:val="Compact"/>
            </w:pPr>
            <w:r>
              <w:t xml:space="preserve">2,463 (95% UI: 2,316–2,626)</w:t>
            </w:r>
          </w:p>
        </w:tc>
        <w:tc>
          <w:tcPr/>
          <w:p>
            <w:pPr>
              <w:pStyle w:val="Compact"/>
            </w:pPr>
            <w:r>
              <w:t xml:space="preserve">376 (95% UI: 349–408)</w:t>
            </w:r>
          </w:p>
        </w:tc>
        <w:tc>
          <w:tcPr/>
          <w:p>
            <w:pPr>
              <w:pStyle w:val="Compact"/>
            </w:pPr>
            <w:r>
              <w:t xml:space="preserve">217 (95% UI: 182–260)</w:t>
            </w:r>
          </w:p>
        </w:tc>
        <w:tc>
          <w:tcPr/>
          <w:p>
            <w:pPr>
              <w:pStyle w:val="Compact"/>
            </w:pPr>
            <w:r>
              <w:t xml:space="preserve">S$24.2 million (95% UI: S$21.8 million–S$26.9 million)</w:t>
            </w:r>
          </w:p>
        </w:tc>
        <w:tc>
          <w:tcPr/>
          <w:p>
            <w:pPr>
              <w:pStyle w:val="Compact"/>
            </w:pPr>
            <w:r>
              <w:t xml:space="preserve">S$6.6 million (95% UI: S$5.7 million–S$7.3 million)</w:t>
            </w:r>
          </w:p>
        </w:tc>
      </w:tr>
      <w:tr>
        <w:tc>
          <w:tcPr/>
          <w:p>
            <w:pPr>
              <w:pStyle w:val="Compact"/>
            </w:pPr>
            <w:r>
              <w:t xml:space="preserve">J + 5,000/year, F 75%</w:t>
            </w:r>
          </w:p>
        </w:tc>
        <w:tc>
          <w:tcPr/>
          <w:p>
            <w:pPr>
              <w:pStyle w:val="Compact"/>
            </w:pPr>
            <w:r>
              <w:t xml:space="preserve">14,102 (95% UI: 13,502–14,779)</w:t>
            </w:r>
          </w:p>
        </w:tc>
        <w:tc>
          <w:tcPr/>
          <w:p>
            <w:pPr>
              <w:pStyle w:val="Compact"/>
            </w:pPr>
            <w:r>
              <w:t xml:space="preserve">3,360 (95% UI: 3,129–3,627)</w:t>
            </w:r>
          </w:p>
        </w:tc>
        <w:tc>
          <w:tcPr/>
          <w:p>
            <w:pPr>
              <w:pStyle w:val="Compact"/>
            </w:pPr>
            <w:r>
              <w:t xml:space="preserve">670 (95% UI: 622–720)</w:t>
            </w:r>
          </w:p>
        </w:tc>
        <w:tc>
          <w:tcPr/>
          <w:p>
            <w:pPr>
              <w:pStyle w:val="Compact"/>
            </w:pPr>
            <w:r>
              <w:t xml:space="preserve">213 (95% UI: 180–253)</w:t>
            </w:r>
          </w:p>
        </w:tc>
        <w:tc>
          <w:tcPr/>
          <w:p>
            <w:pPr>
              <w:pStyle w:val="Compact"/>
            </w:pPr>
            <w:r>
              <w:t xml:space="preserve">S$35.7 million (95% UI: S$32.8 million–S$39.0 million)</w:t>
            </w:r>
          </w:p>
        </w:tc>
        <w:tc>
          <w:tcPr/>
          <w:p>
            <w:pPr>
              <w:pStyle w:val="Compact"/>
            </w:pPr>
            <w:r>
              <w:t xml:space="preserve">S$18.1 million (95% UI: S$16.6 million–S$19.6 million)</w:t>
            </w:r>
          </w:p>
        </w:tc>
      </w:tr>
      <w:tr>
        <w:tc>
          <w:tcPr/>
          <w:p>
            <w:pPr>
              <w:pStyle w:val="Compact"/>
            </w:pPr>
            <w:r>
              <w:t xml:space="preserve">J + 8,000/year, F 75%</w:t>
            </w:r>
          </w:p>
        </w:tc>
        <w:tc>
          <w:tcPr/>
          <w:p>
            <w:pPr>
              <w:pStyle w:val="Compact"/>
            </w:pPr>
            <w:r>
              <w:t xml:space="preserve">17,852 (95% UI: 17,252–18,529)</w:t>
            </w:r>
          </w:p>
        </w:tc>
        <w:tc>
          <w:tcPr/>
          <w:p>
            <w:pPr>
              <w:pStyle w:val="Compact"/>
            </w:pPr>
            <w:r>
              <w:t xml:space="preserve">4,168 (95% UI: 3,895–4,471)</w:t>
            </w:r>
          </w:p>
        </w:tc>
        <w:tc>
          <w:tcPr/>
          <w:p>
            <w:pPr>
              <w:pStyle w:val="Compact"/>
            </w:pPr>
            <w:r>
              <w:t xml:space="preserve">910 (95% UI: 848–978)</w:t>
            </w:r>
          </w:p>
        </w:tc>
        <w:tc>
          <w:tcPr/>
          <w:p>
            <w:pPr>
              <w:pStyle w:val="Compact"/>
            </w:pPr>
            <w:r>
              <w:t xml:space="preserve">213 (95% UI: 180–253)</w:t>
            </w:r>
          </w:p>
        </w:tc>
        <w:tc>
          <w:tcPr/>
          <w:p>
            <w:pPr>
              <w:pStyle w:val="Compact"/>
            </w:pPr>
            <w:r>
              <w:t xml:space="preserve">S$45.4 million (95% UI: S$42.0 million–S$49.2 million)</w:t>
            </w:r>
          </w:p>
        </w:tc>
        <w:tc>
          <w:tcPr/>
          <w:p>
            <w:pPr>
              <w:pStyle w:val="Compact"/>
            </w:pPr>
            <w:r>
              <w:t xml:space="preserve">S$27.8 million (95% UI: S$25.6 million–S$30.0 million)</w:t>
            </w:r>
          </w:p>
        </w:tc>
      </w:tr>
      <w:tr>
        <w:tc>
          <w:tcPr/>
          <w:p>
            <w:pPr>
              <w:pStyle w:val="Compact"/>
            </w:pPr>
            <w:r>
              <w:t xml:space="preserve">J + no screening cap</w:t>
            </w:r>
          </w:p>
        </w:tc>
        <w:tc>
          <w:tcPr/>
          <w:p>
            <w:pPr>
              <w:pStyle w:val="Compact"/>
            </w:pPr>
            <w:r>
              <w:t xml:space="preserve">82,216 (95% UI: 74,708–91,273)</w:t>
            </w:r>
          </w:p>
        </w:tc>
        <w:tc>
          <w:tcPr/>
          <w:p>
            <w:pPr>
              <w:pStyle w:val="Compact"/>
            </w:pPr>
            <w:r>
              <w:t xml:space="preserve">18,060 (95% UI: 16,393–20,199)</w:t>
            </w:r>
          </w:p>
        </w:tc>
        <w:tc>
          <w:tcPr/>
          <w:p>
            <w:pPr>
              <w:pStyle w:val="Compact"/>
            </w:pPr>
            <w:r>
              <w:t xml:space="preserve">1,899 (95% UI: 1,710–2,138)</w:t>
            </w:r>
          </w:p>
        </w:tc>
        <w:tc>
          <w:tcPr/>
          <w:p>
            <w:pPr>
              <w:pStyle w:val="Compact"/>
            </w:pPr>
            <w:r>
              <w:t xml:space="preserve">213 (95% UI: 180–253)</w:t>
            </w:r>
          </w:p>
        </w:tc>
        <w:tc>
          <w:tcPr/>
          <w:p>
            <w:pPr>
              <w:pStyle w:val="Compact"/>
            </w:pPr>
            <w:r>
              <w:t xml:space="preserve">S$92.2 million (95% UI: S$83.4 million–S$103.1 million)</w:t>
            </w:r>
          </w:p>
        </w:tc>
        <w:tc>
          <w:tcPr/>
          <w:p>
            <w:pPr>
              <w:pStyle w:val="Compact"/>
            </w:pPr>
            <w:r>
              <w:t xml:space="preserve">S$74.6 million (95% UI: S$66.4 million–S$84.3 million)</w:t>
            </w:r>
          </w:p>
        </w:tc>
      </w:tr>
    </w:tbl>
    <w:p>
      <w:pPr>
        <w:pStyle w:val="BodyText"/>
      </w:pPr>
      <w:r>
        <w:t xml:space="preserve">Screening counts may include the same person in more than one year. Treatment starts count courses.</w:t>
      </w:r>
    </w:p>
    <w:p>
      <w:pPr>
        <w:pStyle w:val="CaptionedFigure"/>
      </w:pPr>
      <w:r>
        <w:drawing>
          <wp:inline>
            <wp:extent cx="5334000" cy="296333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output/scenarios_2026/scenario_treatment_starts.png" id="39" name="Picture"/>
                    <pic:cNvPicPr>
                      <a:picLocks noChangeArrowheads="1" noChangeAspect="1"/>
                    </pic:cNvPicPr>
                  </pic:nvPicPr>
                  <pic:blipFill>
                    <a:blip r:embed="rId3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400300"/>
            <wp:effectExtent b="0" l="0" r="0" t="0"/>
            <wp:docPr descr="Fig S5. Share of the five year screening quota used in F and X. The F group is small, so a large F share leaves part of its quota unused." title="" id="41" name="Picture"/>
            <a:graphic>
              <a:graphicData uri="http://schemas.openxmlformats.org/drawingml/2006/picture">
                <pic:pic>
                  <pic:nvPicPr>
                    <pic:cNvPr descr="/Users/yichenhe/Documents/Work/HepC-Transimission-Modelling/output/scenarios_2026/paper_fig4_f_pool.png" id="42" name="Picture"/>
                    <pic:cNvPicPr>
                      <a:picLocks noChangeArrowheads="1" noChangeAspect="1"/>
                    </pic:cNvPicPr>
                  </pic:nvPicPr>
                  <pic:blipFill>
                    <a:blip r:embed="rId40"/>
                    <a:stretch>
                      <a:fillRect/>
                    </a:stretch>
                  </pic:blipFill>
                  <pic:spPr bwMode="auto">
                    <a:xfrm>
                      <a:off x="0" y="0"/>
                      <a:ext cx="4800600" cy="2400300"/>
                    </a:xfrm>
                    <a:prstGeom prst="rect">
                      <a:avLst/>
                    </a:prstGeom>
                    <a:noFill/>
                    <a:ln w="9525">
                      <a:noFill/>
                      <a:headEnd/>
                      <a:tailEnd/>
                    </a:ln>
                  </pic:spPr>
                </pic:pic>
              </a:graphicData>
            </a:graphic>
          </wp:inline>
        </w:drawing>
      </w:r>
    </w:p>
    <w:p>
      <w:pPr>
        <w:pStyle w:val="ImageCaption"/>
      </w:pPr>
      <w:r>
        <w:t xml:space="preserve">Fig S5. Share of the five year screening quota used in F and X. The F group is small, so a large F share leaves part of its quota unused.</w:t>
      </w:r>
    </w:p>
    <w:p>
      <w:pPr>
        <w:pStyle w:val="CaptionedFigure"/>
      </w:pPr>
      <w:r>
        <w:drawing>
          <wp:inline>
            <wp:extent cx="5334000" cy="1546860"/>
            <wp:effectExtent b="0" l="0" r="0" t="0"/>
            <wp:docPr descr="Fig S6. Cost composition of the prison only scenario and the scenarios that met both targets. Shares use the median cost of each item." title="" id="44" name="Picture"/>
            <a:graphic>
              <a:graphicData uri="http://schemas.openxmlformats.org/drawingml/2006/picture">
                <pic:pic>
                  <pic:nvPicPr>
                    <pic:cNvPr descr="/Users/yichenhe/Documents/Work/HepC-Transimission-Modelling/output/scenarios_2026/scenario_cost_composition_pies.png" id="45" name="Picture"/>
                    <pic:cNvPicPr>
                      <a:picLocks noChangeArrowheads="1" noChangeAspect="1"/>
                    </pic:cNvPicPr>
                  </pic:nvPicPr>
                  <pic:blipFill>
                    <a:blip r:embed="rId43"/>
                    <a:stretch>
                      <a:fillRect/>
                    </a:stretch>
                  </pic:blipFill>
                  <pic:spPr bwMode="auto">
                    <a:xfrm>
                      <a:off x="0" y="0"/>
                      <a:ext cx="5334000" cy="1546860"/>
                    </a:xfrm>
                    <a:prstGeom prst="rect">
                      <a:avLst/>
                    </a:prstGeom>
                    <a:noFill/>
                    <a:ln w="9525">
                      <a:noFill/>
                      <a:headEnd/>
                      <a:tailEnd/>
                    </a:ln>
                  </pic:spPr>
                </pic:pic>
              </a:graphicData>
            </a:graphic>
          </wp:inline>
        </w:drawing>
      </w:r>
    </w:p>
    <w:p>
      <w:pPr>
        <w:pStyle w:val="ImageCaption"/>
      </w:pPr>
      <w:r>
        <w:t xml:space="preserve">Fig S6. Cost composition of the prison only scenario and the scenarios that met both targets. Shares use the median cost of each item.</w:t>
      </w:r>
    </w:p>
    <w:p>
      <w:pPr>
        <w:pStyle w:val="CaptionedFigure"/>
      </w:pPr>
      <w:r>
        <w:drawing>
          <wp:inline>
            <wp:extent cx="5334000" cy="3333749"/>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output/scenarios_2026/scenario_cumulative_costs.png" id="48" name="Picture"/>
                    <pic:cNvPicPr>
                      <a:picLocks noChangeArrowheads="1" noChangeAspect="1"/>
                    </pic:cNvPicPr>
                  </pic:nvPicPr>
                  <pic:blipFill>
                    <a:blip r:embed="rId46"/>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cost-sensitivity"/>
    <w:p>
      <w:pPr>
        <w:pStyle w:val="Heading2"/>
      </w:pPr>
      <w:r>
        <w:t xml:space="preserve">4.3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S$8.8 (95% UI: S$7.5–S$10.3)</w:t>
            </w:r>
          </w:p>
        </w:tc>
        <w:tc>
          <w:tcPr/>
          <w:p>
            <w:pPr>
              <w:pStyle w:val="Compact"/>
            </w:pPr>
            <w:r>
              <w:t xml:space="preserve">S$17.6 (95% UI: S$15.0–S$20.7)</w:t>
            </w:r>
          </w:p>
        </w:tc>
        <w:tc>
          <w:tcPr/>
          <w:p>
            <w:pPr>
              <w:pStyle w:val="Compact"/>
            </w:pPr>
            <w:r>
              <w:t xml:space="preserve">S$26.4 (95% UI: S$22.5–S$31.0)</w:t>
            </w:r>
          </w:p>
        </w:tc>
      </w:tr>
      <w:tr>
        <w:tc>
          <w:tcPr/>
          <w:p>
            <w:pPr>
              <w:pStyle w:val="Compact"/>
            </w:pPr>
            <w:r>
              <w:t xml:space="preserve">J + 600/year, F 25%</w:t>
            </w:r>
          </w:p>
        </w:tc>
        <w:tc>
          <w:tcPr/>
          <w:p>
            <w:pPr>
              <w:pStyle w:val="Compact"/>
            </w:pPr>
            <w:r>
              <w:t xml:space="preserve">S$12.7 (95% UI: S$11.3–S$14.3)</w:t>
            </w:r>
          </w:p>
        </w:tc>
        <w:tc>
          <w:tcPr/>
          <w:p>
            <w:pPr>
              <w:pStyle w:val="Compact"/>
            </w:pPr>
            <w:r>
              <w:t xml:space="preserve">S$25.4 (95% UI: S$22.7–S$28.6)</w:t>
            </w:r>
          </w:p>
        </w:tc>
        <w:tc>
          <w:tcPr/>
          <w:p>
            <w:pPr>
              <w:pStyle w:val="Compact"/>
            </w:pPr>
            <w:r>
              <w:t xml:space="preserve">S$38.1 (95% UI: S$34.0–S$42.8)</w:t>
            </w:r>
          </w:p>
        </w:tc>
      </w:tr>
      <w:tr>
        <w:tc>
          <w:tcPr/>
          <w:p>
            <w:pPr>
              <w:pStyle w:val="Compact"/>
            </w:pPr>
            <w:r>
              <w:t xml:space="preserve">J + 1,000/year, F 25%</w:t>
            </w:r>
          </w:p>
        </w:tc>
        <w:tc>
          <w:tcPr/>
          <w:p>
            <w:pPr>
              <w:pStyle w:val="Compact"/>
            </w:pPr>
            <w:r>
              <w:t xml:space="preserve">S$15.1 (95% UI: S$13.6–S$16.7)</w:t>
            </w:r>
          </w:p>
        </w:tc>
        <w:tc>
          <w:tcPr/>
          <w:p>
            <w:pPr>
              <w:pStyle w:val="Compact"/>
            </w:pPr>
            <w:r>
              <w:t xml:space="preserve">S$30.1 (95% UI: S$27.3–S$33.4)</w:t>
            </w:r>
          </w:p>
        </w:tc>
        <w:tc>
          <w:tcPr/>
          <w:p>
            <w:pPr>
              <w:pStyle w:val="Compact"/>
            </w:pPr>
            <w:r>
              <w:t xml:space="preserve">S$45.2 (95% UI: S$40.9–S$50.1)</w:t>
            </w:r>
          </w:p>
        </w:tc>
      </w:tr>
      <w:tr>
        <w:tc>
          <w:tcPr/>
          <w:p>
            <w:pPr>
              <w:pStyle w:val="Compact"/>
            </w:pPr>
            <w:r>
              <w:t xml:space="preserve">J + 2,000/year, F 25%</w:t>
            </w:r>
          </w:p>
        </w:tc>
        <w:tc>
          <w:tcPr/>
          <w:p>
            <w:pPr>
              <w:pStyle w:val="Compact"/>
            </w:pPr>
            <w:r>
              <w:t xml:space="preserve">S$20.3 (95% UI: S$18.7–S$22.2)</w:t>
            </w:r>
          </w:p>
        </w:tc>
        <w:tc>
          <w:tcPr/>
          <w:p>
            <w:pPr>
              <w:pStyle w:val="Compact"/>
            </w:pPr>
            <w:r>
              <w:t xml:space="preserve">S$40.5 (95% UI: S$37.3–S$44.4)</w:t>
            </w:r>
          </w:p>
        </w:tc>
        <w:tc>
          <w:tcPr/>
          <w:p>
            <w:pPr>
              <w:pStyle w:val="Compact"/>
            </w:pPr>
            <w:r>
              <w:t xml:space="preserve">S$60.8 (95% UI: S$56.0–S$66.5)</w:t>
            </w:r>
          </w:p>
        </w:tc>
      </w:tr>
      <w:tr>
        <w:tc>
          <w:tcPr/>
          <w:p>
            <w:pPr>
              <w:pStyle w:val="Compact"/>
            </w:pPr>
            <w:r>
              <w:t xml:space="preserve">J + 5,000/year, F 25%</w:t>
            </w:r>
          </w:p>
        </w:tc>
        <w:tc>
          <w:tcPr/>
          <w:p>
            <w:pPr>
              <w:pStyle w:val="Compact"/>
            </w:pPr>
            <w:r>
              <w:t xml:space="preserve">S$31.2 (95% UI: S$28.8–S$33.9)</w:t>
            </w:r>
          </w:p>
        </w:tc>
        <w:tc>
          <w:tcPr/>
          <w:p>
            <w:pPr>
              <w:pStyle w:val="Compact"/>
            </w:pPr>
            <w:r>
              <w:t xml:space="preserve">S$62.4 (95% UI: S$57.7–S$67.8)</w:t>
            </w:r>
          </w:p>
        </w:tc>
        <w:tc>
          <w:tcPr/>
          <w:p>
            <w:pPr>
              <w:pStyle w:val="Compact"/>
            </w:pPr>
            <w:r>
              <w:t xml:space="preserve">S$93.6 (95% UI: S$86.5–S$101.7)</w:t>
            </w:r>
          </w:p>
        </w:tc>
      </w:tr>
      <w:tr>
        <w:tc>
          <w:tcPr/>
          <w:p>
            <w:pPr>
              <w:pStyle w:val="Compact"/>
            </w:pPr>
            <w:r>
              <w:t xml:space="preserve">J + 8,000/year, F 25%</w:t>
            </w:r>
          </w:p>
        </w:tc>
        <w:tc>
          <w:tcPr/>
          <w:p>
            <w:pPr>
              <w:pStyle w:val="Compact"/>
            </w:pPr>
            <w:r>
              <w:t xml:space="preserve">S$37.6 (95% UI: S$34.6–S$41.0)</w:t>
            </w:r>
          </w:p>
        </w:tc>
        <w:tc>
          <w:tcPr/>
          <w:p>
            <w:pPr>
              <w:pStyle w:val="Compact"/>
            </w:pPr>
            <w:r>
              <w:t xml:space="preserve">S$75.2 (95% UI: S$69.2–S$82.1)</w:t>
            </w:r>
          </w:p>
        </w:tc>
        <w:tc>
          <w:tcPr/>
          <w:p>
            <w:pPr>
              <w:pStyle w:val="Compact"/>
            </w:pPr>
            <w:r>
              <w:t xml:space="preserve">S$112.8 (95% UI: S$103.8–S$123.1)</w:t>
            </w:r>
          </w:p>
        </w:tc>
      </w:tr>
      <w:tr>
        <w:tc>
          <w:tcPr/>
          <w:p>
            <w:pPr>
              <w:pStyle w:val="Compact"/>
            </w:pPr>
            <w:r>
              <w:t xml:space="preserve">J + 600/year, F 50%</w:t>
            </w:r>
          </w:p>
        </w:tc>
        <w:tc>
          <w:tcPr/>
          <w:p>
            <w:pPr>
              <w:pStyle w:val="Compact"/>
            </w:pPr>
            <w:r>
              <w:t xml:space="preserve">S$11.3 (95% UI: S$9.9–S$12.8)</w:t>
            </w:r>
          </w:p>
        </w:tc>
        <w:tc>
          <w:tcPr/>
          <w:p>
            <w:pPr>
              <w:pStyle w:val="Compact"/>
            </w:pPr>
            <w:r>
              <w:t xml:space="preserve">S$22.5 (95% UI: S$19.9–S$25.5)</w:t>
            </w:r>
          </w:p>
        </w:tc>
        <w:tc>
          <w:tcPr/>
          <w:p>
            <w:pPr>
              <w:pStyle w:val="Compact"/>
            </w:pPr>
            <w:r>
              <w:t xml:space="preserve">S$33.8 (95% UI: S$29.8–S$38.3)</w:t>
            </w:r>
          </w:p>
        </w:tc>
      </w:tr>
      <w:tr>
        <w:tc>
          <w:tcPr/>
          <w:p>
            <w:pPr>
              <w:pStyle w:val="Compact"/>
            </w:pPr>
            <w:r>
              <w:t xml:space="preserve">J + 1,000/year, F 50%</w:t>
            </w:r>
          </w:p>
        </w:tc>
        <w:tc>
          <w:tcPr/>
          <w:p>
            <w:pPr>
              <w:pStyle w:val="Compact"/>
            </w:pPr>
            <w:r>
              <w:t xml:space="preserve">S$12.8 (95% UI: S$11.5–S$14.3)</w:t>
            </w:r>
          </w:p>
        </w:tc>
        <w:tc>
          <w:tcPr/>
          <w:p>
            <w:pPr>
              <w:pStyle w:val="Compact"/>
            </w:pPr>
            <w:r>
              <w:t xml:space="preserve">S$25.5 (95% UI: S$22.9–S$28.6)</w:t>
            </w:r>
          </w:p>
        </w:tc>
        <w:tc>
          <w:tcPr/>
          <w:p>
            <w:pPr>
              <w:pStyle w:val="Compact"/>
            </w:pPr>
            <w:r>
              <w:t xml:space="preserve">S$38.3 (95% UI: S$34.4–S$43.0)</w:t>
            </w:r>
          </w:p>
        </w:tc>
      </w:tr>
      <w:tr>
        <w:tc>
          <w:tcPr/>
          <w:p>
            <w:pPr>
              <w:pStyle w:val="Compact"/>
            </w:pPr>
            <w:r>
              <w:t xml:space="preserve">J + 2,000/year, F 50%</w:t>
            </w:r>
          </w:p>
        </w:tc>
        <w:tc>
          <w:tcPr/>
          <w:p>
            <w:pPr>
              <w:pStyle w:val="Compact"/>
            </w:pPr>
            <w:r>
              <w:t xml:space="preserve">S$16.3 (95% UI: S$14.9–S$17.9)</w:t>
            </w:r>
          </w:p>
        </w:tc>
        <w:tc>
          <w:tcPr/>
          <w:p>
            <w:pPr>
              <w:pStyle w:val="Compact"/>
            </w:pPr>
            <w:r>
              <w:t xml:space="preserve">S$32.6 (95% UI: S$29.8–S$35.9)</w:t>
            </w:r>
          </w:p>
        </w:tc>
        <w:tc>
          <w:tcPr/>
          <w:p>
            <w:pPr>
              <w:pStyle w:val="Compact"/>
            </w:pPr>
            <w:r>
              <w:t xml:space="preserve">S$48.9 (95% UI: S$44.7–S$53.8)</w:t>
            </w:r>
          </w:p>
        </w:tc>
      </w:tr>
      <w:tr>
        <w:tc>
          <w:tcPr/>
          <w:p>
            <w:pPr>
              <w:pStyle w:val="Compact"/>
            </w:pPr>
            <w:r>
              <w:t xml:space="preserve">J + 5,000/year, F 50%</w:t>
            </w:r>
          </w:p>
        </w:tc>
        <w:tc>
          <w:tcPr/>
          <w:p>
            <w:pPr>
              <w:pStyle w:val="Compact"/>
            </w:pPr>
            <w:r>
              <w:t xml:space="preserve">S$25.4 (95% UI: S$23.6–S$27.6)</w:t>
            </w:r>
          </w:p>
        </w:tc>
        <w:tc>
          <w:tcPr/>
          <w:p>
            <w:pPr>
              <w:pStyle w:val="Compact"/>
            </w:pPr>
            <w:r>
              <w:t xml:space="preserve">S$50.9 (95% UI: S$47.2–S$55.2)</w:t>
            </w:r>
          </w:p>
        </w:tc>
        <w:tc>
          <w:tcPr/>
          <w:p>
            <w:pPr>
              <w:pStyle w:val="Compact"/>
            </w:pPr>
            <w:r>
              <w:t xml:space="preserve">S$76.3 (95% UI: S$70.7–S$82.8)</w:t>
            </w:r>
          </w:p>
        </w:tc>
      </w:tr>
      <w:tr>
        <w:tc>
          <w:tcPr/>
          <w:p>
            <w:pPr>
              <w:pStyle w:val="Compact"/>
            </w:pPr>
            <w:r>
              <w:t xml:space="preserve">J + 8,000/year, F 50%</w:t>
            </w:r>
          </w:p>
        </w:tc>
        <w:tc>
          <w:tcPr/>
          <w:p>
            <w:pPr>
              <w:pStyle w:val="Compact"/>
            </w:pPr>
            <w:r>
              <w:t xml:space="preserve">S$32.0 (95% UI: S$29.6–S$34.7)</w:t>
            </w:r>
          </w:p>
        </w:tc>
        <w:tc>
          <w:tcPr/>
          <w:p>
            <w:pPr>
              <w:pStyle w:val="Compact"/>
            </w:pPr>
            <w:r>
              <w:t xml:space="preserve">S$64.0 (95% UI: S$59.1–S$69.5)</w:t>
            </w:r>
          </w:p>
        </w:tc>
        <w:tc>
          <w:tcPr/>
          <w:p>
            <w:pPr>
              <w:pStyle w:val="Compact"/>
            </w:pPr>
            <w:r>
              <w:t xml:space="preserve">S$96.0 (95% UI: S$88.7–S$104.2)</w:t>
            </w:r>
          </w:p>
        </w:tc>
      </w:tr>
      <w:tr>
        <w:tc>
          <w:tcPr/>
          <w:p>
            <w:pPr>
              <w:pStyle w:val="Compact"/>
            </w:pPr>
            <w:r>
              <w:t xml:space="preserve">J + 600/year, F 75%</w:t>
            </w:r>
          </w:p>
        </w:tc>
        <w:tc>
          <w:tcPr/>
          <w:p>
            <w:pPr>
              <w:pStyle w:val="Compact"/>
            </w:pPr>
            <w:r>
              <w:t xml:space="preserve">S$9.8 (95% UI: S$8.5–S$11.2)</w:t>
            </w:r>
          </w:p>
        </w:tc>
        <w:tc>
          <w:tcPr/>
          <w:p>
            <w:pPr>
              <w:pStyle w:val="Compact"/>
            </w:pPr>
            <w:r>
              <w:t xml:space="preserve">S$19.5 (95% UI: S$17.0–S$22.5)</w:t>
            </w:r>
          </w:p>
        </w:tc>
        <w:tc>
          <w:tcPr/>
          <w:p>
            <w:pPr>
              <w:pStyle w:val="Compact"/>
            </w:pPr>
            <w:r>
              <w:t xml:space="preserve">S$29.3 (95% UI: S$25.5–S$33.7)</w:t>
            </w:r>
          </w:p>
        </w:tc>
      </w:tr>
      <w:tr>
        <w:tc>
          <w:tcPr/>
          <w:p>
            <w:pPr>
              <w:pStyle w:val="Compact"/>
            </w:pPr>
            <w:r>
              <w:t xml:space="preserve">J + 1,000/year, F 75%</w:t>
            </w:r>
          </w:p>
        </w:tc>
        <w:tc>
          <w:tcPr/>
          <w:p>
            <w:pPr>
              <w:pStyle w:val="Compact"/>
            </w:pPr>
            <w:r>
              <w:t xml:space="preserve">S$10.4 (95% UI: S$9.1–S$11.8)</w:t>
            </w:r>
          </w:p>
        </w:tc>
        <w:tc>
          <w:tcPr/>
          <w:p>
            <w:pPr>
              <w:pStyle w:val="Compact"/>
            </w:pPr>
            <w:r>
              <w:t xml:space="preserve">S$20.8 (95% UI: S$18.3–S$23.6)</w:t>
            </w:r>
          </w:p>
        </w:tc>
        <w:tc>
          <w:tcPr/>
          <w:p>
            <w:pPr>
              <w:pStyle w:val="Compact"/>
            </w:pPr>
            <w:r>
              <w:t xml:space="preserve">S$31.1 (95% UI: S$27.4–S$35.4)</w:t>
            </w:r>
          </w:p>
        </w:tc>
      </w:tr>
      <w:tr>
        <w:tc>
          <w:tcPr/>
          <w:p>
            <w:pPr>
              <w:pStyle w:val="Compact"/>
            </w:pPr>
            <w:r>
              <w:t xml:space="preserve">J + 2,000/year, F 75%</w:t>
            </w:r>
          </w:p>
        </w:tc>
        <w:tc>
          <w:tcPr/>
          <w:p>
            <w:pPr>
              <w:pStyle w:val="Compact"/>
            </w:pPr>
            <w:r>
              <w:t xml:space="preserve">S$12.1 (95% UI: S$10.9–S$13.5)</w:t>
            </w:r>
          </w:p>
        </w:tc>
        <w:tc>
          <w:tcPr/>
          <w:p>
            <w:pPr>
              <w:pStyle w:val="Compact"/>
            </w:pPr>
            <w:r>
              <w:t xml:space="preserve">S$24.2 (95% UI: S$21.8–S$26.9)</w:t>
            </w:r>
          </w:p>
        </w:tc>
        <w:tc>
          <w:tcPr/>
          <w:p>
            <w:pPr>
              <w:pStyle w:val="Compact"/>
            </w:pPr>
            <w:r>
              <w:t xml:space="preserve">S$36.2 (95% UI: S$32.7–S$40.4)</w:t>
            </w:r>
          </w:p>
        </w:tc>
      </w:tr>
      <w:tr>
        <w:tc>
          <w:tcPr/>
          <w:p>
            <w:pPr>
              <w:pStyle w:val="Compact"/>
            </w:pPr>
            <w:r>
              <w:t xml:space="preserve">J + 5,000/year, F 75%</w:t>
            </w:r>
          </w:p>
        </w:tc>
        <w:tc>
          <w:tcPr/>
          <w:p>
            <w:pPr>
              <w:pStyle w:val="Compact"/>
            </w:pPr>
            <w:r>
              <w:t xml:space="preserve">S$17.8 (95% UI: S$16.4–S$19.5)</w:t>
            </w:r>
          </w:p>
        </w:tc>
        <w:tc>
          <w:tcPr/>
          <w:p>
            <w:pPr>
              <w:pStyle w:val="Compact"/>
            </w:pPr>
            <w:r>
              <w:t xml:space="preserve">S$35.7 (95% UI: S$32.8–S$39.0)</w:t>
            </w:r>
          </w:p>
        </w:tc>
        <w:tc>
          <w:tcPr/>
          <w:p>
            <w:pPr>
              <w:pStyle w:val="Compact"/>
            </w:pPr>
            <w:r>
              <w:t xml:space="preserve">S$53.5 (95% UI: S$49.3–S$58.4)</w:t>
            </w:r>
          </w:p>
        </w:tc>
      </w:tr>
      <w:tr>
        <w:tc>
          <w:tcPr/>
          <w:p>
            <w:pPr>
              <w:pStyle w:val="Compact"/>
            </w:pPr>
            <w:r>
              <w:t xml:space="preserve">J + 8,000/year, F 75%</w:t>
            </w:r>
          </w:p>
        </w:tc>
        <w:tc>
          <w:tcPr/>
          <w:p>
            <w:pPr>
              <w:pStyle w:val="Compact"/>
            </w:pPr>
            <w:r>
              <w:t xml:space="preserve">S$22.7 (95% UI: S$21.0–S$24.6)</w:t>
            </w:r>
          </w:p>
        </w:tc>
        <w:tc>
          <w:tcPr/>
          <w:p>
            <w:pPr>
              <w:pStyle w:val="Compact"/>
            </w:pPr>
            <w:r>
              <w:t xml:space="preserve">S$45.4 (95% UI: S$42.0–S$49.2)</w:t>
            </w:r>
          </w:p>
        </w:tc>
        <w:tc>
          <w:tcPr/>
          <w:p>
            <w:pPr>
              <w:pStyle w:val="Compact"/>
            </w:pPr>
            <w:r>
              <w:t xml:space="preserve">S$68.0 (95% UI: S$62.9–S$73.8)</w:t>
            </w:r>
          </w:p>
        </w:tc>
      </w:tr>
      <w:tr>
        <w:tc>
          <w:tcPr/>
          <w:p>
            <w:pPr>
              <w:pStyle w:val="Compact"/>
            </w:pPr>
            <w:r>
              <w:t xml:space="preserve">J + no screening cap</w:t>
            </w:r>
          </w:p>
        </w:tc>
        <w:tc>
          <w:tcPr/>
          <w:p>
            <w:pPr>
              <w:pStyle w:val="Compact"/>
            </w:pPr>
            <w:r>
              <w:t xml:space="preserve">S$46.1 (95% UI: S$41.7–S$51.6)</w:t>
            </w:r>
          </w:p>
        </w:tc>
        <w:tc>
          <w:tcPr/>
          <w:p>
            <w:pPr>
              <w:pStyle w:val="Compact"/>
            </w:pPr>
            <w:r>
              <w:t xml:space="preserve">S$92.2 (95% UI: S$83.4–S$103.1)</w:t>
            </w:r>
          </w:p>
        </w:tc>
        <w:tc>
          <w:tcPr/>
          <w:p>
            <w:pPr>
              <w:pStyle w:val="Compact"/>
            </w:pPr>
            <w:r>
              <w:t xml:space="preserve">S$138.2 (95% UI: S$125.1–S$154.7)</w:t>
            </w:r>
          </w:p>
        </w:tc>
      </w:tr>
    </w:tbl>
    <w:bookmarkEnd w:id="50"/>
    <w:bookmarkEnd w:id="51"/>
    <w:bookmarkStart w:id="52" w:name="uncertainty-analysis-and-software"/>
    <w:p>
      <w:pPr>
        <w:pStyle w:val="Heading1"/>
      </w:pPr>
      <w:r>
        <w:t xml:space="preserve">5. Uncertainty analysis and software</w:t>
      </w:r>
    </w:p>
    <w:p>
      <w:pPr>
        <w:pStyle w:val="FirstParagraph"/>
      </w:pPr>
      <w:r>
        <w:t xml:space="preserve">We sampled 2,000 parameter sets at random without replacement from the 180,000 MCMC posterior draws,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[26]</w:t>
      </w:r>
      <w:r>
        <w:t xml:space="preserve"> </w:t>
      </w:r>
      <w:r>
        <w:t xml:space="preserve">with a daily time step. MCMC ran in R. Neural posterior estimation used Python, PyTorch and sbi</w:t>
      </w:r>
      <w:r>
        <w:t xml:space="preserve"> </w:t>
      </w:r>
      <w:r>
        <w:t xml:space="preserve">[20]</w:t>
      </w:r>
      <w:r>
        <w:t xml:space="preserve">. The MCMC posterior took about 3.8 hours on four processor cores. The scenario analysis of 2,000 draws took about 17 minutes on 14 cores. The project test suite (63 checks) passed.</w:t>
      </w:r>
    </w:p>
    <w:bookmarkEnd w:id="52"/>
    <w:bookmarkStart w:id="53" w:name="further-limitations"/>
    <w:p>
      <w:pPr>
        <w:pStyle w:val="Heading1"/>
      </w:pPr>
      <w:r>
        <w:t xml:space="preserve">6. Further limitations</w:t>
      </w:r>
    </w:p>
    <w:p>
      <w:pPr>
        <w:pStyle w:val="Compact"/>
        <w:numPr>
          <w:ilvl w:val="0"/>
          <w:numId w:val="1003"/>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[27,28]</w:t>
      </w:r>
      <w:r>
        <w:t xml:space="preserve">.</w:t>
      </w:r>
    </w:p>
    <w:p>
      <w:pPr>
        <w:pStyle w:val="Compact"/>
        <w:numPr>
          <w:ilvl w:val="0"/>
          <w:numId w:val="1003"/>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[29]</w:t>
      </w:r>
      <w:r>
        <w:t xml:space="preserve">. The model gave 117 (95% UI: 102–134) prison treatment starts in 2026 because most prevalent cases had been treated by then.</w:t>
      </w:r>
    </w:p>
    <w:p>
      <w:pPr>
        <w:pStyle w:val="Compact"/>
        <w:numPr>
          <w:ilvl w:val="0"/>
          <w:numId w:val="1003"/>
        </w:numPr>
      </w:pPr>
      <w:r>
        <w:rPr>
          <w:b/>
          <w:bCs/>
        </w:rPr>
        <w:t xml:space="preserve">Linkage to care.</w:t>
      </w:r>
      <w:r>
        <w:t xml:space="preserve"> </w:t>
      </w:r>
      <w:r>
        <w:t xml:space="preserve">Screening, confirmation and treatment start were assumed to be complete. Real linkage is lower</w:t>
      </w:r>
      <w:r>
        <w:t xml:space="preserve"> </w:t>
      </w:r>
      <w:r>
        <w:t xml:space="preserve">[30,31]</w:t>
      </w:r>
      <w:r>
        <w:t xml:space="preserve">.</w:t>
      </w:r>
    </w:p>
    <w:p>
      <w:pPr>
        <w:pStyle w:val="Compact"/>
        <w:numPr>
          <w:ilvl w:val="0"/>
          <w:numId w:val="1003"/>
        </w:numPr>
      </w:pPr>
      <w:r>
        <w:rPr>
          <w:b/>
          <w:bCs/>
        </w:rPr>
        <w:t xml:space="preserve">Group X.</w:t>
      </w:r>
      <w:r>
        <w:t xml:space="preserve"> </w:t>
      </w:r>
      <w:r>
        <w:t xml:space="preserve">People in X cannot relapse or be reinfected. Relapse would add transmission and reinfection.</w:t>
      </w:r>
    </w:p>
    <w:p>
      <w:pPr>
        <w:pStyle w:val="Compact"/>
        <w:numPr>
          <w:ilvl w:val="0"/>
          <w:numId w:val="1003"/>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3"/>
        </w:numPr>
      </w:pPr>
      <w:r>
        <w:rPr>
          <w:b/>
          <w:bCs/>
        </w:rPr>
        <w:t xml:space="preserve">Costs.</w:t>
      </w:r>
      <w:r>
        <w:t xml:space="preserve"> </w:t>
      </w:r>
      <w:r>
        <w:t xml:space="preserve">Prices are public list prices and an older drug price. Many programme costs are not included.</w:t>
      </w:r>
    </w:p>
    <w:p>
      <w:pPr>
        <w:pStyle w:val="Compact"/>
        <w:numPr>
          <w:ilvl w:val="0"/>
          <w:numId w:val="1003"/>
        </w:numPr>
      </w:pPr>
      <w:r>
        <w:rPr>
          <w:b/>
          <w:bCs/>
        </w:rPr>
        <w:t xml:space="preserve">Uncertainty.</w:t>
      </w:r>
      <w:r>
        <w:t xml:space="preserve"> </w:t>
      </w:r>
      <w:r>
        <w:t xml:space="preserve">The UIs reflect calibrated parameters only. Fixed natural history parameters, uptake and price were not varied.</w:t>
      </w:r>
    </w:p>
    <w:p>
      <w:pPr>
        <w:pStyle w:val="Compact"/>
        <w:numPr>
          <w:ilvl w:val="0"/>
          <w:numId w:val="1003"/>
        </w:numPr>
      </w:pPr>
      <w:r>
        <w:rPr>
          <w:b/>
          <w:bCs/>
        </w:rPr>
        <w:t xml:space="preserve">Prior.</w:t>
      </w:r>
      <w:r>
        <w:t xml:space="preserve"> </w:t>
      </w:r>
      <w:r>
        <w:t xml:space="preserve">The prior was centred on a deterministic fit to the same 12 observations. For θ6, θ9 and θ12 the posterior standard deviation was 85% to 98% of the prior standard deviation, so the 0.20 prior width partly sets their uncertainty.</w:t>
      </w:r>
    </w:p>
    <w:bookmarkEnd w:id="53"/>
    <w:bookmarkStart w:id="54"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2.4, 2.5, 4.3,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S8</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2.5, 4.3</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4"/>
    <w:bookmarkStart w:id="115" w:name="references"/>
    <w:p>
      <w:pPr>
        <w:pStyle w:val="Heading1"/>
      </w:pPr>
      <w:r>
        <w:t xml:space="preserve">References</w:t>
      </w:r>
    </w:p>
    <w:bookmarkStart w:id="114" w:name="refs"/>
    <w:bookmarkStart w:id="56"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5">
        <w:r>
          <w:rPr>
            <w:rStyle w:val="Hyperlink"/>
          </w:rPr>
          <w:t xml:space="preserve">10.1371/journal.pone.0100749</w:t>
        </w:r>
      </w:hyperlink>
    </w:p>
    <w:bookmarkEnd w:id="56"/>
    <w:bookmarkStart w:id="58"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7">
        <w:r>
          <w:rPr>
            <w:rStyle w:val="Hyperlink"/>
          </w:rPr>
          <w:t xml:space="preserve">10.3390/v16111739</w:t>
        </w:r>
      </w:hyperlink>
    </w:p>
    <w:bookmarkEnd w:id="58"/>
    <w:bookmarkStart w:id="60"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59">
        <w:r>
          <w:rPr>
            <w:rStyle w:val="Hyperlink"/>
          </w:rPr>
          <w:t xml:space="preserve">10.1046/j.1440-1746.2000.02112.x</w:t>
        </w:r>
      </w:hyperlink>
    </w:p>
    <w:bookmarkEnd w:id="60"/>
    <w:bookmarkStart w:id="62"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1">
        <w:r>
          <w:rPr>
            <w:rStyle w:val="Hyperlink"/>
          </w:rPr>
          <w:t xml:space="preserve">10.1111/j.1365-2893.2005.00651.x</w:t>
        </w:r>
      </w:hyperlink>
    </w:p>
    <w:bookmarkEnd w:id="62"/>
    <w:bookmarkStart w:id="64"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3">
        <w:r>
          <w:rPr>
            <w:rStyle w:val="Hyperlink"/>
          </w:rPr>
          <w:t xml:space="preserve">10.1016/j.hbpd.2018.12.002</w:t>
        </w:r>
      </w:hyperlink>
    </w:p>
    <w:bookmarkEnd w:id="64"/>
    <w:bookmarkStart w:id="66"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5">
        <w:r>
          <w:rPr>
            <w:rStyle w:val="Hyperlink"/>
          </w:rPr>
          <w:t xml:space="preserve">10.1002/hep.27095</w:t>
        </w:r>
      </w:hyperlink>
    </w:p>
    <w:bookmarkEnd w:id="66"/>
    <w:bookmarkStart w:id="68"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7">
        <w:r>
          <w:rPr>
            <w:rStyle w:val="Hyperlink"/>
          </w:rPr>
          <w:t xml:space="preserve">10.1001/jama.2012.144878</w:t>
        </w:r>
      </w:hyperlink>
    </w:p>
    <w:bookmarkEnd w:id="68"/>
    <w:bookmarkStart w:id="70"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69">
        <w:r>
          <w:rPr>
            <w:rStyle w:val="Hyperlink"/>
          </w:rPr>
          <w:t xml:space="preserve">10.7326/0003-4819-158-5-201303050-00005</w:t>
        </w:r>
      </w:hyperlink>
    </w:p>
    <w:bookmarkEnd w:id="70"/>
    <w:bookmarkStart w:id="72"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1">
        <w:r>
          <w:rPr>
            <w:rStyle w:val="Hyperlink"/>
          </w:rPr>
          <w:t xml:space="preserve">10.1053/j.gastro.2024.08.018</w:t>
        </w:r>
      </w:hyperlink>
    </w:p>
    <w:bookmarkEnd w:id="72"/>
    <w:bookmarkStart w:id="74"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3">
        <w:r>
          <w:rPr>
            <w:rStyle w:val="Hyperlink"/>
          </w:rPr>
          <w:t xml:space="preserve">10.1002/hep.30988</w:t>
        </w:r>
      </w:hyperlink>
    </w:p>
    <w:bookmarkEnd w:id="74"/>
    <w:bookmarkStart w:id="76" w:name="ref-mathers2013"/>
    <w:p>
      <w:pPr>
        <w:pStyle w:val="Bibliography"/>
      </w:pPr>
      <w:r>
        <w:t xml:space="preserve">11.</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75">
        <w:r>
          <w:rPr>
            <w:rStyle w:val="Hyperlink"/>
          </w:rPr>
          <w:t xml:space="preserve">10.2471/blt.12.108282</w:t>
        </w:r>
      </w:hyperlink>
    </w:p>
    <w:bookmarkEnd w:id="76"/>
    <w:bookmarkStart w:id="78"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7">
        <w:r>
          <w:rPr>
            <w:rStyle w:val="Hyperlink"/>
          </w:rPr>
          <w:t xml:space="preserve">10.1093/ije/dyx270</w:t>
        </w:r>
      </w:hyperlink>
    </w:p>
    <w:bookmarkEnd w:id="78"/>
    <w:bookmarkStart w:id="80" w:name="ref-pawlotsky2020"/>
    <w:p>
      <w:pPr>
        <w:pStyle w:val="Bibliography"/>
      </w:pPr>
      <w:r>
        <w:t xml:space="preserve">13.</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79">
        <w:r>
          <w:rPr>
            <w:rStyle w:val="Hyperlink"/>
          </w:rPr>
          <w:t xml:space="preserve">10.1016/j.jhep.2020.08.018</w:t>
        </w:r>
      </w:hyperlink>
    </w:p>
    <w:bookmarkEnd w:id="80"/>
    <w:bookmarkStart w:id="82" w:name="ref-xiao2025"/>
    <w:p>
      <w:pPr>
        <w:pStyle w:val="Bibliography"/>
      </w:pPr>
      <w:r>
        <w:t xml:space="preserve">14.</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1">
        <w:r>
          <w:rPr>
            <w:rStyle w:val="Hyperlink"/>
          </w:rPr>
          <w:t xml:space="preserve">10.1111/jvh.70078</w:t>
        </w:r>
      </w:hyperlink>
    </w:p>
    <w:bookmarkEnd w:id="82"/>
    <w:bookmarkStart w:id="84" w:name="ref-thein2008"/>
    <w:p>
      <w:pPr>
        <w:pStyle w:val="Bibliography"/>
      </w:pPr>
      <w:r>
        <w:t xml:space="preserve">15.</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3">
        <w:r>
          <w:rPr>
            <w:rStyle w:val="Hyperlink"/>
          </w:rPr>
          <w:t xml:space="preserve">10.1002/hep.22375</w:t>
        </w:r>
      </w:hyperlink>
    </w:p>
    <w:bookmarkEnd w:id="84"/>
    <w:bookmarkStart w:id="86" w:name="ref-singstat_drug"/>
    <w:p>
      <w:pPr>
        <w:pStyle w:val="Bibliography"/>
      </w:pPr>
      <w:r>
        <w:t xml:space="preserve">16.</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5">
        <w:r>
          <w:rPr>
            <w:rStyle w:val="Hyperlink"/>
          </w:rPr>
          <w:t xml:space="preserve">https://data.gov.sg/datasets/d_f174679381e9085e32869c32bdb01b87/view</w:t>
        </w:r>
      </w:hyperlink>
    </w:p>
    <w:bookmarkEnd w:id="86"/>
    <w:bookmarkStart w:id="88" w:name="ref-haario2001"/>
    <w:p>
      <w:pPr>
        <w:pStyle w:val="Bibliography"/>
      </w:pPr>
      <w:r>
        <w:t xml:space="preserve">17.</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7">
        <w:r>
          <w:rPr>
            <w:rStyle w:val="Hyperlink"/>
          </w:rPr>
          <w:t xml:space="preserve">10.2307/3318737</w:t>
        </w:r>
      </w:hyperlink>
    </w:p>
    <w:bookmarkEnd w:id="88"/>
    <w:bookmarkStart w:id="90" w:name="ref-vehtari2021"/>
    <w:p>
      <w:pPr>
        <w:pStyle w:val="Bibliography"/>
      </w:pPr>
      <w:r>
        <w:t xml:space="preserve">18.</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89">
        <w:r>
          <w:rPr>
            <w:rStyle w:val="Hyperlink"/>
          </w:rPr>
          <w:t xml:space="preserve">10.1214/20-BA1221</w:t>
        </w:r>
      </w:hyperlink>
    </w:p>
    <w:bookmarkEnd w:id="90"/>
    <w:bookmarkStart w:id="91" w:name="ref-greenberg2019"/>
    <w:p>
      <w:pPr>
        <w:pStyle w:val="Bibliography"/>
      </w:pPr>
      <w:r>
        <w:t xml:space="preserve">19.</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1"/>
    <w:bookmarkStart w:id="93" w:name="ref-sbi2020"/>
    <w:p>
      <w:pPr>
        <w:pStyle w:val="Bibliography"/>
      </w:pPr>
      <w:r>
        <w:t xml:space="preserve">20.</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2">
        <w:r>
          <w:rPr>
            <w:rStyle w:val="Hyperlink"/>
          </w:rPr>
          <w:t xml:space="preserve">10.21105/joss.02505</w:t>
        </w:r>
      </w:hyperlink>
    </w:p>
    <w:bookmarkEnd w:id="93"/>
    <w:bookmarkStart w:id="94" w:name="ref-papamakarios2017"/>
    <w:p>
      <w:pPr>
        <w:pStyle w:val="Bibliography"/>
      </w:pPr>
      <w:r>
        <w:t xml:space="preserve">21.</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4"/>
    <w:bookmarkStart w:id="96" w:name="ref-wong2019"/>
    <w:p>
      <w:pPr>
        <w:pStyle w:val="Bibliography"/>
      </w:pPr>
      <w:r>
        <w:t xml:space="preserve">22.</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5">
        <w:r>
          <w:rPr>
            <w:rStyle w:val="Hyperlink"/>
          </w:rPr>
          <w:t xml:space="preserve">10.1002/jgh3.12139</w:t>
        </w:r>
      </w:hyperlink>
    </w:p>
    <w:bookmarkEnd w:id="96"/>
    <w:bookmarkStart w:id="98" w:name="ref-sgd_rate"/>
    <w:p>
      <w:pPr>
        <w:pStyle w:val="Bibliography"/>
      </w:pPr>
      <w:r>
        <w:t xml:space="preserve">23.</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97">
        <w:r>
          <w:rPr>
            <w:rStyle w:val="Hyperlink"/>
          </w:rPr>
          <w:t xml:space="preserve">https://data.gov.sg/datasets/d_b09aeaf8eb591c4bfe347b66148c6b53/view</w:t>
        </w:r>
      </w:hyperlink>
    </w:p>
    <w:bookmarkEnd w:id="98"/>
    <w:bookmarkStart w:id="100" w:name="ref-nhg_dsc"/>
    <w:p>
      <w:pPr>
        <w:pStyle w:val="Bibliography"/>
      </w:pPr>
      <w:r>
        <w:t xml:space="preserve">24.</w:t>
      </w:r>
      <w:r>
        <w:t xml:space="preserve"> </w:t>
      </w:r>
      <w:r>
        <w:t xml:space="preserve">	</w:t>
      </w:r>
      <w:r>
        <w:t xml:space="preserve">National Healthcare Group.</w:t>
      </w:r>
      <w:r>
        <w:t xml:space="preserve"> </w:t>
      </w:r>
      <w:r>
        <w:t xml:space="preserve">DSC clinic charges</w:t>
      </w:r>
      <w:r>
        <w:t xml:space="preserve">. Available:</w:t>
      </w:r>
      <w:r>
        <w:t xml:space="preserve"> </w:t>
      </w:r>
      <w:hyperlink r:id="rId99">
        <w:r>
          <w:rPr>
            <w:rStyle w:val="Hyperlink"/>
          </w:rPr>
          <w:t xml:space="preserve">https://www.nhghealth.com.sg/nsc/about-dsc-clinic/dsc-patient-information/dsc-services/clinic-charges/</w:t>
        </w:r>
      </w:hyperlink>
    </w:p>
    <w:bookmarkEnd w:id="100"/>
    <w:bookmarkStart w:id="102" w:name="ref-parkway_rna"/>
    <w:p>
      <w:pPr>
        <w:pStyle w:val="Bibliography"/>
      </w:pPr>
      <w:r>
        <w:t xml:space="preserve">25.</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1">
        <w:r>
          <w:rPr>
            <w:rStyle w:val="Hyperlink"/>
          </w:rPr>
          <w:t xml:space="preserve">https://www.parkwaylabs.com.sg/docs/parkwaylablibraries/test-catalogues/send-out-test-price.pdf</w:t>
        </w:r>
      </w:hyperlink>
    </w:p>
    <w:bookmarkEnd w:id="102"/>
    <w:bookmarkStart w:id="104" w:name="ref-rcpp2011"/>
    <w:p>
      <w:pPr>
        <w:pStyle w:val="Bibliography"/>
      </w:pPr>
      <w:r>
        <w:t xml:space="preserve">26.</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3">
        <w:r>
          <w:rPr>
            <w:rStyle w:val="Hyperlink"/>
          </w:rPr>
          <w:t xml:space="preserve">10.18637/jss.v040.i08</w:t>
        </w:r>
      </w:hyperlink>
    </w:p>
    <w:bookmarkEnd w:id="104"/>
    <w:bookmarkStart w:id="105" w:name="ref-who2023validation"/>
    <w:p>
      <w:pPr>
        <w:pStyle w:val="Bibliography"/>
      </w:pPr>
      <w:r>
        <w:t xml:space="preserve">27.</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05"/>
    <w:bookmarkStart w:id="107" w:name="ref-cda_hcv"/>
    <w:p>
      <w:pPr>
        <w:pStyle w:val="Bibliography"/>
      </w:pPr>
      <w:r>
        <w:t xml:space="preserve">28.</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06">
        <w:r>
          <w:rPr>
            <w:rStyle w:val="Hyperlink"/>
          </w:rPr>
          <w:t xml:space="preserve">https://www.cda.gov.sg/professionals/diseases/hepatitis-c/</w:t>
        </w:r>
      </w:hyperlink>
    </w:p>
    <w:bookmarkEnd w:id="107"/>
    <w:bookmarkStart w:id="109" w:name="ref-prison2021"/>
    <w:p>
      <w:pPr>
        <w:pStyle w:val="Bibliography"/>
      </w:pPr>
      <w:r>
        <w:t xml:space="preserve">29.</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08">
        <w:r>
          <w:rPr>
            <w:rStyle w:val="Hyperlink"/>
          </w:rPr>
          <w:t xml:space="preserve">10.3350/cmh.2021.0015</w:t>
        </w:r>
      </w:hyperlink>
    </w:p>
    <w:bookmarkEnd w:id="109"/>
    <w:bookmarkStart w:id="111" w:name="ref-hsiang2022"/>
    <w:p>
      <w:pPr>
        <w:pStyle w:val="Bibliography"/>
      </w:pPr>
      <w:r>
        <w:t xml:space="preserve">30.</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0">
        <w:r>
          <w:rPr>
            <w:rStyle w:val="Hyperlink"/>
          </w:rPr>
          <w:t xml:space="preserve">10.11622/smedj.2020116</w:t>
        </w:r>
      </w:hyperlink>
    </w:p>
    <w:bookmarkEnd w:id="111"/>
    <w:bookmarkStart w:id="113" w:name="ref-clink2022"/>
    <w:p>
      <w:pPr>
        <w:pStyle w:val="Bibliography"/>
      </w:pPr>
      <w:r>
        <w:t xml:space="preserve">31.</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2">
        <w:r>
          <w:rPr>
            <w:rStyle w:val="Hyperlink"/>
          </w:rPr>
          <w:t xml:space="preserve">10.1093/ofid/ofac350</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97" Target="https://data.gov.sg/datasets/d_b09aeaf8eb591c4bfe347b66148c6b53/view" TargetMode="External" /><Relationship Type="http://schemas.openxmlformats.org/officeDocument/2006/relationships/hyperlink" Id="rId85"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3"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5"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79"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112" Target="https://doi.org/10.1093/ofid/ofac350" TargetMode="External" /><Relationship Type="http://schemas.openxmlformats.org/officeDocument/2006/relationships/hyperlink" Id="rId61" Target="https://doi.org/10.1111/j.1365-2893.2005.00651.x" TargetMode="External" /><Relationship Type="http://schemas.openxmlformats.org/officeDocument/2006/relationships/hyperlink" Id="rId81" Target="https://doi.org/10.1111/jvh.70078" TargetMode="External" /><Relationship Type="http://schemas.openxmlformats.org/officeDocument/2006/relationships/hyperlink" Id="rId110" Target="https://doi.org/10.11622/smedj.2020116" TargetMode="External" /><Relationship Type="http://schemas.openxmlformats.org/officeDocument/2006/relationships/hyperlink" Id="rId89"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3" Target="https://doi.org/10.18637/jss.v040.i08" TargetMode="External" /><Relationship Type="http://schemas.openxmlformats.org/officeDocument/2006/relationships/hyperlink" Id="rId92" Target="https://doi.org/10.21105/joss.02505" TargetMode="External" /><Relationship Type="http://schemas.openxmlformats.org/officeDocument/2006/relationships/hyperlink" Id="rId87" Target="https://doi.org/10.2307/3318737" TargetMode="External" /><Relationship Type="http://schemas.openxmlformats.org/officeDocument/2006/relationships/hyperlink" Id="rId75" Target="https://doi.org/10.2471/blt.12.108282" TargetMode="External" /><Relationship Type="http://schemas.openxmlformats.org/officeDocument/2006/relationships/hyperlink" Id="rId108"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6" Target="https://www.cda.gov.sg/professionals/diseases/hepatitis-c/" TargetMode="External" /><Relationship Type="http://schemas.openxmlformats.org/officeDocument/2006/relationships/hyperlink" Id="rId99" Target="https://www.nhghealth.com.sg/nsc/about-dsc-clinic/dsc-patient-information/dsc-services/clinic-charges/" TargetMode="External" /><Relationship Type="http://schemas.openxmlformats.org/officeDocument/2006/relationships/hyperlink" Id="rId101"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97" Target="https://data.gov.sg/datasets/d_b09aeaf8eb591c4bfe347b66148c6b53/view" TargetMode="External" /><Relationship Type="http://schemas.openxmlformats.org/officeDocument/2006/relationships/hyperlink" Id="rId85"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3"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5"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79"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112" Target="https://doi.org/10.1093/ofid/ofac350" TargetMode="External" /><Relationship Type="http://schemas.openxmlformats.org/officeDocument/2006/relationships/hyperlink" Id="rId61" Target="https://doi.org/10.1111/j.1365-2893.2005.00651.x" TargetMode="External" /><Relationship Type="http://schemas.openxmlformats.org/officeDocument/2006/relationships/hyperlink" Id="rId81" Target="https://doi.org/10.1111/jvh.70078" TargetMode="External" /><Relationship Type="http://schemas.openxmlformats.org/officeDocument/2006/relationships/hyperlink" Id="rId110" Target="https://doi.org/10.11622/smedj.2020116" TargetMode="External" /><Relationship Type="http://schemas.openxmlformats.org/officeDocument/2006/relationships/hyperlink" Id="rId89"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3" Target="https://doi.org/10.18637/jss.v040.i08" TargetMode="External" /><Relationship Type="http://schemas.openxmlformats.org/officeDocument/2006/relationships/hyperlink" Id="rId92" Target="https://doi.org/10.21105/joss.02505" TargetMode="External" /><Relationship Type="http://schemas.openxmlformats.org/officeDocument/2006/relationships/hyperlink" Id="rId87" Target="https://doi.org/10.2307/3318737" TargetMode="External" /><Relationship Type="http://schemas.openxmlformats.org/officeDocument/2006/relationships/hyperlink" Id="rId75" Target="https://doi.org/10.2471/blt.12.108282" TargetMode="External" /><Relationship Type="http://schemas.openxmlformats.org/officeDocument/2006/relationships/hyperlink" Id="rId108"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6" Target="https://www.cda.gov.sg/professionals/diseases/hepatitis-c/" TargetMode="External" /><Relationship Type="http://schemas.openxmlformats.org/officeDocument/2006/relationships/hyperlink" Id="rId99" Target="https://www.nhghealth.com.sg/nsc/about-dsc-clinic/dsc-patient-information/dsc-services/clinic-charges/" TargetMode="External" /><Relationship Type="http://schemas.openxmlformats.org/officeDocument/2006/relationships/hyperlink" Id="rId101"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2026-10-11T05:24:34Z</dcterms:created>
  <dcterms:modified xsi:type="dcterms:W3CDTF">2026-10-11T05:24:34Z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