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_plos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S1 Checklist. CHEERS 2022 checklist</w:t>
      </w:r>
    </w:p>
    <w:p>
      <w:pPr>
        <w:pStyle w:val="FirstParagraph"/>
      </w:pPr>
      <w:r>
        <w:t xml:space="preserve">Items follow the CHEERS 2022 statement</w:t>
      </w:r>
      <w:r>
        <w:t xml:space="preserve"> </w:t>
      </w:r>
      <w:r>
        <w:t xml:space="preserve">[1]</w:t>
      </w:r>
      <w:r>
        <w:t xml:space="preserve">; the item wording and the locations below are to be checked by the authors against the official checklist before submission.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Topic</w:t>
            </w:r>
          </w:p>
        </w:tc>
        <w:tc>
          <w:tcPr/>
          <w:p>
            <w:pPr>
              <w:pStyle w:val="Compact"/>
            </w:pPr>
            <w:r>
              <w:t xml:space="preserve">Where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Title</w:t>
            </w:r>
          </w:p>
        </w:tc>
        <w:tc>
          <w:tcPr/>
          <w:p>
            <w:pPr>
              <w:pStyle w:val="Compact"/>
            </w:pPr>
            <w:r>
              <w:t xml:space="preserve">Title page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  <w:tc>
          <w:tcPr/>
          <w:p>
            <w:pPr>
              <w:pStyle w:val="Compact"/>
            </w:pPr>
            <w:r>
              <w:t xml:space="preserve">Abstract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Background and objectives</w:t>
            </w:r>
          </w:p>
        </w:tc>
        <w:tc>
          <w:tcPr/>
          <w:p>
            <w:pPr>
              <w:pStyle w:val="Compact"/>
            </w:pPr>
            <w:r>
              <w:t xml:space="preserve">Introduction, last paragraph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Health economic analysis plan</w:t>
            </w:r>
          </w:p>
        </w:tc>
        <w:tc>
          <w:tcPr/>
          <w:p>
            <w:pPr>
              <w:pStyle w:val="Compact"/>
            </w:pPr>
            <w:r>
              <w:t xml:space="preserve">Not available: no analysis plan was registered (Methods, Study design)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Study population</w:t>
            </w:r>
          </w:p>
        </w:tc>
        <w:tc>
          <w:tcPr/>
          <w:p>
            <w:pPr>
              <w:pStyle w:val="Compact"/>
            </w:pPr>
            <w:r>
              <w:t xml:space="preserve">Methods, Model structure; S1 Text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Setting and location</w:t>
            </w:r>
          </w:p>
        </w:tc>
        <w:tc>
          <w:tcPr/>
          <w:p>
            <w:pPr>
              <w:pStyle w:val="Compact"/>
            </w:pPr>
            <w:r>
              <w:t xml:space="preserve">Methods, Model structure (Singapore)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Comparators</w:t>
            </w:r>
          </w:p>
        </w:tc>
        <w:tc>
          <w:tcPr/>
          <w:p>
            <w:pPr>
              <w:pStyle w:val="Compact"/>
            </w:pPr>
            <w:r>
              <w:t xml:space="preserve">Methods, Policy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Perspective</w:t>
            </w:r>
          </w:p>
        </w:tc>
        <w:tc>
          <w:tcPr/>
          <w:p>
            <w:pPr>
              <w:pStyle w:val="Compact"/>
            </w:pPr>
            <w:r>
              <w:t xml:space="preserve">Methods, Costs (charges; payer perspective not available)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Time horizon</w:t>
            </w:r>
          </w:p>
        </w:tc>
        <w:tc>
          <w:tcPr/>
          <w:p>
            <w:pPr>
              <w:pStyle w:val="Compact"/>
            </w:pPr>
            <w:r>
              <w:t xml:space="preserve">Methods, Policy scenarios (2026–2030)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Discount rate</w:t>
            </w:r>
          </w:p>
        </w:tc>
        <w:tc>
          <w:tcPr/>
          <w:p>
            <w:pPr>
              <w:pStyle w:val="Compact"/>
            </w:pPr>
            <w:r>
              <w:t xml:space="preserve">Methods, Costs; S1 Text 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Selection of outcomes</w:t>
            </w:r>
          </w:p>
        </w:tc>
        <w:tc>
          <w:tcPr/>
          <w:p>
            <w:pPr>
              <w:pStyle w:val="Compact"/>
            </w:pPr>
            <w:r>
              <w:t xml:space="preserve">Methods, Outcomes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Measurement of outcomes</w:t>
            </w:r>
          </w:p>
        </w:tc>
        <w:tc>
          <w:tcPr/>
          <w:p>
            <w:pPr>
              <w:pStyle w:val="Compact"/>
            </w:pPr>
            <w:r>
              <w:t xml:space="preserve">Methods, Outcomes; S1 Text Section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Valuation of outcomes</w:t>
            </w:r>
          </w:p>
        </w:tc>
        <w:tc>
          <w:tcPr/>
          <w:p>
            <w:pPr>
              <w:pStyle w:val="Compact"/>
            </w:pPr>
            <w:r>
              <w:t xml:space="preserve">Not applicable: outcomes were not valued (no utilities)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Measurement and valuation of resources and costs</w:t>
            </w:r>
          </w:p>
        </w:tc>
        <w:tc>
          <w:tcPr/>
          <w:p>
            <w:pPr>
              <w:pStyle w:val="Compact"/>
            </w:pPr>
            <w:r>
              <w:t xml:space="preserve">Methods, Costs; S1 Text Table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Currency, price date, and conversion</w:t>
            </w:r>
          </w:p>
        </w:tc>
        <w:tc>
          <w:tcPr/>
          <w:p>
            <w:pPr>
              <w:pStyle w:val="Compact"/>
            </w:pPr>
            <w:r>
              <w:t xml:space="preserve">Methods, Costs; S1 Text Section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Rationale and description of model</w:t>
            </w:r>
          </w:p>
        </w:tc>
        <w:tc>
          <w:tcPr/>
          <w:p>
            <w:pPr>
              <w:pStyle w:val="Compact"/>
            </w:pPr>
            <w:r>
              <w:t xml:space="preserve">Methods, Model structure; S1 Text Section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Analytics and assumptions</w:t>
            </w:r>
          </w:p>
        </w:tc>
        <w:tc>
          <w:tcPr/>
          <w:p>
            <w:pPr>
              <w:pStyle w:val="Compact"/>
            </w:pPr>
            <w:r>
              <w:t xml:space="preserve">Methods; S1 Text Sections 1, 4 and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Characterising heterogeneity</w:t>
            </w:r>
          </w:p>
        </w:tc>
        <w:tc>
          <w:tcPr/>
          <w:p>
            <w:pPr>
              <w:pStyle w:val="Compact"/>
            </w:pPr>
            <w:r>
              <w:t xml:space="preserve">Results by group (D, J, F, X) and age; S1 Text Section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Characterising distributional effects</w:t>
            </w:r>
          </w:p>
        </w:tc>
        <w:tc>
          <w:tcPr/>
          <w:p>
            <w:pPr>
              <w:pStyle w:val="Compact"/>
            </w:pPr>
            <w:r>
              <w:t xml:space="preserve">Not addressed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Characterising uncertainty</w:t>
            </w:r>
          </w:p>
        </w:tc>
        <w:tc>
          <w:tcPr/>
          <w:p>
            <w:pPr>
              <w:pStyle w:val="Compact"/>
            </w:pPr>
            <w:r>
              <w:t xml:space="preserve">Methods, Uncertainty; S1 Text Section 8 (price sensitivity)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Approach to engagement with patients and others affected by the study</w:t>
            </w:r>
          </w:p>
        </w:tc>
        <w:tc>
          <w:tcPr/>
          <w:p>
            <w:pPr>
              <w:pStyle w:val="Compact"/>
            </w:pPr>
            <w:r>
              <w:t xml:space="preserve">Not addressed: no engagement (to be confirmed by the authors)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Study parameters</w:t>
            </w:r>
          </w:p>
        </w:tc>
        <w:tc>
          <w:tcPr/>
          <w:p>
            <w:pPr>
              <w:pStyle w:val="Compact"/>
            </w:pPr>
            <w:r>
              <w:t xml:space="preserve">S1 Text Tables A, B, D and H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Summary of main results</w:t>
            </w:r>
          </w:p>
        </w:tc>
        <w:tc>
          <w:tcPr/>
          <w:p>
            <w:pPr>
              <w:pStyle w:val="Compact"/>
            </w:pPr>
            <w:r>
              <w:t xml:space="preserve">Results; Table 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24</w:t>
            </w:r>
          </w:p>
        </w:tc>
        <w:tc>
          <w:tcPr/>
          <w:p>
            <w:pPr>
              <w:pStyle w:val="Compact"/>
            </w:pPr>
            <w:r>
              <w:t xml:space="preserve">Effect of uncertainty</w:t>
            </w:r>
          </w:p>
        </w:tc>
        <w:tc>
          <w:tcPr/>
          <w:p>
            <w:pPr>
              <w:pStyle w:val="Compact"/>
            </w:pPr>
            <w:r>
              <w:t xml:space="preserve">Results (uncertainty intervals and probabilities); S1 Text Table I</w:t>
            </w:r>
          </w:p>
        </w:tc>
      </w:tr>
      <w:tr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Effect of engagement with patients and others affected by the study</w:t>
            </w:r>
          </w:p>
        </w:tc>
        <w:tc>
          <w:tcPr/>
          <w:p>
            <w:pPr>
              <w:pStyle w:val="Compact"/>
            </w:pPr>
            <w:r>
              <w:t xml:space="preserve">Not applicable: no engagement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26</w:t>
            </w:r>
          </w:p>
        </w:tc>
        <w:tc>
          <w:tcPr/>
          <w:p>
            <w:pPr>
              <w:pStyle w:val="Compact"/>
            </w:pPr>
            <w:r>
              <w:t xml:space="preserve">Study findings, limitations, generalisability, and current knowledge</w:t>
            </w:r>
          </w:p>
        </w:tc>
        <w:tc>
          <w:tcPr/>
          <w:p>
            <w:pPr>
              <w:pStyle w:val="Compact"/>
            </w:pPr>
            <w:r>
              <w:t xml:space="preserve">Discussion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27</w:t>
            </w:r>
          </w:p>
        </w:tc>
        <w:tc>
          <w:tcPr/>
          <w:p>
            <w:pPr>
              <w:pStyle w:val="Compact"/>
            </w:pPr>
            <w:r>
              <w:t xml:space="preserve">Source of funding</w:t>
            </w:r>
          </w:p>
        </w:tc>
        <w:tc>
          <w:tcPr/>
          <w:p>
            <w:pPr>
              <w:pStyle w:val="Compact"/>
            </w:pPr>
            <w:r>
              <w:t xml:space="preserve">Funding statement (to be completed)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28</w:t>
            </w:r>
          </w:p>
        </w:tc>
        <w:tc>
          <w:tcPr/>
          <w:p>
            <w:pPr>
              <w:pStyle w:val="Compact"/>
            </w:pPr>
            <w:r>
              <w:t xml:space="preserve">Conflicts of interest</w:t>
            </w:r>
          </w:p>
        </w:tc>
        <w:tc>
          <w:tcPr/>
          <w:p>
            <w:pPr>
              <w:pStyle w:val="Compact"/>
            </w:pPr>
            <w:r>
              <w:t xml:space="preserve">Competing interests (to be completed)</w:t>
            </w:r>
          </w:p>
        </w:tc>
      </w:tr>
    </w:tbl>
    <w:bookmarkStart w:id="11" w:name="refs"/>
    <w:bookmarkStart w:id="10" w:name="ref-cheers2022"/>
    <w:p>
      <w:pPr>
        <w:pStyle w:val="Bibliography"/>
      </w:pPr>
      <w:r>
        <w:t xml:space="preserve">1.</w:t>
      </w:r>
      <w:r>
        <w:t xml:space="preserve"> </w:t>
      </w:r>
      <w:r>
        <w:t xml:space="preserve">	</w:t>
      </w:r>
      <w:r>
        <w:t xml:space="preserve">Husereau D, Drummond M, Augustovski F, Bekker-Grob E de, Briggs AH, Carswell C, et al.</w:t>
      </w:r>
      <w:r>
        <w:t xml:space="preserve"> </w:t>
      </w:r>
      <w:r>
        <w:t xml:space="preserve">Consolidated Health Economic Evaluation Reporting Standards 2022 (CHEERS 2022) statement: updated reporting guidance for health economic evaluations</w:t>
      </w:r>
      <w:r>
        <w:t xml:space="preserve">. BMJ. 2022;376: e067975. doi:</w:t>
      </w:r>
      <w:hyperlink r:id="rId9">
        <w:r>
          <w:rPr>
            <w:rStyle w:val="Hyperlink"/>
          </w:rPr>
          <w:t xml:space="preserve">10.1136/bmj-2021-067975</w:t>
        </w:r>
      </w:hyperlink>
    </w:p>
    <w:bookmarkEnd w:id="10"/>
    <w:bookmarkEnd w:id="11"/>
    <w:sectPr>
      <w:footerReference w:type="default" r:id="rIdPlosFooter"/>
      <w:lnNumType w:countBy="1" w:restart="continuous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_plos.xml><?xml version="1.0" encoding="utf-8"?>
<w:ftr xmlns:w="http://schemas.openxmlformats.org/wordprocessingml/2006/main">
  <w:p>
    <w:pPr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48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480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doi.org/10.1136/bmj-2021-067975" TargetMode="External" /><Relationship Id="rIdPlosFooter" Type="http://schemas.openxmlformats.org/officeDocument/2006/relationships/footer" Target="footer_plos.xml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doi.org/10.1136/bmj-2021-06797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S1 Checklist. CHEERS 2022 checklist</dc:title>
  <dc:creator/>
  <cp:keywords/>
  <dcterms:created xsi:type="dcterms:W3CDTF">2026-10-27T17:18:31Z</dcterms:created>
  <dcterms:modified xsi:type="dcterms:W3CDTF">2026-10-27T17:18:31Z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graphy">
    <vt:lpwstr>/Users/yichenhe/Documents/Work/HepC-Transimission-Modelling/docs/references.bib</vt:lpwstr>
  </property>
  <property fmtid="{D5CDD505-2E9C-101B-9397-08002B2CF9AE}" pid="3" name="csl">
    <vt:lpwstr>/Users/yichenhe/Documents/Work/HepC-Transimission-Modelling/docs/plos.csl</vt:lpwstr>
  </property>
</Properties>
</file>