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age specific HCV seroprevalence in prison in 2015 with Bayesian methods. Entry into injecting followed official counts of new drug users, and the first arrest rate was a calibrated multiple of the re-arrest rate.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91.5% (95% UI: 87.4%–95.1%) of the 2015 level. With prison treatment alone, new infections fell by 85.6% (95% UI: 68.9%–91.3%) by 2030, meeting the incidence target in 80% of draws, but HCV deaths fell by only 45.8% (95% UI: 44.2%–47.4%). In 2026, 90% of chronic infections among released people were in X, and 94% of HCV deaths occurred in F and X. Every screening scenario met the incidence target, but none met the mortality target. The largest mortality reduction, 60.5% (95% UI: 59.5%–61.3%), came from 8,000 tests a year with 25% to F; screening everyone eligible in F and X every year gave 71.5% (95% UI: 70.4%–71.9%). At every capacity, giving more tests to X gave larger falls in deaths. The model covers only PWID, assumes ideal linkage to treatment and was not fitted to the size of the prison population.</w:t>
      </w:r>
    </w:p>
    <w:bookmarkEnd w:id="10"/>
    <w:bookmarkStart w:id="11" w:name="conclusions"/>
    <w:p>
      <w:pPr>
        <w:pStyle w:val="Heading2"/>
      </w:pPr>
      <w:r>
        <w:t xml:space="preserve">Conclusions</w:t>
      </w:r>
    </w:p>
    <w:p>
      <w:pPr>
        <w:pStyle w:val="FirstParagraph"/>
      </w:pPr>
      <w:r>
        <w:t xml:space="preserve">In this model, prison treatment alone cuts new HCV infections by more than four fifths by 2030 but cuts HCV deaths by less than half. Most remaining deaths occur among released people who no longer inject. Community screening of up to 8,000 tests a year did not reach the mortality target; only screening everyone released every year did. Screening capacity is best directed to released people who have stopped injecting, who hold most chronic infections.</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seroprevalence data and carried uncertainty in the calibrated parameters through to the results.</w:t>
      </w:r>
    </w:p>
    <w:p>
      <w:pPr>
        <w:pStyle w:val="Compact"/>
        <w:numPr>
          <w:ilvl w:val="0"/>
          <w:numId w:val="1002"/>
        </w:numPr>
      </w:pPr>
      <w:r>
        <w:t xml:space="preserve">Prison treatment alone reduced new infections by 86% and hepatitis C deaths by 46% by 2030. It met the WHO target of 80% for infections but not the target of 65% for deaths.</w:t>
      </w:r>
    </w:p>
    <w:p>
      <w:pPr>
        <w:pStyle w:val="Compact"/>
        <w:numPr>
          <w:ilvl w:val="0"/>
          <w:numId w:val="1002"/>
        </w:numPr>
      </w:pPr>
      <w:r>
        <w:t xml:space="preserve">By 2026, nearly all chronic infections and deaths among released people were in those who had stopped injecting. Up to 8,000 screening tests a year raised the fall in deaths to at most 60%, short of the target.</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works well against transmission. Deaths come from liver disease that built up over decades and fall more slowly.</w:t>
      </w:r>
    </w:p>
    <w:p>
      <w:pPr>
        <w:pStyle w:val="Compact"/>
        <w:numPr>
          <w:ilvl w:val="0"/>
          <w:numId w:val="1003"/>
        </w:numPr>
      </w:pPr>
      <w:r>
        <w:t xml:space="preserve">Reaching the mortality target needs community screening far larger than current plans, aimed mainly at people who have stopped injecting.</w:t>
      </w:r>
    </w:p>
    <w:p>
      <w:pPr>
        <w:pStyle w:val="Compact"/>
        <w:numPr>
          <w:ilvl w:val="0"/>
          <w:numId w:val="1003"/>
        </w:numPr>
      </w:pPr>
      <w:r>
        <w:t xml:space="preserve">These results come from a model with ideal links from testing to treatment, calibrated only to seroprevalence.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the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w:t>
      </w:r>
      <w:r>
        <w:t xml:space="preserve">. Other deaths occur at the Singapore resident death rate multiplied by standardised mortality ratios for people who use drugs: 9.52 for people with viraemic infection and 4.73 for everyone else</w:t>
      </w:r>
      <w:r>
        <w:t xml:space="preserve"> </w:t>
      </w:r>
      <w:r>
        <w:t xml:space="preserve">[22]</w:t>
      </w:r>
      <w:r>
        <w:t xml:space="preserve">. The viraemic share therefore changes over time, and cure lowers a person’s death rate. Release and re-arrest rates came from Singapore Prison Service records. These records do not observe people who have never been arrested, so the first arrest rate was a calibrated multiple</w:t>
      </w:r>
      <w:r>
        <w:t xml:space="preserve"> </w:t>
      </w:r>
      <m:oMath>
        <m:r>
          <m:t>c</m:t>
        </m:r>
      </m:oMath>
      <w:r>
        <w:t xml:space="preserve"> </w:t>
      </w:r>
      <w:r>
        <w:t xml:space="preserve">of the re-arrest rate.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HCV seroprevalence among people in prison in six age groups, from the Singapore Prison Service. Seroprevalence was the only target; the size of the prison population was not fitted. Each observed seroprevalence had a beta likelihood centred on the model value with a fixed precision of 100, so no sample sizes were used. We estimated seven parameters. Six scaled the contact rates by age. The seventh,</w:t>
      </w:r>
      <w:r>
        <w:t xml:space="preserve"> </w:t>
      </w:r>
      <m:oMath>
        <m:r>
          <m:t>c</m:t>
        </m:r>
      </m:oMath>
      <w:r>
        <w:t xml:space="preserve">, multiplied the re-arrest rate to give the first arrest rate, and was bounded below at 0.5. Entry into injecting was the official annual number of new drug users by age, without scaling</w:t>
      </w:r>
      <w:r>
        <w:t xml:space="preserve"> </w:t>
      </w:r>
      <w:r>
        <w:t xml:space="preserve">[23]</w:t>
      </w:r>
      <w:r>
        <w:t xml:space="preserve">. Each model run started in model year 0 and ran for 150 years to reach equilibrium with the 2015 entry counts. The end of that period represents 2015. From 2016, entry followed the annual counts. The 2025 value was held constant to 2030.</w:t>
      </w:r>
    </w:p>
    <w:p>
      <w:pPr>
        <w:pStyle w:val="BodyText"/>
      </w:pPr>
      <w:r>
        <w:t xml:space="preserve">The prior did not depend on the data. Each log contact scale had a normal prior with mean 0 and standard deviation 1.5. The log of</w:t>
      </w:r>
      <w:r>
        <w:t xml:space="preserve"> </w:t>
      </w:r>
      <m:oMath>
        <m:r>
          <m:t>c</m:t>
        </m:r>
      </m:oMath>
      <w:r>
        <w:t xml:space="preserve"> </w:t>
      </w:r>
      <w:r>
        <w:t xml:space="preserve">had a normal prior with mean 0 and standard deviation 0.5, centred on equal first and re-arrest rates and truncated at the bounds. A multi start Nelder Mead search found the posterior mode. Parameter sets that did not reach equilibrium were excluded. We sampled the posterior with an adaptive random walk Metropolis algorithm</w:t>
      </w:r>
      <w:r>
        <w:t xml:space="preserve"> </w:t>
      </w:r>
      <w:r>
        <w:t xml:space="preserve">[24]</w:t>
      </w:r>
      <w:r>
        <w:t xml:space="preserve">. We ran four chains from independent prior draws, with 50,000 model runs each. All parameters reached rank normalised R-hat below 1.01</w:t>
      </w:r>
      <w:r>
        <w:t xml:space="preserve"> </w:t>
      </w:r>
      <w:r>
        <w:t xml:space="preserve">[25]</w:t>
      </w:r>
      <w:r>
        <w:t xml:space="preserve">. We also trained single round neural posterior estimation</w:t>
      </w:r>
      <w:r>
        <w:t xml:space="preserve"> </w:t>
      </w:r>
      <w:r>
        <w:t xml:space="preserve">[26,27]</w:t>
      </w:r>
      <w:r>
        <w:t xml:space="preserve"> </w:t>
      </w:r>
      <w:r>
        <w:t xml:space="preserve">on 50,000 prior simulations drawn by Latin hypercube sampling and compared it with MCMC.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These are event counts per year in the modelled population. They are not rates per person. A scenario met a target if its median reduction was at least 80% for infections or 65% for deaths. We also report the share of posterior draws in which each target, and both together,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[32]</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targets; the best fit was within 2.3 percentage points of every target, and all six 95% posterior intervals overlapped the target intervals (S1 Text, Section 2). The first arrest multiplier was 1.21 (95% interval 0.55 to 3.15). Its posterior was close to its prior (posterior standard deviation 90% of the prior’s), so seroprevalence says little about how fast people are first arrested. Because the population size was not fitted, the modelled prison population in 2015 was 8,451 (8,275–8,523), compared with 3,367 people with a known screening result in prison records. In 2015, the model estimated 50,223 (95% interval: 49,512–50,900) people with a history of injecting drugs. Of these, 2,224 (875–4,801) were in D, 5,855 (5,654–5,949) in F and 33,683 (31,363–35,038) in X.</w:t>
      </w:r>
    </w:p>
    <w:bookmarkEnd w:id="25"/>
    <w:bookmarkStart w:id="26" w:name="X6e9b2375c980d17e2d704506bc9e2f4eaedd5f0"/>
    <w:p>
      <w:pPr>
        <w:pStyle w:val="Heading2"/>
      </w:pPr>
      <w:r>
        <w:t xml:space="preserve">Prison treatment alone met the incidence target but not the mortality target</w:t>
      </w:r>
    </w:p>
    <w:p>
      <w:pPr>
        <w:pStyle w:val="FirstParagraph"/>
      </w:pPr>
      <w:r>
        <w:t xml:space="preserve">Without any treatment, new infections in 2030 were 91.5% (95% UI: 87.4%–95.1%) of the 2015 level and HCV deaths 99.6% (95% UI: 99.2%–99.9%) (Fig 2).</w:t>
      </w:r>
    </w:p>
    <w:p>
      <w:pPr>
        <w:pStyle w:val="BodyText"/>
      </w:pPr>
      <w:r>
        <w:t xml:space="preserve">Prison treatment from 2019 changed the course of new infections. By 2025 they were 32.3% (95% UI: 24.9%–48.1%) of the 2015 level. By 2030 they had fallen by 85.6% (95% UI: 68.9%–91.3%), which met the 80% target at the median and in 80% of draws. Deaths fell more slowly. By 2025 they were 68.6% (95% UI: 67.2%–70.0%) of the 2015 level. By 2030 the reduction was 45.8% (95% UI: 44.2%–47.4%), well short of the 65% target.</w:t>
      </w:r>
    </w:p>
    <w:p>
      <w:pPr>
        <w:pStyle w:val="BodyText"/>
      </w:pPr>
      <w:r>
        <w:t xml:space="preserve">The reason lies in where infection and disease sit after release. In 2026, F held 350 (95% UI: 292–450) people with chronic infection. X held 3,095 (95% UI: 2,584–3,666). X thus held 90% of chronic infections among released people. In the J only scenario, 94% of HCV deaths in 2026 occurred in F and X. By 2030 this share was 95%. People in X do not inject and do not transmit. Prison treatment does not reach them after release.</w:t>
      </w:r>
    </w:p>
    <w:bookmarkEnd w:id="26"/>
    <w:bookmarkStart w:id="27" w:name="X60770f638ba41a7e8f62781c3309a3b1c281bf6"/>
    <w:p>
      <w:pPr>
        <w:pStyle w:val="Heading2"/>
      </w:pPr>
      <w:r>
        <w:t xml:space="preserve">Community screening did not reach the mortality target</w:t>
      </w:r>
    </w:p>
    <w:p>
      <w:pPr>
        <w:pStyle w:val="FirstParagraph"/>
      </w:pPr>
      <w:r>
        <w:t xml:space="preserve">Adding community screening increased both reductions (Table 1). Every scenario met the incidence target at the median, including 600 tests a year (86.7% (95% UI: 70.0%–92.1%) with 25% to F; target met in 83% of draws). Screening everyone eligible in F and X every year gave 99.0% (95% UI: 85.3%–100.0%). In that ideal reference, 27% of the remaining new infections in 2030 occurred in D, among people who inject but have never been imprisoned.</w:t>
      </w:r>
    </w:p>
    <w:p>
      <w:pPr>
        <w:pStyle w:val="BodyText"/>
      </w:pPr>
      <w:r>
        <w:t xml:space="preserve">No finite scenario met the mortality target, at the median or in any draw. The largest reduction was 60.5% (95% UI: 59.5%–61.3%), at 8,000 tests a year with 25% to F. Only the ideal reference, which screened everyone eligible in F and X every year, met it (71.5% (95% UI: 70.4%–71.9%); both targets met in 99.8% of draws). At 600 tests a year, the planned size of the current community programme, the mortality reduction was at most 47.2%,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More screening for X gave a larger fall in deaths, at every capacity.</w:t>
      </w:r>
    </w:p>
    <w:p>
      <w:pPr>
        <w:pStyle w:val="BodyText"/>
      </w:pPr>
      <w:r>
        <w:t xml:space="preserve">The two groups differ in where chronic infection is. In 2026 about 5,600 people in F were eligible for screening, of whom 6% had chronic infection. In X, 9% of those eligible did. A test given to X therefore found more people to treat. At 8,000 tests a year, the mortality reduction fell from 60.5% (95% UI: 59.5%–61.3%) with 25% to F to 52.2% (95% UI: 50.8%–53.6%) with 75% to F, while the incidence reduction rose from 95.6% to 99.0%. With 75% to F at this capacity, 92% of the F quota was used. At 2,000 tests a year, moving from 25% to 75% for F raised the incidence reduction from 89.1% to 94.1% and lowered the mortality reduction from 50.4% to 47.7%. Because every scenario already met the incidence target, the mortality target is the binding one, and it favours X.</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153 (95% UI: 128–189) at 600 tests a year with 75% to F, to 2,083 (95% UI: 1,758–2,464) at 8,000 tests a year with 25% to F (Table 1). Starts were highest in 2026 and fell each year as the stock of chronic infection was treated. The discounted cost of 8,000 tests a year with 25% to F was S$101.5 million (95% UI: S$85.9 million–S$122.7 million) over five years; drugs made up 96% of it. Compared with prison treatment alone, each extra percentage point of mortality reduction cost about S$5.0 million in that scenario. Single round neural posterior estimation gave policy medians within 2.4% of these values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the mortality target</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85.6% (95% UI: 68.9%–91.3%)</w:t>
            </w:r>
          </w:p>
        </w:tc>
        <w:tc>
          <w:tcPr/>
          <w:p>
            <w:pPr>
              <w:pStyle w:val="Compact"/>
            </w:pPr>
            <w:r>
              <w:t xml:space="preserve">45.8% (95% UI: 44.2%–47.4%)</w:t>
            </w:r>
          </w:p>
        </w:tc>
        <w:tc>
          <w:tcPr/>
          <w:p>
            <w:pPr>
              <w:pStyle w:val="Compact"/>
            </w:pPr>
            <w:r>
              <w:t xml:space="preserve">0%</w:t>
            </w:r>
          </w:p>
        </w:tc>
        <w:tc>
          <w:tcPr/>
          <w:p>
            <w:pPr>
              <w:pStyle w:val="Compact"/>
            </w:pPr>
            <w:r>
              <w:t xml:space="preserve">0</w:t>
            </w:r>
          </w:p>
        </w:tc>
        <w:tc>
          <w:tcPr/>
          <w:p>
            <w:pPr>
              <w:pStyle w:val="Compact"/>
            </w:pPr>
            <w:r>
              <w:t xml:space="preserve">28.1 (95% UI: 21.1–42.7)</w:t>
            </w:r>
          </w:p>
        </w:tc>
      </w:tr>
      <w:tr>
        <w:tc>
          <w:tcPr/>
          <w:p>
            <w:pPr>
              <w:pStyle w:val="Compact"/>
            </w:pPr>
            <w:r>
              <w:t xml:space="preserve">J + 600/year, F 50%</w:t>
            </w:r>
          </w:p>
        </w:tc>
        <w:tc>
          <w:tcPr/>
          <w:p>
            <w:pPr>
              <w:pStyle w:val="Compact"/>
            </w:pPr>
            <w:r>
              <w:t xml:space="preserve">87.8% (95% UI: 71.7%–92.9%)</w:t>
            </w:r>
          </w:p>
        </w:tc>
        <w:tc>
          <w:tcPr/>
          <w:p>
            <w:pPr>
              <w:pStyle w:val="Compact"/>
            </w:pPr>
            <w:r>
              <w:t xml:space="preserve">46.8% (95% UI: 45.3%–48.4%)</w:t>
            </w:r>
          </w:p>
        </w:tc>
        <w:tc>
          <w:tcPr/>
          <w:p>
            <w:pPr>
              <w:pStyle w:val="Compact"/>
            </w:pPr>
            <w:r>
              <w:t xml:space="preserve">0%</w:t>
            </w:r>
          </w:p>
        </w:tc>
        <w:tc>
          <w:tcPr/>
          <w:p>
            <w:pPr>
              <w:pStyle w:val="Compact"/>
            </w:pPr>
            <w:r>
              <w:t xml:space="preserve">185 (95% UI: 157–220)</w:t>
            </w:r>
          </w:p>
        </w:tc>
        <w:tc>
          <w:tcPr/>
          <w:p>
            <w:pPr>
              <w:pStyle w:val="Compact"/>
            </w:pPr>
            <w:r>
              <w:t xml:space="preserve">33.3 (95% UI: 26.0–48.5)</w:t>
            </w:r>
          </w:p>
        </w:tc>
      </w:tr>
      <w:tr>
        <w:tc>
          <w:tcPr/>
          <w:p>
            <w:pPr>
              <w:pStyle w:val="Compact"/>
            </w:pPr>
            <w:r>
              <w:t xml:space="preserve">J + 2,000/year, F 25%</w:t>
            </w:r>
          </w:p>
        </w:tc>
        <w:tc>
          <w:tcPr/>
          <w:p>
            <w:pPr>
              <w:pStyle w:val="Compact"/>
            </w:pPr>
            <w:r>
              <w:t xml:space="preserve">89.1% (95% UI: 73.4%–93.8%)</w:t>
            </w:r>
          </w:p>
        </w:tc>
        <w:tc>
          <w:tcPr/>
          <w:p>
            <w:pPr>
              <w:pStyle w:val="Compact"/>
            </w:pPr>
            <w:r>
              <w:t xml:space="preserve">50.4% (95% UI: 49.0%–51.8%)</w:t>
            </w:r>
          </w:p>
        </w:tc>
        <w:tc>
          <w:tcPr/>
          <w:p>
            <w:pPr>
              <w:pStyle w:val="Compact"/>
            </w:pPr>
            <w:r>
              <w:t xml:space="preserve">0%</w:t>
            </w:r>
          </w:p>
        </w:tc>
        <w:tc>
          <w:tcPr/>
          <w:p>
            <w:pPr>
              <w:pStyle w:val="Compact"/>
            </w:pPr>
            <w:r>
              <w:t xml:space="preserve">668 (95% UI: 563–792)</w:t>
            </w:r>
          </w:p>
        </w:tc>
        <w:tc>
          <w:tcPr/>
          <w:p>
            <w:pPr>
              <w:pStyle w:val="Compact"/>
            </w:pPr>
            <w:r>
              <w:t xml:space="preserve">51.3 (95% UI: 42.1–67.6)</w:t>
            </w:r>
          </w:p>
        </w:tc>
      </w:tr>
      <w:tr>
        <w:tc>
          <w:tcPr/>
          <w:p>
            <w:pPr>
              <w:pStyle w:val="Compact"/>
            </w:pPr>
            <w:r>
              <w:t xml:space="preserve">J + 2,000/year, F 75%</w:t>
            </w:r>
          </w:p>
        </w:tc>
        <w:tc>
          <w:tcPr/>
          <w:p>
            <w:pPr>
              <w:pStyle w:val="Compact"/>
            </w:pPr>
            <w:r>
              <w:t xml:space="preserve">94.1% (95% UI: 79.1%–97.1%)</w:t>
            </w:r>
          </w:p>
        </w:tc>
        <w:tc>
          <w:tcPr/>
          <w:p>
            <w:pPr>
              <w:pStyle w:val="Compact"/>
            </w:pPr>
            <w:r>
              <w:t xml:space="preserve">47.7% (95% UI: 46.2%–49.3%)</w:t>
            </w:r>
          </w:p>
        </w:tc>
        <w:tc>
          <w:tcPr/>
          <w:p>
            <w:pPr>
              <w:pStyle w:val="Compact"/>
            </w:pPr>
            <w:r>
              <w:t xml:space="preserve">0%</w:t>
            </w:r>
          </w:p>
        </w:tc>
        <w:tc>
          <w:tcPr/>
          <w:p>
            <w:pPr>
              <w:pStyle w:val="Compact"/>
            </w:pPr>
            <w:r>
              <w:t xml:space="preserve">444 (95% UI: 373–540)</w:t>
            </w:r>
          </w:p>
        </w:tc>
        <w:tc>
          <w:tcPr/>
          <w:p>
            <w:pPr>
              <w:pStyle w:val="Compact"/>
            </w:pPr>
            <w:r>
              <w:t xml:space="preserve">36.9 (95% UI: 29.4–52.6)</w:t>
            </w:r>
          </w:p>
        </w:tc>
      </w:tr>
      <w:tr>
        <w:tc>
          <w:tcPr/>
          <w:p>
            <w:pPr>
              <w:pStyle w:val="Compact"/>
            </w:pPr>
            <w:r>
              <w:t xml:space="preserve">J + 5,000/year, F 25%</w:t>
            </w:r>
          </w:p>
        </w:tc>
        <w:tc>
          <w:tcPr/>
          <w:p>
            <w:pPr>
              <w:pStyle w:val="Compact"/>
            </w:pPr>
            <w:r>
              <w:t xml:space="preserve">93.0% (95% UI: 78.0%–96.5%)</w:t>
            </w:r>
          </w:p>
        </w:tc>
        <w:tc>
          <w:tcPr/>
          <w:p>
            <w:pPr>
              <w:pStyle w:val="Compact"/>
            </w:pPr>
            <w:r>
              <w:t xml:space="preserve">56.1% (95% UI: 54.9%–57.2%)</w:t>
            </w:r>
          </w:p>
        </w:tc>
        <w:tc>
          <w:tcPr/>
          <w:p>
            <w:pPr>
              <w:pStyle w:val="Compact"/>
            </w:pPr>
            <w:r>
              <w:t xml:space="preserve">0%</w:t>
            </w:r>
          </w:p>
        </w:tc>
        <w:tc>
          <w:tcPr/>
          <w:p>
            <w:pPr>
              <w:pStyle w:val="Compact"/>
            </w:pPr>
            <w:r>
              <w:t xml:space="preserve">1,473 (95% UI: 1,242–1,744)</w:t>
            </w:r>
          </w:p>
        </w:tc>
        <w:tc>
          <w:tcPr/>
          <w:p>
            <w:pPr>
              <w:pStyle w:val="Compact"/>
            </w:pPr>
            <w:r>
              <w:t xml:space="preserve">79.7 (95% UI: 66.8–98.2)</w:t>
            </w:r>
          </w:p>
        </w:tc>
      </w:tr>
      <w:tr>
        <w:tc>
          <w:tcPr/>
          <w:p>
            <w:pPr>
              <w:pStyle w:val="Compact"/>
            </w:pPr>
            <w:r>
              <w:t xml:space="preserve">J + 5,000/year, F 50%</w:t>
            </w:r>
          </w:p>
        </w:tc>
        <w:tc>
          <w:tcPr/>
          <w:p>
            <w:pPr>
              <w:pStyle w:val="Compact"/>
            </w:pPr>
            <w:r>
              <w:t xml:space="preserve">96.8% (95% UI: 82.0%–98.9%)</w:t>
            </w:r>
          </w:p>
        </w:tc>
        <w:tc>
          <w:tcPr/>
          <w:p>
            <w:pPr>
              <w:pStyle w:val="Compact"/>
            </w:pPr>
            <w:r>
              <w:t xml:space="preserve">53.4% (95% UI: 52.0%–54.6%)</w:t>
            </w:r>
          </w:p>
        </w:tc>
        <w:tc>
          <w:tcPr/>
          <w:p>
            <w:pPr>
              <w:pStyle w:val="Compact"/>
            </w:pPr>
            <w:r>
              <w:t xml:space="preserve">0%</w:t>
            </w:r>
          </w:p>
        </w:tc>
        <w:tc>
          <w:tcPr/>
          <w:p>
            <w:pPr>
              <w:pStyle w:val="Compact"/>
            </w:pPr>
            <w:r>
              <w:t xml:space="preserve">1,226 (95% UI: 1,044–1,451)</w:t>
            </w:r>
          </w:p>
        </w:tc>
        <w:tc>
          <w:tcPr/>
          <w:p>
            <w:pPr>
              <w:pStyle w:val="Compact"/>
            </w:pPr>
            <w:r>
              <w:t xml:space="preserve">64.6 (95% UI: 53.7–82.5)</w:t>
            </w:r>
          </w:p>
        </w:tc>
      </w:tr>
      <w:tr>
        <w:tc>
          <w:tcPr/>
          <w:p>
            <w:pPr>
              <w:pStyle w:val="Compact"/>
            </w:pPr>
            <w:r>
              <w:t xml:space="preserve">J + 5,000/year, F 75%</w:t>
            </w:r>
          </w:p>
        </w:tc>
        <w:tc>
          <w:tcPr/>
          <w:p>
            <w:pPr>
              <w:pStyle w:val="Compact"/>
            </w:pPr>
            <w:r>
              <w:t xml:space="preserve">98.3% (95% UI: 84.1%–99.7%)</w:t>
            </w:r>
          </w:p>
        </w:tc>
        <w:tc>
          <w:tcPr/>
          <w:p>
            <w:pPr>
              <w:pStyle w:val="Compact"/>
            </w:pPr>
            <w:r>
              <w:t xml:space="preserve">50.1% (95% UI: 48.7%–51.6%)</w:t>
            </w:r>
          </w:p>
        </w:tc>
        <w:tc>
          <w:tcPr/>
          <w:p>
            <w:pPr>
              <w:pStyle w:val="Compact"/>
            </w:pPr>
            <w:r>
              <w:t xml:space="preserve">0%</w:t>
            </w:r>
          </w:p>
        </w:tc>
        <w:tc>
          <w:tcPr/>
          <w:p>
            <w:pPr>
              <w:pStyle w:val="Compact"/>
            </w:pPr>
            <w:r>
              <w:t xml:space="preserve">870 (95% UI: 736–1,046)</w:t>
            </w:r>
          </w:p>
        </w:tc>
        <w:tc>
          <w:tcPr/>
          <w:p>
            <w:pPr>
              <w:pStyle w:val="Compact"/>
            </w:pPr>
            <w:r>
              <w:t xml:space="preserve">47.3 (95% UI: 38.9–65.0)</w:t>
            </w:r>
          </w:p>
        </w:tc>
      </w:tr>
      <w:tr>
        <w:tc>
          <w:tcPr/>
          <w:p>
            <w:pPr>
              <w:pStyle w:val="Compact"/>
            </w:pPr>
            <w:r>
              <w:t xml:space="preserve">J + 8,000/year, F 25%</w:t>
            </w:r>
          </w:p>
        </w:tc>
        <w:tc>
          <w:tcPr/>
          <w:p>
            <w:pPr>
              <w:pStyle w:val="Compact"/>
            </w:pPr>
            <w:r>
              <w:t xml:space="preserve">95.6% (95% UI: 80.6%–98.1%)</w:t>
            </w:r>
          </w:p>
        </w:tc>
        <w:tc>
          <w:tcPr/>
          <w:p>
            <w:pPr>
              <w:pStyle w:val="Compact"/>
            </w:pPr>
            <w:r>
              <w:t xml:space="preserve">60.5% (95% UI: 59.5%–61.3%)</w:t>
            </w:r>
          </w:p>
        </w:tc>
        <w:tc>
          <w:tcPr/>
          <w:p>
            <w:pPr>
              <w:pStyle w:val="Compact"/>
            </w:pPr>
            <w:r>
              <w:t xml:space="preserve">0%</w:t>
            </w:r>
          </w:p>
        </w:tc>
        <w:tc>
          <w:tcPr/>
          <w:p>
            <w:pPr>
              <w:pStyle w:val="Compact"/>
            </w:pPr>
            <w:r>
              <w:t xml:space="preserve">2,083 (95% UI: 1,758–2,464)</w:t>
            </w:r>
          </w:p>
        </w:tc>
        <w:tc>
          <w:tcPr/>
          <w:p>
            <w:pPr>
              <w:pStyle w:val="Compact"/>
            </w:pPr>
            <w:r>
              <w:t xml:space="preserve">101.5 (95% UI: 85.9–122.7)</w:t>
            </w:r>
          </w:p>
        </w:tc>
      </w:tr>
      <w:tr>
        <w:tc>
          <w:tcPr/>
          <w:p>
            <w:pPr>
              <w:pStyle w:val="Compact"/>
            </w:pPr>
            <w:r>
              <w:t xml:space="preserve">J + 8,000/year, F 50%</w:t>
            </w:r>
          </w:p>
        </w:tc>
        <w:tc>
          <w:tcPr/>
          <w:p>
            <w:pPr>
              <w:pStyle w:val="Compact"/>
            </w:pPr>
            <w:r>
              <w:t xml:space="preserve">98.5% (95% UI: 84.3%–99.8%)</w:t>
            </w:r>
          </w:p>
        </w:tc>
        <w:tc>
          <w:tcPr/>
          <w:p>
            <w:pPr>
              <w:pStyle w:val="Compact"/>
            </w:pPr>
            <w:r>
              <w:t xml:space="preserve">56.9% (95% UI: 55.7%–58.0%)</w:t>
            </w:r>
          </w:p>
        </w:tc>
        <w:tc>
          <w:tcPr/>
          <w:p>
            <w:pPr>
              <w:pStyle w:val="Compact"/>
            </w:pPr>
            <w:r>
              <w:t xml:space="preserve">0%</w:t>
            </w:r>
          </w:p>
        </w:tc>
        <w:tc>
          <w:tcPr/>
          <w:p>
            <w:pPr>
              <w:pStyle w:val="Compact"/>
            </w:pPr>
            <w:r>
              <w:t xml:space="preserve">1,723 (95% UI: 1,464–2,036)</w:t>
            </w:r>
          </w:p>
        </w:tc>
        <w:tc>
          <w:tcPr/>
          <w:p>
            <w:pPr>
              <w:pStyle w:val="Compact"/>
            </w:pPr>
            <w:r>
              <w:t xml:space="preserve">81.8 (95% UI: 68.7–101.3)</w:t>
            </w:r>
          </w:p>
        </w:tc>
      </w:tr>
      <w:tr>
        <w:tc>
          <w:tcPr/>
          <w:p>
            <w:pPr>
              <w:pStyle w:val="Compact"/>
            </w:pPr>
            <w:r>
              <w:t xml:space="preserve">J + 8,000/year, F 75%</w:t>
            </w:r>
          </w:p>
        </w:tc>
        <w:tc>
          <w:tcPr/>
          <w:p>
            <w:pPr>
              <w:pStyle w:val="Compact"/>
            </w:pPr>
            <w:r>
              <w:t xml:space="preserve">99.0% (95% UI: 85.3%–100.0%)</w:t>
            </w:r>
          </w:p>
        </w:tc>
        <w:tc>
          <w:tcPr/>
          <w:p>
            <w:pPr>
              <w:pStyle w:val="Compact"/>
            </w:pPr>
            <w:r>
              <w:t xml:space="preserve">52.2% (95% UI: 50.8%–53.6%)</w:t>
            </w:r>
          </w:p>
        </w:tc>
        <w:tc>
          <w:tcPr/>
          <w:p>
            <w:pPr>
              <w:pStyle w:val="Compact"/>
            </w:pPr>
            <w:r>
              <w:t xml:space="preserve">0%</w:t>
            </w:r>
          </w:p>
        </w:tc>
        <w:tc>
          <w:tcPr/>
          <w:p>
            <w:pPr>
              <w:pStyle w:val="Compact"/>
            </w:pPr>
            <w:r>
              <w:t xml:space="preserve">1,165 (95% UI: 993–1,384)</w:t>
            </w:r>
          </w:p>
        </w:tc>
        <w:tc>
          <w:tcPr/>
          <w:p>
            <w:pPr>
              <w:pStyle w:val="Compact"/>
            </w:pPr>
            <w:r>
              <w:t xml:space="preserve">57.5 (95% UI: 48.0–76.4)</w:t>
            </w:r>
          </w:p>
        </w:tc>
      </w:tr>
      <w:tr>
        <w:tc>
          <w:tcPr/>
          <w:p>
            <w:pPr>
              <w:pStyle w:val="Compact"/>
            </w:pPr>
            <w:r>
              <w:t xml:space="preserve">J + no screening cap</w:t>
            </w:r>
          </w:p>
        </w:tc>
        <w:tc>
          <w:tcPr/>
          <w:p>
            <w:pPr>
              <w:pStyle w:val="Compact"/>
            </w:pPr>
            <w:r>
              <w:t xml:space="preserve">99.0% (95% UI: 85.3%–100.0%)</w:t>
            </w:r>
          </w:p>
        </w:tc>
        <w:tc>
          <w:tcPr/>
          <w:p>
            <w:pPr>
              <w:pStyle w:val="Compact"/>
            </w:pPr>
            <w:r>
              <w:t xml:space="preserve">71.5% (95% UI: 70.4%–71.9%)</w:t>
            </w:r>
          </w:p>
        </w:tc>
        <w:tc>
          <w:tcPr/>
          <w:p>
            <w:pPr>
              <w:pStyle w:val="Compact"/>
            </w:pPr>
            <w:r>
              <w:t xml:space="preserve">100%</w:t>
            </w:r>
          </w:p>
        </w:tc>
        <w:tc>
          <w:tcPr/>
          <w:p>
            <w:pPr>
              <w:pStyle w:val="Compact"/>
            </w:pPr>
            <w:r>
              <w:t xml:space="preserve">3,743 (95% UI: 3,179–4,395)</w:t>
            </w:r>
          </w:p>
        </w:tc>
        <w:tc>
          <w:tcPr/>
          <w:p>
            <w:pPr>
              <w:pStyle w:val="Compact"/>
            </w:pPr>
            <w:r>
              <w:t xml:space="preserve">176.7 (95% UI: 151.9–205.0)</w:t>
            </w:r>
          </w:p>
        </w:tc>
      </w:tr>
    </w:tbl>
    <w:p>
      <w:pPr>
        <w:pStyle w:val="BodyText"/>
      </w:pPr>
      <w:r>
        <w:t xml:space="preserve">Reductions compare 2030 with 2015. Values are medians (95% UI) across 2,000 posterior draws. Targets are at least 80% for incidence and at least 65% for mortality. Every scenario met the incidence target at the median and none of the finite scenarios met the mortality target.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86% and HCV deaths by 46% by 2030. This met the incidence target but not the mortality target. By 2026, nearly all chronic infections and HCV deaths among released people were in those who had stopped injecting. Community screening of up to 8,000 tests a year raised the mortality reduction to at most 60.5%. Only screening everyone released every year met the target.</w:t>
      </w:r>
    </w:p>
    <w:p>
      <w:pPr>
        <w:pStyle w:val="BodyText"/>
      </w:pPr>
      <w:r>
        <w:t xml:space="preserve">Prison treatment works on transmission among people who pass through prison. Curing them before release removes infection from that part of the injecting network, which matches earlier work on treatment as prevention</w:t>
      </w:r>
      <w:r>
        <w:t xml:space="preserve"> </w:t>
      </w:r>
      <w:r>
        <w:t xml:space="preserve">[14,15]</w:t>
      </w:r>
      <w:r>
        <w:t xml:space="preserve">. In this model people who inject are first arrested at about the rate at which released people are re-arrested, so prison reaches most of the network; even with screening of everyone eligible after release, 27% of the remaining infections in 2030 occurred in people never imprisoned. The first arrest rate is the weakest part of this result. Seroprevalence barely informs it, and its posterior follows its prior. A slower first arrest would leave more infections out of reach of prison. Deaths follow a different path. They arise from cirrhosis and liver cancer that built up over many years. Most of this burden sits in people who stopped injecting long ago. They do not transmit and are not reached by prison treatment after release. Cure also does not remove all risk in people who already have cirrhosis</w:t>
      </w:r>
      <w:r>
        <w:t xml:space="preserve"> </w:t>
      </w:r>
      <w:r>
        <w:t xml:space="preserve">[17,18]</w:t>
      </w:r>
      <w:r>
        <w:t xml:space="preserve">.</w:t>
      </w:r>
    </w:p>
    <w:p>
      <w:pPr>
        <w:pStyle w:val="BodyText"/>
      </w:pPr>
      <w:r>
        <w:t xml:space="preserve">Our findings on the F and X split have direct use for planning. A programme that targets people who still inject may seem the best choice for elimination. In this model it improved incidence, which was already on target, at the cost of deaths, which were not. People in X held most chronic infection, so tests given to them found more people to treat. Planners should therefore direct most community screening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Even 8,000 tests a year, 13 times the planned capacity of the current community programme</w:t>
      </w:r>
      <w:r>
        <w:t xml:space="preserve"> </w:t>
      </w:r>
      <w:r>
        <w:t xml:space="preserve">[11]</w:t>
      </w:r>
      <w:r>
        <w:t xml:space="preserve">, did not meet the mortality target. All scenarios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modelled screening capacity explicitly, so treatment depends on how many people are found. We separated released people by injecting status, which earlier work did not do</w:t>
      </w:r>
      <w:r>
        <w:t xml:space="preserve"> </w:t>
      </w:r>
      <w:r>
        <w:t xml:space="preserve">[5]</w:t>
      </w:r>
      <w:r>
        <w:t xml:space="preserve">. Mortality outside the liver depended on each person’s infection status, using mortality ratios for people who use drugs</w:t>
      </w:r>
      <w:r>
        <w:t xml:space="preserve"> </w:t>
      </w:r>
      <w:r>
        <w:t xml:space="preserve">[22]</w:t>
      </w:r>
      <w:r>
        <w:t xml:space="preserve">, so the share of deaths from viraemic people changed as treatment progressed.</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only to one year of prison seroprevalence. We did not fit the size of the prison population, and the model’s 2015 prison population (8,451 (8,275–8,523)) was much larger than the 3,367 people with a known screening result in prison records. Absolute numbers of infections, deaths and treatments are therefore uncertain beyond what the UIs show; the reductions relative to 2015 are less affected. We did not fit observed treatment numbers after 2019. Third, we assumed perfect linkage from screening to treatment and no loss to follow up. Fourth, people in X cannot be reinfected or return to injecting. Some do relapse, which would add transmission. Fifth, the first arrest rate is set largely by its prior. Entry into injecting uses counts of new drug users from law enforcement, without scaling, as a proxy. Sixth, the mortality ratios come from an Amsterdam cohort grouped by antibody status rather than viraemia</w:t>
      </w:r>
      <w:r>
        <w:t xml:space="preserve"> </w:t>
      </w:r>
      <w:r>
        <w:t xml:space="preserve">[22]</w:t>
      </w:r>
      <w:r>
        <w:t xml:space="preserve">. Seventh, costs use list prices and an older drug price. Actual payer costs are not public. Eighth, our uncertainty intervals cover model parameters only.</w:t>
      </w:r>
    </w:p>
    <w:p>
      <w:pPr>
        <w:pStyle w:val="BodyText"/>
      </w:pPr>
      <w:r>
        <w:t xml:space="preserve">In conclusion, prison treatment has done much to reduce HCV among people who inject drugs in Singapore. In this model it meets the WHO incidence target by 2030 but not the mortality target. Community screening after release, directed mainly to people who have stopped injecting, narrows the gap, but meeting the mortality target needs screening on a much larger scale than current plans.</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659887"/>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659887"/>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from decompensated cirrhosis and liver cancer. Lines show medians and shaded bands show 95% UIs across 2,000 posterior draws. Dashed horizontal lines show the WHO targets of 20% and 35% of the 2015 level. Dotted vertical lines mark 2019 and 2026.</w:t>
      </w:r>
    </w:p>
    <w:p>
      <w:pPr>
        <w:pStyle w:val="CaptionedFigure"/>
      </w:pPr>
      <w:r>
        <w:drawing>
          <wp:inline>
            <wp:extent cx="5334000" cy="2377778"/>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517647"/>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517647"/>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6" w:name="references"/>
    <w:p>
      <w:pPr>
        <w:pStyle w:val="Heading1"/>
      </w:pPr>
      <w:r>
        <w:t xml:space="preserve">References</w:t>
      </w:r>
    </w:p>
    <w:bookmarkStart w:id="115"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vansanten2014"/>
    <w:p>
      <w:pPr>
        <w:pStyle w:val="Bibliography"/>
      </w:pPr>
      <w:r>
        <w:t xml:space="preserve">22.</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88">
        <w:r>
          <w:rPr>
            <w:rStyle w:val="Hyperlink"/>
          </w:rPr>
          <w:t xml:space="preserve">10.1097/QAD.0000000000000450</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3" w:name="ref-haario2001"/>
    <w:p>
      <w:pPr>
        <w:pStyle w:val="Bibliography"/>
      </w:pPr>
      <w:r>
        <w:t xml:space="preserve">24.</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2">
        <w:r>
          <w:rPr>
            <w:rStyle w:val="Hyperlink"/>
          </w:rPr>
          <w:t xml:space="preserve">10.2307/3318737</w:t>
        </w:r>
      </w:hyperlink>
    </w:p>
    <w:bookmarkEnd w:id="93"/>
    <w:bookmarkStart w:id="95" w:name="ref-vehtari2021"/>
    <w:p>
      <w:pPr>
        <w:pStyle w:val="Bibliography"/>
      </w:pPr>
      <w:r>
        <w:t xml:space="preserve">25.</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4">
        <w:r>
          <w:rPr>
            <w:rStyle w:val="Hyperlink"/>
          </w:rPr>
          <w:t xml:space="preserve">10.1214/20-BA1221</w:t>
        </w:r>
      </w:hyperlink>
    </w:p>
    <w:bookmarkEnd w:id="95"/>
    <w:bookmarkStart w:id="96" w:name="ref-greenberg2019"/>
    <w:p>
      <w:pPr>
        <w:pStyle w:val="Bibliography"/>
      </w:pPr>
      <w:r>
        <w:t xml:space="preserve">26.</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6"/>
    <w:bookmarkStart w:id="98" w:name="ref-sbi2020"/>
    <w:p>
      <w:pPr>
        <w:pStyle w:val="Bibliography"/>
      </w:pPr>
      <w:r>
        <w:t xml:space="preserve">27.</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7">
        <w:r>
          <w:rPr>
            <w:rStyle w:val="Hyperlink"/>
          </w:rPr>
          <w:t xml:space="preserve">10.21105/joss.02505</w:t>
        </w:r>
      </w:hyperlink>
    </w:p>
    <w:bookmarkEnd w:id="98"/>
    <w:bookmarkStart w:id="100"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9">
        <w:r>
          <w:rPr>
            <w:rStyle w:val="Hyperlink"/>
          </w:rPr>
          <w:t xml:space="preserve">10.1002/jgh3.12139</w:t>
        </w:r>
      </w:hyperlink>
    </w:p>
    <w:bookmarkEnd w:id="100"/>
    <w:bookmarkStart w:id="102"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1">
        <w:r>
          <w:rPr>
            <w:rStyle w:val="Hyperlink"/>
          </w:rPr>
          <w:t xml:space="preserve">https://data.gov.sg/datasets/d_b09aeaf8eb591c4bfe347b66148c6b53/view</w:t>
        </w:r>
      </w:hyperlink>
    </w:p>
    <w:bookmarkEnd w:id="102"/>
    <w:bookmarkStart w:id="104"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3">
        <w:r>
          <w:rPr>
            <w:rStyle w:val="Hyperlink"/>
          </w:rPr>
          <w:t xml:space="preserve">https://www.nhghealth.com.sg/nsc/about-dsc-clinic/dsc-patient-information/dsc-services/clinic-charges/</w:t>
        </w:r>
      </w:hyperlink>
    </w:p>
    <w:bookmarkEnd w:id="104"/>
    <w:bookmarkStart w:id="106"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5">
        <w:r>
          <w:rPr>
            <w:rStyle w:val="Hyperlink"/>
          </w:rPr>
          <w:t xml:space="preserve">https://www.parkwaylabs.com.sg/docs/parkwaylablibraries/test-catalogues/send-out-test-price.pdf</w:t>
        </w:r>
      </w:hyperlink>
    </w:p>
    <w:bookmarkEnd w:id="106"/>
    <w:bookmarkStart w:id="108"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7">
        <w:r>
          <w:rPr>
            <w:rStyle w:val="Hyperlink"/>
          </w:rPr>
          <w:t xml:space="preserve">10.18637/jss.v040.i08</w:t>
        </w:r>
      </w:hyperlink>
    </w:p>
    <w:bookmarkEnd w:id="108"/>
    <w:bookmarkStart w:id="110"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9">
        <w:r>
          <w:rPr>
            <w:rStyle w:val="Hyperlink"/>
          </w:rPr>
          <w:t xml:space="preserve">10.11622/smedj.2020116</w:t>
        </w:r>
      </w:hyperlink>
    </w:p>
    <w:bookmarkEnd w:id="110"/>
    <w:bookmarkStart w:id="112"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1">
        <w:r>
          <w:rPr>
            <w:rStyle w:val="Hyperlink"/>
          </w:rPr>
          <w:t xml:space="preserve">10.1093/ofid/ofac350</w:t>
        </w:r>
      </w:hyperlink>
    </w:p>
    <w:bookmarkEnd w:id="112"/>
    <w:bookmarkStart w:id="114"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3">
        <w:r>
          <w:rPr>
            <w:rStyle w:val="Hyperlink"/>
          </w:rPr>
          <w:t xml:space="preserve">10.1001/jamainternmed.2022.0170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88" Target="https://doi.org/10.1097/QAD.00000000000004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2026-10-21T16:50:02Z</dcterms:created>
  <dcterms:modified xsi:type="dcterms:W3CDTF">2026-10-21T16:50:02Z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