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_plos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S1 Checklist. CHEERS 2022 checklist</w:t>
      </w:r>
    </w:p>
    <w:p>
      <w:pPr>
        <w:pStyle w:val="FirstParagraph"/>
      </w:pPr>
      <w:r>
        <w:t xml:space="preserve">Items follow the CHEERS 2022 statement</w:t>
      </w:r>
      <w:r>
        <w:t xml:space="preserve"> </w:t>
      </w:r>
      <w:r>
        <w:t xml:space="preserve">[1]</w:t>
      </w:r>
      <w:r>
        <w:t xml:space="preserve">; the item wording and the locations below are to be checked by the authors against the official checklist before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Where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Background and objectives</w:t>
            </w:r>
          </w:p>
        </w:tc>
        <w:tc>
          <w:tcPr/>
          <w:p>
            <w:pPr>
              <w:pStyle w:val="Compact"/>
            </w:pPr>
            <w:r>
              <w:t xml:space="preserve">Introduction, last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Health economic analysis plan</w:t>
            </w:r>
          </w:p>
        </w:tc>
        <w:tc>
          <w:tcPr/>
          <w:p>
            <w:pPr>
              <w:pStyle w:val="Compact"/>
            </w:pPr>
            <w:r>
              <w:t xml:space="preserve">Not available: no analysis plan was registered (Methods, Study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Study population</w:t>
            </w:r>
          </w:p>
        </w:tc>
        <w:tc>
          <w:tcPr/>
          <w:p>
            <w:pPr>
              <w:pStyle w:val="Compact"/>
            </w:pPr>
            <w:r>
              <w:t xml:space="preserve">Methods, Model structure; S1 Text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Setting and location</w:t>
            </w:r>
          </w:p>
        </w:tc>
        <w:tc>
          <w:tcPr/>
          <w:p>
            <w:pPr>
              <w:pStyle w:val="Compact"/>
            </w:pPr>
            <w:r>
              <w:t xml:space="preserve">Methods, Model structure (Singapore)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Comparators</w:t>
            </w:r>
          </w:p>
        </w:tc>
        <w:tc>
          <w:tcPr/>
          <w:p>
            <w:pPr>
              <w:pStyle w:val="Compact"/>
            </w:pPr>
            <w:r>
              <w:t xml:space="preserve">Methods, Policy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t xml:space="preserve">Methods, Costs (charges; payer perspective not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</w:pPr>
            <w:r>
              <w:t xml:space="preserve">Methods, Policy scenarios (2026–2030)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Methods, Costs; S1 Text 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Selection of outcomes</w:t>
            </w:r>
          </w:p>
        </w:tc>
        <w:tc>
          <w:tcPr/>
          <w:p>
            <w:pPr>
              <w:pStyle w:val="Compact"/>
            </w:pPr>
            <w:r>
              <w:t xml:space="preserve">Methods,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Measurement of outcomes</w:t>
            </w:r>
          </w:p>
        </w:tc>
        <w:tc>
          <w:tcPr/>
          <w:p>
            <w:pPr>
              <w:pStyle w:val="Compact"/>
            </w:pPr>
            <w:r>
              <w:t xml:space="preserve">Methods, Outcomes; S1 Text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Valuation of outcomes</w:t>
            </w:r>
          </w:p>
        </w:tc>
        <w:tc>
          <w:tcPr/>
          <w:p>
            <w:pPr>
              <w:pStyle w:val="Compact"/>
            </w:pPr>
            <w:r>
              <w:t xml:space="preserve">Not applicable: outcomes were not valued (no utilities)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Measurement and valuation of resources and costs</w:t>
            </w:r>
          </w:p>
        </w:tc>
        <w:tc>
          <w:tcPr/>
          <w:p>
            <w:pPr>
              <w:pStyle w:val="Compact"/>
            </w:pPr>
            <w:r>
              <w:t xml:space="preserve">Methods, Costs; S1 Text Table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Currency, price date, and conversion</w:t>
            </w:r>
          </w:p>
        </w:tc>
        <w:tc>
          <w:tcPr/>
          <w:p>
            <w:pPr>
              <w:pStyle w:val="Compact"/>
            </w:pPr>
            <w:r>
              <w:t xml:space="preserve">Methods, Costs; S1 Text 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Rationale and description of model</w:t>
            </w:r>
          </w:p>
        </w:tc>
        <w:tc>
          <w:tcPr/>
          <w:p>
            <w:pPr>
              <w:pStyle w:val="Compact"/>
            </w:pPr>
            <w:r>
              <w:t xml:space="preserve">Methods, Model structure; S1 Text 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Analytics and assumptions</w:t>
            </w:r>
          </w:p>
        </w:tc>
        <w:tc>
          <w:tcPr/>
          <w:p>
            <w:pPr>
              <w:pStyle w:val="Compact"/>
            </w:pPr>
            <w:r>
              <w:t xml:space="preserve">Methods; S1 Text Sections 1, 4 and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Characterising heterogeneity</w:t>
            </w:r>
          </w:p>
        </w:tc>
        <w:tc>
          <w:tcPr/>
          <w:p>
            <w:pPr>
              <w:pStyle w:val="Compact"/>
            </w:pPr>
            <w:r>
              <w:t xml:space="preserve">Results by group (D, J, F, X) and age; S1 Text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Characterising distributional effects</w:t>
            </w:r>
          </w:p>
        </w:tc>
        <w:tc>
          <w:tcPr/>
          <w:p>
            <w:pPr>
              <w:pStyle w:val="Compact"/>
            </w:pPr>
            <w:r>
              <w:t xml:space="preserve">Not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Characterising uncertainty</w:t>
            </w:r>
          </w:p>
        </w:tc>
        <w:tc>
          <w:tcPr/>
          <w:p>
            <w:pPr>
              <w:pStyle w:val="Compact"/>
            </w:pPr>
            <w:r>
              <w:t xml:space="preserve">Methods, Uncertainty; S1 Text Section 8 (price sensitivity)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Approach to engagement with patients and others affected by the study</w:t>
            </w:r>
          </w:p>
        </w:tc>
        <w:tc>
          <w:tcPr/>
          <w:p>
            <w:pPr>
              <w:pStyle w:val="Compact"/>
            </w:pPr>
            <w:r>
              <w:t xml:space="preserve">Not addressed: no engagement (to be confirmed by the authors)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Study parameters</w:t>
            </w:r>
          </w:p>
        </w:tc>
        <w:tc>
          <w:tcPr/>
          <w:p>
            <w:pPr>
              <w:pStyle w:val="Compact"/>
            </w:pPr>
            <w:r>
              <w:t xml:space="preserve">S1 Text Tables A, B, D and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Summary of main results</w:t>
            </w:r>
          </w:p>
        </w:tc>
        <w:tc>
          <w:tcPr/>
          <w:p>
            <w:pPr>
              <w:pStyle w:val="Compact"/>
            </w:pPr>
            <w:r>
              <w:t xml:space="preserve">Results; Table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Effect of uncertainty</w:t>
            </w:r>
          </w:p>
        </w:tc>
        <w:tc>
          <w:tcPr/>
          <w:p>
            <w:pPr>
              <w:pStyle w:val="Compact"/>
            </w:pPr>
            <w:r>
              <w:t xml:space="preserve">Results (uncertainty intervals and probabilities); S1 Text Table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Effect of engagement with patients and others affected by the study</w:t>
            </w:r>
          </w:p>
        </w:tc>
        <w:tc>
          <w:tcPr/>
          <w:p>
            <w:pPr>
              <w:pStyle w:val="Compact"/>
            </w:pPr>
            <w:r>
              <w:t xml:space="preserve">Not applicable: no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Study findings, limitations, generalisability, and current knowledge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Source of funding</w:t>
            </w:r>
          </w:p>
        </w:tc>
        <w:tc>
          <w:tcPr/>
          <w:p>
            <w:pPr>
              <w:pStyle w:val="Compact"/>
            </w:pPr>
            <w:r>
              <w:t xml:space="preserve">Funding statement (to be completed)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</w:pPr>
            <w:r>
              <w:t xml:space="preserve">Competing interests (to be completed)</w:t>
            </w:r>
          </w:p>
        </w:tc>
      </w:tr>
    </w:tbl>
    <w:bookmarkStart w:id="11" w:name="refs"/>
    <w:bookmarkStart w:id="10" w:name="ref-cheers202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Husereau D, Drummond M, Augustovski F, Bekker-Grob E de, Briggs AH, Carswell C, et al.</w:t>
      </w:r>
      <w:r>
        <w:t xml:space="preserve"> </w:t>
      </w:r>
      <w:r>
        <w:t xml:space="preserve">Consolidated Health Economic Evaluation Reporting Standards 2022 (CHEERS 2022) statement: updated reporting guidance for health economic evaluations</w:t>
      </w:r>
      <w:r>
        <w:t xml:space="preserve">. BMJ. 2022;376: e067975. doi:</w:t>
      </w:r>
      <w:hyperlink r:id="rId9">
        <w:r>
          <w:rPr>
            <w:rStyle w:val="Hyperlink"/>
          </w:rPr>
          <w:t xml:space="preserve">10.1136/bmj-2021-067975</w:t>
        </w:r>
      </w:hyperlink>
    </w:p>
    <w:bookmarkEnd w:id="10"/>
    <w:bookmarkEnd w:id="11"/>
    <w:sectPr>
      <w:footerReference w:type="default" r:id="rIdPlosFooter"/>
      <w:lnNumType w:countBy="1" w:restart="continuou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_plos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136/bmj-2021-067975" TargetMode="External" /><Relationship Id="rIdPlosFooter" Type="http://schemas.openxmlformats.org/officeDocument/2006/relationships/footer" Target="footer_plos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136/bmj-2021-06797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Checklist. CHEERS 2022 checklist</dc:title>
  <dc:creator/>
  <cp:keywords/>
  <dcterms:created xsi:type="dcterms:W3CDTF">2026-10-28T04:42:04Z</dcterms:created>
  <dcterms:modified xsi:type="dcterms:W3CDTF">2026-10-28T04:42:04Z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/Users/yichenhe/Documents/Work/HepC-Transimission-Modelling/docs/references.bib</vt:lpwstr>
  </property>
  <property fmtid="{D5CDD505-2E9C-101B-9397-08002B2CF9AE}" pid="3" name="csl">
    <vt:lpwstr>/Users/yichenhe/Documents/Work/HepC-Transimission-Modelling/docs/plos.csl</vt:lpwstr>
  </property>
</Properties>
</file>