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_plos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S1 Checklist. CHEERS 2022 checklist</w:t>
      </w:r>
    </w:p>
    <w:p>
      <w:pPr>
        <w:pStyle w:val="FirstParagraph"/>
      </w:pPr>
      <w:r>
        <w:t xml:space="preserve">Items follow the CHEERS 2022 statement</w:t>
      </w:r>
      <w:r>
        <w:t xml:space="preserve"> </w:t>
      </w:r>
      <w:r>
        <w:t xml:space="preserve">[1]</w:t>
      </w:r>
      <w:r>
        <w:t xml:space="preserve">; the item wording and the locations below are to be checked by the authors against the official checklist before submission.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Introduction, last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Not available: no analysis plan was registered (Methods, Study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Methods, Model structure; S1 Text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Methods, Model structure (Singapore)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Methods, Policy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Methods, Costs (charges; payer perspective not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Methods, Policy scenarios (2026–2030)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Methods, Costs; S1 Text 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Methods,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Methods, Outcomes; S1 Text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Not applicable: outcomes were not valued (no utilities)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Methods, Costs; S1 Text Table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Methods, Costs; S1 Text 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Methods, Model structure; S1 Text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Methods; S1 Text Sections 1, 4 and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Characterising heterogeneity</w:t>
            </w:r>
          </w:p>
        </w:tc>
        <w:tc>
          <w:tcPr/>
          <w:p>
            <w:pPr>
              <w:pStyle w:val="Compact"/>
            </w:pPr>
            <w:r>
              <w:t xml:space="preserve">Results by group (D, J, F, X) and age; S1 Text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Characterising distributional effects</w:t>
            </w:r>
          </w:p>
        </w:tc>
        <w:tc>
          <w:tcPr/>
          <w:p>
            <w:pPr>
              <w:pStyle w:val="Compact"/>
            </w:pPr>
            <w:r>
              <w:t xml:space="preserve">Not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Characterising uncertainty</w:t>
            </w:r>
          </w:p>
        </w:tc>
        <w:tc>
          <w:tcPr/>
          <w:p>
            <w:pPr>
              <w:pStyle w:val="Compact"/>
            </w:pPr>
            <w:r>
              <w:t xml:space="preserve">Methods, Uncertainty; S1 Text Section 8 (price sensitivity)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Approach to engagement with patients and others affected by the study</w:t>
            </w:r>
          </w:p>
        </w:tc>
        <w:tc>
          <w:tcPr/>
          <w:p>
            <w:pPr>
              <w:pStyle w:val="Compact"/>
            </w:pPr>
            <w:r>
              <w:t xml:space="preserve">Not addressed: no engagement (to be confirmed by the authors)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S1 Text Tables A, B, D and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Results;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Results (uncertainty intervals and probabilities); S1 Text Table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Effect of engagement with patients and others affected by the study</w:t>
            </w:r>
          </w:p>
        </w:tc>
        <w:tc>
          <w:tcPr/>
          <w:p>
            <w:pPr>
              <w:pStyle w:val="Compact"/>
            </w:pPr>
            <w:r>
              <w:t xml:space="preserve">Not applicable: no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Study findings, limitations, generalisability,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Funding statement (to be completed)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Competing interests (to be completed)</w:t>
            </w:r>
          </w:p>
        </w:tc>
      </w:tr>
    </w:tbl>
    <w:bookmarkStart w:id="11" w:name="refs"/>
    <w:bookmarkStart w:id="10" w:name="ref-cheers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Husereau D, Drummond M, Augustovski F, Bekker-Grob E de, Briggs AH, Carswell C, et al.</w:t>
      </w:r>
      <w:r>
        <w:t xml:space="preserve"> </w:t>
      </w:r>
      <w:r>
        <w:t xml:space="preserve">Consolidated Health Economic Evaluation Reporting Standards 2022 (CHEERS 2022) statement: updated reporting guidance for health economic evaluations</w:t>
      </w:r>
      <w:r>
        <w:t xml:space="preserve">. BMJ. 2022;376: e067975. doi:</w:t>
      </w:r>
      <w:hyperlink r:id="rId9">
        <w:r>
          <w:rPr>
            <w:rStyle w:val="Hyperlink"/>
          </w:rPr>
          <w:t xml:space="preserve">10.1136/bmj-2021-067975</w:t>
        </w:r>
      </w:hyperlink>
    </w:p>
    <w:bookmarkEnd w:id="10"/>
    <w:bookmarkEnd w:id="11"/>
    <w:sectPr>
      <w:footerReference w:type="default" r:id="rIdPlosFooter"/>
      <w:lnNumType w:countBy="1" w:restart="continuous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_plos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136/bmj-2021-067975" TargetMode="External" /><Relationship Id="rIdPlosFooter" Type="http://schemas.openxmlformats.org/officeDocument/2006/relationships/footer" Target="footer_plo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136/bmj-2021-06797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 Checklist. CHEERS 2022 checklist</dc:title>
  <dc:creator/>
  <cp:keywords/>
  <dcterms:created xsi:type="dcterms:W3CDTF">2026-10-28T05:03:38Z</dcterms:created>
  <dcterms:modified xsi:type="dcterms:W3CDTF">2026-10-28T05:03:38Z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/Users/yichenhe/Documents/Work/HepC-Transimission-Modelling/docs/references.bib</vt:lpwstr>
  </property>
  <property fmtid="{D5CDD505-2E9C-101B-9397-08002B2CF9AE}" pid="3" name="csl">
    <vt:lpwstr>/Users/yichenhe/Documents/Work/HepC-Transimission-Modelling/docs/plos.csl</vt:lpwstr>
  </property>
</Properties>
</file>