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7.png" ContentType="image/png"/>
  <Override PartName="/word/media/rId46.png" ContentType="image/png"/>
  <Override PartName="/word/media/rId43.png" ContentType="image/png"/>
  <Override PartName="/word/media/rId40.png" ContentType="image/png"/>
  <Override PartName="/word/footer_plos.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S1 Text. Technical appendix</w:t>
      </w:r>
    </w:p>
    <w:p>
      <w:pPr>
        <w:pStyle w:val="Subtitle"/>
      </w:pPr>
      <w:r>
        <w:t xml:space="preserve">Prison treatment and post-release screening for hepatitis C among people who inject drugs in Singapore: A modelling study</w:t>
      </w:r>
    </w:p>
    <w:p>
      <w:pPr>
        <w:pStyle w:val="FirstParagraph"/>
      </w:pPr>
      <w:r>
        <w:t xml:space="preserve">Tables and figures in this appendix are numbered Table A, Table B and so on, and Fig A, Fig B and so on.</w:t>
      </w:r>
    </w:p>
    <w:bookmarkStart w:id="15" w:name="model"/>
    <w:p>
      <w:pPr>
        <w:pStyle w:val="Heading1"/>
      </w:pPr>
      <w:r>
        <w:t xml:space="preserve">1. Model</w:t>
      </w:r>
    </w:p>
    <w:bookmarkStart w:id="9" w:name="compartments"/>
    <w:p>
      <w:pPr>
        <w:pStyle w:val="Heading2"/>
      </w:pPr>
      <w:r>
        <w:t xml:space="preserve">1.1 Compartments</w:t>
      </w:r>
    </w:p>
    <w:p>
      <w:pPr>
        <w:pStyle w:val="FirstParagraph"/>
      </w:pPr>
      <w:r>
        <w:t xml:space="preserve">The state</w:t>
      </w:r>
      <w:r>
        <w:t xml:space="preserve"> </w:t>
      </w:r>
      <m:oMath>
        <m:sSub>
          <m:e>
            <m:r>
              <m:t>y</m:t>
            </m:r>
          </m:e>
          <m:sub>
            <m:r>
              <m:t>s</m:t>
            </m:r>
            <m:r>
              <m:rPr>
                <m:sty m:val="p"/>
              </m:rPr>
              <m:t>,</m:t>
            </m:r>
            <m:r>
              <m:t>k</m:t>
            </m:r>
            <m:r>
              <m:rPr>
                <m:sty m:val="p"/>
              </m:rPr>
              <m:t>,</m:t>
            </m:r>
            <m:r>
              <m:t>h</m:t>
            </m:r>
            <m:r>
              <m:rPr>
                <m:sty m:val="p"/>
              </m:rPr>
              <m:t>,</m:t>
            </m:r>
            <m:r>
              <m:t>i</m:t>
            </m:r>
          </m:sub>
        </m:sSub>
      </m:oMath>
      <w:r>
        <w:t xml:space="preserve"> </w:t>
      </w:r>
      <w:r>
        <w:t xml:space="preserve">counts people in group</w:t>
      </w:r>
      <w:r>
        <w:t xml:space="preserve"> </w:t>
      </w:r>
      <m:oMath>
        <m:r>
          <m:t>s</m:t>
        </m:r>
      </m:oMath>
      <w:r>
        <w:t xml:space="preserve"> </w:t>
      </w:r>
      <w:r>
        <w:t xml:space="preserve">(D, J, F or X), liver stage</w:t>
      </w:r>
      <w:r>
        <w:t xml:space="preserve"> </w:t>
      </w:r>
      <m:oMath>
        <m:r>
          <m:t>k</m:t>
        </m:r>
      </m:oMath>
      <w:r>
        <w:t xml:space="preserve"> </w:t>
      </w:r>
      <w:r>
        <w:t xml:space="preserve">(1 non-cirrhotic, 2 compensated cirrhosis, 3 decompensated cirrhosis, 4 hepatocellular carcinoma), HCV state</w:t>
      </w:r>
      <w:r>
        <w:t xml:space="preserve"> </w:t>
      </w:r>
      <m:oMath>
        <m:r>
          <m:t>h</m:t>
        </m:r>
      </m:oMath>
      <w:r>
        <w:t xml:space="preserve"> </w:t>
      </w:r>
      <w:r>
        <w:t xml:space="preserve">(u susceptible, a acute, c chronic, t on treatment, r recovered) and age group</w:t>
      </w:r>
      <w:r>
        <w:t xml:space="preserve"> </w:t>
      </w:r>
      <m:oMath>
        <m:r>
          <m:t>i</m:t>
        </m:r>
      </m:oMath>
      <w:r>
        <w:t xml:space="preserve"> </w:t>
      </w:r>
      <w:r>
        <w:t xml:space="preserve">(1–6). There are 480 compartments.</w:t>
      </w:r>
    </w:p>
    <w:p>
      <w:pPr>
        <w:pStyle w:val="BodyText"/>
      </w:pPr>
      <w:r>
        <w:t xml:space="preserve">Recovered people (r), after spontaneous clearance or treatment, remain antibody positive and can be reinfected. Susceptible people are in stage 1 only. Recovered people keep the liver stage they had when they cleared.</w:t>
      </w:r>
    </w:p>
    <w:bookmarkEnd w:id="9"/>
    <w:bookmarkStart w:id="10" w:name="transmission"/>
    <w:p>
      <w:pPr>
        <w:pStyle w:val="Heading2"/>
      </w:pPr>
      <w:r>
        <w:t xml:space="preserve">1.2 Transmission</w:t>
      </w:r>
    </w:p>
    <w:p>
      <w:pPr>
        <w:pStyle w:val="FirstParagraph"/>
      </w:pPr>
      <w:r>
        <w:t xml:space="preserve">The force of infection in age group</w:t>
      </w:r>
      <w:r>
        <w:t xml:space="preserve"> </w:t>
      </w:r>
      <m:oMath>
        <m:r>
          <m:t>i</m:t>
        </m:r>
      </m:oMath>
      <w:r>
        <w:t xml:space="preserve"> </w:t>
      </w:r>
      <w:r>
        <w:t xml:space="preserve">is</w:t>
      </w:r>
      <w:r>
        <w:t xml:space="preserve"> </w:t>
      </w:r>
      <m:oMath>
        <m:sSub>
          <m:e>
            <m:r>
              <m:t>γ</m:t>
            </m:r>
          </m:e>
          <m:sub>
            <m:r>
              <m:t>i</m:t>
            </m:r>
          </m:sub>
        </m:sSub>
        <m:r>
          <m:rPr>
            <m:sty m:val="p"/>
          </m:rPr>
          <m:t>=</m:t>
        </m:r>
        <m:r>
          <m:t>q</m:t>
        </m:r>
        <m:nary>
          <m:naryPr>
            <m:chr m:val="∑"/>
            <m:limLoc m:val="undOvr"/>
            <m:subHide m:val="off"/>
            <m:supHide m:val="on"/>
          </m:naryPr>
          <m:sub>
            <m:r>
              <m:t>j</m:t>
            </m:r>
          </m:sub>
          <m:sup>
            <m:r>
              <m:t>​</m:t>
            </m:r>
          </m:sup>
          <m:e>
            <m:sSub>
              <m:e>
                <m:acc>
                  <m:accPr>
                    <m:chr m:val="̃"/>
                  </m:accPr>
                  <m:e>
                    <m:r>
                      <m:t>C</m:t>
                    </m:r>
                  </m:e>
                </m:acc>
              </m:e>
              <m:sub>
                <m:r>
                  <m:t>i</m:t>
                </m:r>
                <m:r>
                  <m:t>j</m:t>
                </m:r>
              </m:sub>
            </m:sSub>
          </m:e>
        </m:nary>
        <m:r>
          <m:t> </m:t>
        </m:r>
        <m:f>
          <m:fPr>
            <m:type m:val="bar"/>
          </m:fPr>
          <m:num>
            <m:sSub>
              <m:e>
                <m:r>
                  <m:t>a</m:t>
                </m:r>
              </m:e>
              <m:sub>
                <m:r>
                  <m:t>j</m:t>
                </m:r>
              </m:sub>
            </m:sSub>
            <m:r>
              <m:rPr>
                <m:sty m:val="p"/>
              </m:rPr>
              <m:t>+</m:t>
            </m:r>
            <m:sSub>
              <m:e>
                <m:r>
                  <m:t>c</m:t>
                </m:r>
              </m:e>
              <m:sub>
                <m:r>
                  <m:t>j</m:t>
                </m:r>
              </m:sub>
            </m:sSub>
          </m:num>
          <m:den>
            <m:sSub>
              <m:e>
                <m:r>
                  <m:t>N</m:t>
                </m:r>
              </m:e>
              <m:sub>
                <m:r>
                  <m:t>j</m:t>
                </m:r>
              </m:sub>
            </m:sSub>
          </m:den>
        </m:f>
      </m:oMath>
      <w:r>
        <w:t xml:space="preserve">, where</w:t>
      </w:r>
      <w:r>
        <w:t xml:space="preserve"> </w:t>
      </w:r>
      <m:oMath>
        <m:sSub>
          <m:e>
            <m:r>
              <m:t>a</m:t>
            </m:r>
          </m:e>
          <m:sub>
            <m:r>
              <m:t>j</m:t>
            </m:r>
          </m:sub>
        </m:sSub>
      </m:oMath>
      <w:r>
        <w:t xml:space="preserve"> </w:t>
      </w:r>
      <w:r>
        <w:t xml:space="preserve">and</w:t>
      </w:r>
      <w:r>
        <w:t xml:space="preserve"> </w:t>
      </w:r>
      <m:oMath>
        <m:sSub>
          <m:e>
            <m:r>
              <m:t>c</m:t>
            </m:r>
          </m:e>
          <m:sub>
            <m:r>
              <m:t>j</m:t>
            </m:r>
          </m:sub>
        </m:sSub>
      </m:oMath>
      <w:r>
        <w:t xml:space="preserve"> </w:t>
      </w:r>
      <w:r>
        <w:t xml:space="preserve">are the acute and chronic people and</w:t>
      </w:r>
      <w:r>
        <w:t xml:space="preserve"> </w:t>
      </w:r>
      <m:oMath>
        <m:sSub>
          <m:e>
            <m:r>
              <m:t>N</m:t>
            </m:r>
          </m:e>
          <m:sub>
            <m:r>
              <m:t>j</m:t>
            </m:r>
          </m:sub>
        </m:sSub>
      </m:oMath>
      <w:r>
        <w:t xml:space="preserve"> </w:t>
      </w:r>
      <w:r>
        <w:t xml:space="preserve">is everyone in D and F in age group</w:t>
      </w:r>
      <w:r>
        <w:t xml:space="preserve"> </w:t>
      </w:r>
      <m:oMath>
        <m:r>
          <m:t>j</m:t>
        </m:r>
      </m:oMath>
      <w:r>
        <w:t xml:space="preserve">, and</w:t>
      </w:r>
      <w:r>
        <w:t xml:space="preserve"> </w:t>
      </w:r>
      <m:oMath>
        <m:sSub>
          <m:e>
            <m:acc>
              <m:accPr>
                <m:chr m:val="̃"/>
              </m:accPr>
              <m:e>
                <m:r>
                  <m:t>C</m:t>
                </m:r>
              </m:e>
            </m:acc>
          </m:e>
          <m:sub>
            <m:r>
              <m:t>i</m:t>
            </m:r>
            <m:r>
              <m:t>j</m:t>
            </m:r>
          </m:sub>
        </m:sSub>
        <m:r>
          <m:rPr>
            <m:sty m:val="p"/>
          </m:rPr>
          <m:t>=</m:t>
        </m:r>
        <m:sSub>
          <m:e>
            <m:r>
              <m:t>C</m:t>
            </m:r>
          </m:e>
          <m:sub>
            <m:r>
              <m:t>i</m:t>
            </m:r>
            <m:r>
              <m:t>j</m:t>
            </m:r>
          </m:sub>
        </m:sSub>
        <m:sSup>
          <m:e>
            <m:r>
              <m:t>e</m:t>
            </m:r>
          </m:e>
          <m:sup>
            <m:sSub>
              <m:e>
                <m:r>
                  <m:t>θ</m:t>
                </m:r>
              </m:e>
              <m:sub>
                <m:r>
                  <m:t>i</m:t>
                </m:r>
              </m:sub>
            </m:sSub>
          </m:sup>
        </m:sSup>
      </m:oMath>
      <w:r>
        <w:t xml:space="preserve"> </w:t>
      </w:r>
      <w:r>
        <w:t xml:space="preserve">is the base contact matrix with row</w:t>
      </w:r>
      <w:r>
        <w:t xml:space="preserve"> </w:t>
      </w:r>
      <m:oMath>
        <m:r>
          <m:t>i</m:t>
        </m:r>
      </m:oMath>
      <w:r>
        <w:t xml:space="preserve"> </w:t>
      </w:r>
      <w:r>
        <w:t xml:space="preserve">multiplied by the calibrated factor</w:t>
      </w:r>
      <w:r>
        <w:t xml:space="preserve"> </w:t>
      </w:r>
      <m:oMath>
        <m:sSup>
          <m:e>
            <m:r>
              <m:t>e</m:t>
            </m:r>
          </m:e>
          <m:sup>
            <m:sSub>
              <m:e>
                <m:r>
                  <m:t>θ</m:t>
                </m:r>
              </m:e>
              <m:sub>
                <m:r>
                  <m:t>i</m:t>
                </m:r>
              </m:sub>
            </m:sSub>
          </m:sup>
        </m:sSup>
      </m:oMath>
      <w:r>
        <w:t xml:space="preserve">. Susceptible and recovered people in D and F become acute at rate</w:t>
      </w:r>
      <w:r>
        <w:t xml:space="preserve"> </w:t>
      </w:r>
      <m:oMath>
        <m:sSub>
          <m:e>
            <m:r>
              <m:t>γ</m:t>
            </m:r>
          </m:e>
          <m:sub>
            <m:r>
              <m:t>i</m:t>
            </m:r>
          </m:sub>
        </m:sSub>
      </m:oMath>
      <w:r>
        <w:t xml:space="preserve">. People in J and X are not infected.</w:t>
      </w:r>
    </w:p>
    <w:bookmarkEnd w:id="10"/>
    <w:bookmarkStart w:id="11" w:name="movement-between-groups"/>
    <w:p>
      <w:pPr>
        <w:pStyle w:val="Heading2"/>
      </w:pPr>
      <w:r>
        <w:t xml:space="preserve">1.3 Movement between groups</w:t>
      </w:r>
    </w:p>
    <w:p>
      <w:pPr>
        <w:pStyle w:val="FirstParagraph"/>
      </w:pPr>
      <w:r>
        <w:t xml:space="preserve">New injectors enter D (state u, stage 1) at rate</w:t>
      </w:r>
      <w:r>
        <w:t xml:space="preserve"> </w:t>
      </w:r>
      <m:oMath>
        <m:sSub>
          <m:e>
            <m:r>
              <m:t>s</m:t>
            </m:r>
          </m:e>
          <m:sub>
            <m:r>
              <m:t>i</m:t>
            </m:r>
          </m:sub>
        </m:sSub>
        <m:sSub>
          <m:e>
            <m:r>
              <m:t>β</m:t>
            </m:r>
          </m:e>
          <m:sub>
            <m:r>
              <m:t>i</m:t>
            </m:r>
          </m:sub>
        </m:sSub>
      </m:oMath>
      <w:r>
        <w:t xml:space="preserve"> </w:t>
      </w:r>
      <w:r>
        <w:t xml:space="preserve">per year, where</w:t>
      </w:r>
      <w:r>
        <w:t xml:space="preserve"> </w:t>
      </w:r>
      <m:oMath>
        <m:sSub>
          <m:e>
            <m:r>
              <m:t>β</m:t>
            </m:r>
          </m:e>
          <m:sub>
            <m:r>
              <m:t>i</m:t>
            </m:r>
          </m:sub>
        </m:sSub>
      </m:oMath>
      <w:r>
        <w:t xml:space="preserve"> </w:t>
      </w:r>
      <w:r>
        <w:t xml:space="preserve">is the 2015 Central Narcotics Bureau count of new drug abusers in age group</w:t>
      </w:r>
      <w:r>
        <w:t xml:space="preserve"> </w:t>
      </w:r>
      <m:oMath>
        <m:r>
          <m:t>i</m:t>
        </m:r>
      </m:oMath>
      <w:r>
        <w:t xml:space="preserve"> </w:t>
      </w:r>
      <w:r>
        <w:t xml:space="preserve">and</w:t>
      </w:r>
      <w:r>
        <w:t xml:space="preserve"> </w:t>
      </w:r>
      <m:oMath>
        <m:sSub>
          <m:e>
            <m:r>
              <m:t>s</m:t>
            </m:r>
          </m:e>
          <m:sub>
            <m:r>
              <m:t>i</m:t>
            </m:r>
          </m:sub>
        </m:sSub>
        <m:r>
          <m:rPr>
            <m:sty m:val="p"/>
          </m:rPr>
          <m:t>≥</m:t>
        </m:r>
        <m:r>
          <m:t>1</m:t>
        </m:r>
      </m:oMath>
      <w:r>
        <w:t xml:space="preserve"> </w:t>
      </w:r>
      <w:r>
        <w:t xml:space="preserve">is a calibrated entry scale. Entry is the same in every year.</w:t>
      </w:r>
    </w:p>
    <w:p>
      <w:pPr>
        <w:pStyle w:val="BodyText"/>
      </w:pPr>
      <w:r>
        <w:t xml:space="preserve">People leave D for J at the first-arrest rate</w:t>
      </w:r>
      <w:r>
        <w:t xml:space="preserve"> </w:t>
      </w:r>
      <m:oMath>
        <m:sSubSup>
          <m:e>
            <m:r>
              <m:t>λ</m:t>
            </m:r>
          </m:e>
          <m:sub>
            <m:r>
              <m:t>i</m:t>
            </m:r>
          </m:sub>
          <m:sup>
            <m:r>
              <m:rPr>
                <m:sty m:val="p"/>
              </m:rPr>
              <m:t>(</m:t>
            </m:r>
            <m:r>
              <m:t>1</m:t>
            </m:r>
            <m:r>
              <m:rPr>
                <m:sty m:val="p"/>
              </m:rPr>
              <m:t>)</m:t>
            </m:r>
          </m:sup>
        </m:sSubSup>
        <m:r>
          <m:rPr>
            <m:sty m:val="p"/>
          </m:rPr>
          <m:t>=</m:t>
        </m:r>
        <m:r>
          <m:t>c</m:t>
        </m:r>
        <m:r>
          <m:t> </m:t>
        </m:r>
        <m:sSubSup>
          <m:e>
            <m:r>
              <m:t>λ</m:t>
            </m:r>
          </m:e>
          <m:sub>
            <m:r>
              <m:t>i</m:t>
            </m:r>
          </m:sub>
          <m:sup>
            <m:r>
              <m:rPr>
                <m:sty m:val="p"/>
              </m:rPr>
              <m:t>(</m:t>
            </m:r>
            <m:r>
              <m:t>3</m:t>
            </m:r>
            <m:r>
              <m:rPr>
                <m:sty m:val="p"/>
              </m:rPr>
              <m:t>)</m:t>
            </m:r>
          </m:sup>
        </m:sSubSup>
      </m:oMath>
      <w:r>
        <w:t xml:space="preserve"> </w:t>
      </w:r>
      <w:r>
        <w:t xml:space="preserve">and leave F for J at the re-arrest rate</w:t>
      </w:r>
      <w:r>
        <w:t xml:space="preserve"> </w:t>
      </w:r>
      <m:oMath>
        <m:sSubSup>
          <m:e>
            <m:r>
              <m:t>λ</m:t>
            </m:r>
          </m:e>
          <m:sub>
            <m:r>
              <m:t>i</m:t>
            </m:r>
          </m:sub>
          <m:sup>
            <m:r>
              <m:rPr>
                <m:sty m:val="p"/>
              </m:rPr>
              <m:t>(</m:t>
            </m:r>
            <m:r>
              <m:t>3</m:t>
            </m:r>
            <m:r>
              <m:rPr>
                <m:sty m:val="p"/>
              </m:rPr>
              <m:t>)</m:t>
            </m:r>
          </m:sup>
        </m:sSubSup>
      </m:oMath>
      <w:r>
        <w:t xml:space="preserve">. People leave J at the release rate</w:t>
      </w:r>
      <w:r>
        <w:t xml:space="preserve"> </w:t>
      </w:r>
      <m:oMath>
        <m:sSubSup>
          <m:e>
            <m:r>
              <m:t>λ</m:t>
            </m:r>
          </m:e>
          <m:sub>
            <m:r>
              <m:t>i</m:t>
            </m:r>
          </m:sub>
          <m:sup>
            <m:r>
              <m:rPr>
                <m:sty m:val="p"/>
              </m:rPr>
              <m:t>(</m:t>
            </m:r>
            <m:r>
              <m:t>2</m:t>
            </m:r>
            <m:r>
              <m:rPr>
                <m:sty m:val="p"/>
              </m:rPr>
              <m:t>)</m:t>
            </m:r>
          </m:sup>
        </m:sSubSup>
      </m:oMath>
      <w:r>
        <w:t xml:space="preserve">; a share</w:t>
      </w:r>
      <w:r>
        <w:t xml:space="preserve"> </w:t>
      </w:r>
      <m:oMath>
        <m:r>
          <m:t>π</m:t>
        </m:r>
      </m:oMath>
      <w:r>
        <w:t xml:space="preserve"> </w:t>
      </w:r>
      <w:r>
        <w:t xml:space="preserve">goes to F and</w:t>
      </w:r>
      <w:r>
        <w:t xml:space="preserve"> </w:t>
      </w:r>
      <m:oMath>
        <m:r>
          <m:t>1</m:t>
        </m:r>
        <m:r>
          <m:rPr>
            <m:sty m:val="p"/>
          </m:rPr>
          <m:t>−</m:t>
        </m:r>
        <m:r>
          <m:t>π</m:t>
        </m:r>
      </m:oMath>
      <w:r>
        <w:t xml:space="preserve"> </w:t>
      </w:r>
      <w:r>
        <w:t xml:space="preserve">to X. People in X do not return to J. Every group ages from age group</w:t>
      </w:r>
      <w:r>
        <w:t xml:space="preserve"> </w:t>
      </w:r>
      <m:oMath>
        <m:r>
          <m:t>i</m:t>
        </m:r>
      </m:oMath>
      <w:r>
        <w:t xml:space="preserve"> </w:t>
      </w:r>
      <w:r>
        <w:t xml:space="preserve">to</w:t>
      </w:r>
      <w:r>
        <w:t xml:space="preserve"> </w:t>
      </w:r>
      <m:oMath>
        <m:r>
          <m:t>i</m:t>
        </m:r>
        <m:r>
          <m:rPr>
            <m:sty m:val="p"/>
          </m:rPr>
          <m:t>+</m:t>
        </m:r>
        <m:r>
          <m:t>1</m:t>
        </m:r>
      </m:oMath>
      <w:r>
        <w:t xml:space="preserve"> </w:t>
      </w:r>
      <w:r>
        <w:t xml:space="preserve">at rate 1/10 per year.</w:t>
      </w:r>
    </w:p>
    <w:bookmarkEnd w:id="11"/>
    <w:bookmarkStart w:id="12" w:name="natural-history-and-treatment"/>
    <w:p>
      <w:pPr>
        <w:pStyle w:val="Heading2"/>
      </w:pPr>
      <w:r>
        <w:t xml:space="preserve">1.4 Natural history and treatment</w:t>
      </w:r>
    </w:p>
    <w:p>
      <w:pPr>
        <w:pStyle w:val="FirstParagraph"/>
      </w:pPr>
      <w:r>
        <w:t xml:space="preserve">Acute infection lasts on average</w:t>
      </w:r>
      <w:r>
        <w:t xml:space="preserve"> </w:t>
      </w:r>
      <m:oMath>
        <m:sSub>
          <m:e>
            <m:r>
              <m:t>ι</m:t>
            </m:r>
          </m:e>
          <m:sub>
            <m:r>
              <m:t>1</m:t>
            </m:r>
          </m:sub>
        </m:sSub>
      </m:oMath>
      <w:r>
        <w:t xml:space="preserve">; a share</w:t>
      </w:r>
      <w:r>
        <w:t xml:space="preserve"> </w:t>
      </w:r>
      <m:oMath>
        <m:r>
          <m:t>κ</m:t>
        </m:r>
      </m:oMath>
      <w:r>
        <w:t xml:space="preserve"> </w:t>
      </w:r>
      <w:r>
        <w:t xml:space="preserve">clears to r and the rest become chronic. Chronic people progress from stage 1 to 2 and from stage 2 to 3 or 4, and from 3 to 4, at rates</w:t>
      </w:r>
      <w:r>
        <w:t xml:space="preserve"> </w:t>
      </w:r>
      <m:oMath>
        <m:sSup>
          <m:e>
            <m:r>
              <m:t>p</m:t>
            </m:r>
          </m:e>
          <m:sup>
            <m:r>
              <m:rPr>
                <m:sty m:val="p"/>
              </m:rPr>
              <m:t>*</m:t>
            </m:r>
          </m:sup>
        </m:sSup>
        <m:r>
          <m:rPr>
            <m:sty m:val="p"/>
          </m:rPr>
          <m:t>=</m:t>
        </m:r>
        <m:r>
          <m:rPr>
            <m:sty m:val="p"/>
          </m:rPr>
          <m:t>(</m:t>
        </m:r>
        <m:r>
          <m:t>ρ</m:t>
        </m:r>
        <m:r>
          <m:t> </m:t>
        </m:r>
        <m:sSub>
          <m:e>
            <m:r>
              <m:t>r</m:t>
            </m:r>
          </m:e>
          <m:sub>
            <m:r>
              <m:t>3</m:t>
            </m:r>
          </m:sub>
        </m:sSub>
        <m:r>
          <m:rPr>
            <m:sty m:val="p"/>
          </m:rPr>
          <m:t>+</m:t>
        </m:r>
        <m:r>
          <m:t>1</m:t>
        </m:r>
        <m:r>
          <m:rPr>
            <m:sty m:val="p"/>
          </m:rPr>
          <m:t>−</m:t>
        </m:r>
        <m:r>
          <m:t>ρ</m:t>
        </m:r>
        <m:r>
          <m:rPr>
            <m:sty m:val="p"/>
          </m:rPr>
          <m:t>)</m:t>
        </m:r>
        <m:r>
          <m:t> </m:t>
        </m:r>
        <m:r>
          <m:t>p</m:t>
        </m:r>
      </m:oMath>
      <w:r>
        <w:t xml:space="preserve"> </w:t>
      </w:r>
      <w:r>
        <w:t xml:space="preserve">that weight the genotype 3 relative risk</w:t>
      </w:r>
      <w:r>
        <w:t xml:space="preserve"> </w:t>
      </w:r>
      <m:oMath>
        <m:sSub>
          <m:e>
            <m:r>
              <m:t>r</m:t>
            </m:r>
          </m:e>
          <m:sub>
            <m:r>
              <m:t>3</m:t>
            </m:r>
          </m:sub>
        </m:sSub>
      </m:oMath>
      <w:r>
        <w:t xml:space="preserve"> </w:t>
      </w:r>
      <w:r>
        <w:t xml:space="preserve">by the genotype 3 share</w:t>
      </w:r>
      <w:r>
        <w:t xml:space="preserve"> </w:t>
      </w:r>
      <m:oMath>
        <m:r>
          <m:t>ρ</m:t>
        </m:r>
      </m:oMath>
      <w:r>
        <w:t xml:space="preserve">. Recovered people in stages 2 and 3 progress at</w:t>
      </w:r>
      <w:r>
        <w:t xml:space="preserve"> </w:t>
      </w:r>
      <m:oMath>
        <m:r>
          <m:t>ϕ</m:t>
        </m:r>
        <m:r>
          <m:t> </m:t>
        </m:r>
        <m:sSup>
          <m:e>
            <m:r>
              <m:t>p</m:t>
            </m:r>
          </m:e>
          <m:sup>
            <m:r>
              <m:rPr>
                <m:sty m:val="p"/>
              </m:rPr>
              <m:t>*</m:t>
            </m:r>
          </m:sup>
        </m:sSup>
      </m:oMath>
      <w:r>
        <w:t xml:space="preserve">.</w:t>
      </w:r>
    </w:p>
    <w:p>
      <w:pPr>
        <w:pStyle w:val="BodyText"/>
      </w:pPr>
      <w:r>
        <w:t xml:space="preserve">Chronic people start treatment at rate</w:t>
      </w:r>
      <w:r>
        <w:t xml:space="preserve"> </w:t>
      </w:r>
      <m:oMath>
        <m:sSub>
          <m:e>
            <m:r>
              <m:t>τ</m:t>
            </m:r>
          </m:e>
          <m:sub>
            <m:r>
              <m:t>s</m:t>
            </m:r>
            <m:r>
              <m:rPr>
                <m:sty m:val="p"/>
              </m:rPr>
              <m:t>,</m:t>
            </m:r>
            <m:r>
              <m:t>k</m:t>
            </m:r>
          </m:sub>
        </m:sSub>
      </m:oMath>
      <w:r>
        <w:t xml:space="preserve"> </w:t>
      </w:r>
      <w:r>
        <w:t xml:space="preserve">(zero in D and before 2019). Treatment lasts on average</w:t>
      </w:r>
      <w:r>
        <w:t xml:space="preserve"> </w:t>
      </w:r>
      <m:oMath>
        <m:sSub>
          <m:e>
            <m:r>
              <m:t>ι</m:t>
            </m:r>
          </m:e>
          <m:sub>
            <m:r>
              <m:t>2</m:t>
            </m:r>
          </m:sub>
        </m:sSub>
      </m:oMath>
      <w:r>
        <w:t xml:space="preserve">; a share</w:t>
      </w:r>
      <w:r>
        <w:t xml:space="preserve"> </w:t>
      </w:r>
      <m:oMath>
        <m:sSub>
          <m:e>
            <m:r>
              <m:t>α</m:t>
            </m:r>
          </m:e>
          <m:sub>
            <m:r>
              <m:t>k</m:t>
            </m:r>
          </m:sub>
        </m:sSub>
      </m:oMath>
      <w:r>
        <w:t xml:space="preserve"> </w:t>
      </w:r>
      <w:r>
        <w:t xml:space="preserve">(sustained virological response) moves to r and the rest return to c.</w:t>
      </w:r>
    </w:p>
    <w:bookmarkEnd w:id="12"/>
    <w:bookmarkStart w:id="13" w:name="mortality"/>
    <w:p>
      <w:pPr>
        <w:pStyle w:val="Heading2"/>
      </w:pPr>
      <w:r>
        <w:t xml:space="preserve">1.5 Mortality</w:t>
      </w:r>
    </w:p>
    <w:p>
      <w:pPr>
        <w:pStyle w:val="FirstParagraph"/>
      </w:pPr>
      <w:r>
        <w:t xml:space="preserve">Everyone dies at the background rate</w:t>
      </w:r>
      <w:r>
        <w:t xml:space="preserve"> </w:t>
      </w:r>
      <m:oMath>
        <m:sSub>
          <m:e>
            <m:r>
              <m:t>μ</m:t>
            </m:r>
          </m:e>
          <m:sub>
            <m:r>
              <m:t>i</m:t>
            </m:r>
          </m:sub>
        </m:sSub>
        <m:r>
          <m:t> </m:t>
        </m:r>
        <m:sSub>
          <m:e>
            <m:r>
              <m:t>σ</m:t>
            </m:r>
          </m:e>
          <m:sub>
            <m:r>
              <m:t>h</m:t>
            </m:r>
          </m:sub>
        </m:sSub>
      </m:oMath>
      <w:r>
        <w:t xml:space="preserve">, where</w:t>
      </w:r>
      <w:r>
        <w:t xml:space="preserve"> </w:t>
      </w:r>
      <m:oMath>
        <m:sSub>
          <m:e>
            <m:r>
              <m:t>μ</m:t>
            </m:r>
          </m:e>
          <m:sub>
            <m:r>
              <m:t>i</m:t>
            </m:r>
          </m:sub>
        </m:sSub>
      </m:oMath>
      <w:r>
        <w:t xml:space="preserve"> </w:t>
      </w:r>
      <w:r>
        <w:t xml:space="preserve">is the 2015 Singapore death rate in age group</w:t>
      </w:r>
      <w:r>
        <w:t xml:space="preserve"> </w:t>
      </w:r>
      <m:oMath>
        <m:r>
          <m:t>i</m:t>
        </m:r>
      </m:oMath>
      <w:r>
        <w:t xml:space="preserve"> </w:t>
      </w:r>
      <w:r>
        <w:t xml:space="preserve">and</w:t>
      </w:r>
      <w:r>
        <w:t xml:space="preserve"> </w:t>
      </w:r>
      <m:oMath>
        <m:sSub>
          <m:e>
            <m:r>
              <m:t>σ</m:t>
            </m:r>
          </m:e>
          <m:sub>
            <m:r>
              <m:t>h</m:t>
            </m:r>
          </m:sub>
        </m:sSub>
      </m:oMath>
      <w:r>
        <w:t xml:space="preserve"> </w:t>
      </w:r>
      <w:r>
        <w:t xml:space="preserve">is the standardised mortality ratio of people who use drugs:</w:t>
      </w:r>
      <w:r>
        <w:t xml:space="preserve"> </w:t>
      </w:r>
      <m:oMath>
        <m:sSub>
          <m:e>
            <m:r>
              <m:t>σ</m:t>
            </m:r>
          </m:e>
          <m:sub>
            <m:r>
              <m:t>v</m:t>
            </m:r>
          </m:sub>
        </m:sSub>
      </m:oMath>
      <w:r>
        <w:t xml:space="preserve"> </w:t>
      </w:r>
      <w:r>
        <w:t xml:space="preserve">for viraemic states (a, c, t) and</w:t>
      </w:r>
      <w:r>
        <w:t xml:space="preserve"> </w:t>
      </w:r>
      <m:oMath>
        <m:sSub>
          <m:e>
            <m:r>
              <m:t>σ</m:t>
            </m:r>
          </m:e>
          <m:sub>
            <m:r>
              <m:t>n</m:t>
            </m:r>
          </m:sub>
        </m:sSub>
      </m:oMath>
      <w:r>
        <w:t xml:space="preserve"> </w:t>
      </w:r>
      <w:r>
        <w:t xml:space="preserve">for others (u, r). People in stages 3 and 4 also die of liver disease at</w:t>
      </w:r>
      <w:r>
        <w:t xml:space="preserve"> </w:t>
      </w:r>
      <m:oMath>
        <m:sSub>
          <m:e>
            <m:r>
              <m:t>μ</m:t>
            </m:r>
          </m:e>
          <m:sub>
            <m:r>
              <m:t>D</m:t>
            </m:r>
            <m:r>
              <m:t>C</m:t>
            </m:r>
          </m:sub>
        </m:sSub>
      </m:oMath>
      <w:r>
        <w:t xml:space="preserve"> </w:t>
      </w:r>
      <w:r>
        <w:t xml:space="preserve">or</w:t>
      </w:r>
      <w:r>
        <w:t xml:space="preserve"> </w:t>
      </w:r>
      <m:oMath>
        <m:sSub>
          <m:e>
            <m:r>
              <m:t>μ</m:t>
            </m:r>
          </m:e>
          <m:sub>
            <m:r>
              <m:t>H</m:t>
            </m:r>
            <m:r>
              <m:t>C</m:t>
            </m:r>
            <m:r>
              <m:t>C</m:t>
            </m:r>
          </m:sub>
        </m:sSub>
      </m:oMath>
      <w:r>
        <w:t xml:space="preserve">, multiplied by</w:t>
      </w:r>
      <w:r>
        <w:t xml:space="preserve"> </w:t>
      </w:r>
      <m:oMath>
        <m:sSub>
          <m:e>
            <m:r>
              <m:t>ψ</m:t>
            </m:r>
          </m:e>
          <m:sub>
            <m:r>
              <m:t>D</m:t>
            </m:r>
            <m:r>
              <m:t>C</m:t>
            </m:r>
          </m:sub>
        </m:sSub>
      </m:oMath>
      <w:r>
        <w:t xml:space="preserve"> </w:t>
      </w:r>
      <w:r>
        <w:t xml:space="preserve">or</w:t>
      </w:r>
      <w:r>
        <w:t xml:space="preserve"> </w:t>
      </w:r>
      <m:oMath>
        <m:sSub>
          <m:e>
            <m:r>
              <m:t>ψ</m:t>
            </m:r>
          </m:e>
          <m:sub>
            <m:r>
              <m:t>H</m:t>
            </m:r>
            <m:r>
              <m:t>C</m:t>
            </m:r>
            <m:r>
              <m:t>C</m:t>
            </m:r>
          </m:sub>
        </m:sSub>
      </m:oMath>
      <w:r>
        <w:t xml:space="preserve"> </w:t>
      </w:r>
      <w:r>
        <w:t xml:space="preserve">after treatment (states t and r).</w:t>
      </w:r>
    </w:p>
    <w:bookmarkEnd w:id="13"/>
    <w:bookmarkStart w:id="14" w:name="numerical-solution-and-equilibrium"/>
    <w:p>
      <w:pPr>
        <w:pStyle w:val="Heading2"/>
      </w:pPr>
      <w:r>
        <w:t xml:space="preserve">1.6 Numerical solution and equilibrium</w:t>
      </w:r>
    </w:p>
    <w:p>
      <w:pPr>
        <w:pStyle w:val="FirstParagraph"/>
      </w:pPr>
      <w:r>
        <w:t xml:space="preserve">The equations were integrated with a fourth-order Runge–Kutta method and a step of one day. Negative values were set to zero after each step, and ageing was applied after each step. Each run started from a seed population in D and ran for 150 model years; model year 150 is 2015.</w:t>
      </w:r>
    </w:p>
    <w:p>
      <w:pPr>
        <w:pStyle w:val="BodyText"/>
      </w:pPr>
      <w:r>
        <w:t xml:space="preserve">A run was accepted as being at equilibrium in 2015 if, between model years 140 and 150, the prison population of every age group changed by at most 1% on the log scale, prison seroprevalence by at most 0.5 percentage points, total HCV, decompensated cirrhosis and carcinoma counts by at most 1%, and every compartment by at most 2%. Runs that failed had zero posterior density.</w:t>
      </w:r>
    </w:p>
    <w:bookmarkEnd w:id="14"/>
    <w:bookmarkEnd w:id="15"/>
    <w:bookmarkStart w:id="16" w:name="fixed-parameters"/>
    <w:p>
      <w:pPr>
        <w:pStyle w:val="Heading1"/>
      </w:pPr>
      <w:r>
        <w:t xml:space="preserve">2. Fixed parameters</w:t>
      </w:r>
    </w:p>
    <w:p>
      <w:pPr>
        <w:pStyle w:val="FirstParagraph"/>
      </w:pPr>
      <w:r>
        <w:t xml:space="preserve">Table A lists the fixed parameters. They are the values used by the model code.</w:t>
      </w:r>
    </w:p>
    <w:p>
      <w:pPr>
        <w:pStyle w:val="BodyText"/>
      </w:pPr>
      <w:r>
        <w:rPr>
          <w:b/>
          <w:bCs/>
        </w:rPr>
        <w:t xml:space="preserve">Table A. Fixed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t xml:space="preserve">Transmission probability per sharing event,</w:t>
            </w:r>
            <w:r>
              <w:t xml:space="preserve"> </w:t>
            </w:r>
            <m:oMath>
              <m:r>
                <m:t>q</m:t>
              </m:r>
            </m:oMath>
          </w:p>
        </w:tc>
        <w:tc>
          <w:tcPr/>
          <w:p>
            <w:pPr>
              <w:pStyle w:val="Compact"/>
            </w:pPr>
            <w:r>
              <w:t xml:space="preserve">0.0057</w:t>
            </w:r>
          </w:p>
        </w:tc>
        <w:tc>
          <w:tcPr/>
          <w:p>
            <w:pPr>
              <w:pStyle w:val="Compact"/>
            </w:pPr>
            <w:r>
              <w:t xml:space="preserve">[1]</w:t>
            </w:r>
          </w:p>
        </w:tc>
      </w:tr>
      <w:tr>
        <w:tc>
          <w:tcPr/>
          <w:p>
            <w:pPr>
              <w:pStyle w:val="Compact"/>
            </w:pPr>
            <w:r>
              <w:t xml:space="preserve">Spontaneous clearance,</w:t>
            </w:r>
            <w:r>
              <w:t xml:space="preserve"> </w:t>
            </w:r>
            <m:oMath>
              <m:r>
                <m:t>κ</m:t>
              </m:r>
            </m:oMath>
          </w:p>
        </w:tc>
        <w:tc>
          <w:tcPr/>
          <w:p>
            <w:pPr>
              <w:pStyle w:val="Compact"/>
            </w:pPr>
            <w:r>
              <w:t xml:space="preserve">0.26</w:t>
            </w:r>
          </w:p>
        </w:tc>
        <w:tc>
          <w:tcPr/>
          <w:p>
            <w:pPr>
              <w:pStyle w:val="Compact"/>
            </w:pPr>
            <w:r>
              <w:t xml:space="preserve">[2]</w:t>
            </w:r>
          </w:p>
        </w:tc>
      </w:tr>
      <w:tr>
        <w:tc>
          <w:tcPr/>
          <w:p>
            <w:pPr>
              <w:pStyle w:val="Compact"/>
            </w:pPr>
            <w:r>
              <w:t xml:space="preserve">Mean acute duration,</w:t>
            </w:r>
            <w:r>
              <w:t xml:space="preserve"> </w:t>
            </w:r>
            <m:oMath>
              <m:sSub>
                <m:e>
                  <m:r>
                    <m:t>ι</m:t>
                  </m:r>
                </m:e>
                <m:sub>
                  <m:r>
                    <m:t>1</m:t>
                  </m:r>
                </m:sub>
              </m:sSub>
            </m:oMath>
          </w:p>
        </w:tc>
        <w:tc>
          <w:tcPr/>
          <w:p>
            <w:pPr>
              <w:pStyle w:val="Compact"/>
            </w:pPr>
            <w:r>
              <w:t xml:space="preserve">180 days</w:t>
            </w:r>
          </w:p>
        </w:tc>
        <w:tc>
          <w:tcPr/>
          <w:p>
            <w:pPr>
              <w:pStyle w:val="Compact"/>
            </w:pPr>
            <w:r>
              <w:t xml:space="preserve">[3]</w:t>
            </w:r>
          </w:p>
        </w:tc>
      </w:tr>
      <w:tr>
        <w:tc>
          <w:tcPr/>
          <w:p>
            <w:pPr>
              <w:pStyle w:val="Compact"/>
            </w:pPr>
            <w:r>
              <w:t xml:space="preserve">Mean treatment duration,</w:t>
            </w:r>
            <w:r>
              <w:t xml:space="preserve"> </w:t>
            </w:r>
            <m:oMath>
              <m:sSub>
                <m:e>
                  <m:r>
                    <m:t>ι</m:t>
                  </m:r>
                </m:e>
                <m:sub>
                  <m:r>
                    <m:t>2</m:t>
                  </m:r>
                </m:sub>
              </m:sSub>
            </m:oMath>
          </w:p>
        </w:tc>
        <w:tc>
          <w:tcPr/>
          <w:p>
            <w:pPr>
              <w:pStyle w:val="Compact"/>
            </w:pPr>
            <w:r>
              <w:t xml:space="preserve">84 days (12 weeks)</w:t>
            </w:r>
          </w:p>
        </w:tc>
        <w:tc>
          <w:tcPr/>
          <w:p>
            <w:pPr>
              <w:pStyle w:val="Compact"/>
            </w:pPr>
            <w:r>
              <w:t xml:space="preserve">Regimen length</w:t>
            </w:r>
          </w:p>
        </w:tc>
      </w:tr>
      <w:tr>
        <w:tc>
          <w:tcPr/>
          <w:p>
            <w:pPr>
              <w:pStyle w:val="Compact"/>
            </w:pPr>
            <w:r>
              <w:t xml:space="preserve">Genotype 3 share,</w:t>
            </w:r>
            <w:r>
              <w:t xml:space="preserve"> </w:t>
            </w:r>
            <m:oMath>
              <m:r>
                <m:t>ρ</m:t>
              </m:r>
            </m:oMath>
          </w:p>
        </w:tc>
        <w:tc>
          <w:tcPr/>
          <w:p>
            <w:pPr>
              <w:pStyle w:val="Compact"/>
            </w:pPr>
            <w:r>
              <w:t xml:space="preserve">0.78</w:t>
            </w:r>
          </w:p>
        </w:tc>
        <w:tc>
          <w:tcPr/>
          <w:p>
            <w:pPr>
              <w:pStyle w:val="Compact"/>
            </w:pPr>
            <w:r>
              <w:t xml:space="preserve">[4]</w:t>
            </w:r>
          </w:p>
        </w:tc>
      </w:tr>
      <w:tr>
        <w:tc>
          <w:tcPr/>
          <w:p>
            <w:pPr>
              <w:pStyle w:val="Compact"/>
            </w:pPr>
            <w:r>
              <w:t xml:space="preserve">Sustained response, stages 1–2</w:t>
            </w:r>
          </w:p>
        </w:tc>
        <w:tc>
          <w:tcPr/>
          <w:p>
            <w:pPr>
              <w:pStyle w:val="Compact"/>
            </w:pPr>
            <w:r>
              <w:t xml:space="preserve">0.9787</w:t>
            </w:r>
          </w:p>
        </w:tc>
        <w:tc>
          <w:tcPr/>
          <w:p>
            <w:pPr>
              <w:pStyle w:val="Compact"/>
            </w:pPr>
            <w:r>
              <w:t xml:space="preserve">[5]</w:t>
            </w:r>
          </w:p>
        </w:tc>
      </w:tr>
      <w:tr>
        <w:tc>
          <w:tcPr/>
          <w:p>
            <w:pPr>
              <w:pStyle w:val="Compact"/>
            </w:pPr>
            <w:r>
              <w:t xml:space="preserve">Sustained response, stage 3, without ribavirin (scenarios)</w:t>
            </w:r>
          </w:p>
        </w:tc>
        <w:tc>
          <w:tcPr/>
          <w:p>
            <w:pPr>
              <w:pStyle w:val="Compact"/>
            </w:pPr>
            <w:r>
              <w:t xml:space="preserve">0.549</w:t>
            </w:r>
          </w:p>
        </w:tc>
        <w:tc>
          <w:tcPr/>
          <w:p>
            <w:pPr>
              <w:pStyle w:val="Compact"/>
            </w:pPr>
            <w:r>
              <w:t xml:space="preserve">[6]</w:t>
            </w:r>
          </w:p>
        </w:tc>
      </w:tr>
      <w:tr>
        <w:tc>
          <w:tcPr/>
          <w:p>
            <w:pPr>
              <w:pStyle w:val="Compact"/>
            </w:pPr>
            <w:r>
              <w:t xml:space="preserve">Sustained response, stage 4</w:t>
            </w:r>
          </w:p>
        </w:tc>
        <w:tc>
          <w:tcPr/>
          <w:p>
            <w:pPr>
              <w:pStyle w:val="Compact"/>
            </w:pPr>
            <w:r>
              <w:t xml:space="preserve">0.8818</w:t>
            </w:r>
          </w:p>
        </w:tc>
        <w:tc>
          <w:tcPr/>
          <w:p>
            <w:pPr>
              <w:pStyle w:val="Compact"/>
            </w:pPr>
            <w:r>
              <w:t xml:space="preserve">Assumed equal to stage 3 with ribavirin</w:t>
            </w:r>
          </w:p>
        </w:tc>
      </w:tr>
      <w:tr>
        <w:tc>
          <w:tcPr/>
          <w:p>
            <w:pPr>
              <w:pStyle w:val="Compact"/>
            </w:pPr>
            <w:r>
              <w:t xml:space="preserve">Progression, stage 1 to 2 (per year)</w:t>
            </w:r>
          </w:p>
        </w:tc>
        <w:tc>
          <w:tcPr/>
          <w:p>
            <w:pPr>
              <w:pStyle w:val="Compact"/>
            </w:pPr>
            <w:r>
              <w:t xml:space="preserve">0.027</w:t>
            </w:r>
          </w:p>
        </w:tc>
        <w:tc>
          <w:tcPr/>
          <w:p>
            <w:pPr>
              <w:pStyle w:val="Compact"/>
            </w:pPr>
            <w:r>
              <w:t xml:space="preserve">[7]</w:t>
            </w:r>
          </w:p>
        </w:tc>
      </w:tr>
      <w:tr>
        <w:tc>
          <w:tcPr/>
          <w:p>
            <w:pPr>
              <w:pStyle w:val="Compact"/>
            </w:pPr>
            <w:r>
              <w:t xml:space="preserve">Progression, stage 2 to 3; 2 to 4; 3 to 4 (per year)</w:t>
            </w:r>
          </w:p>
        </w:tc>
        <w:tc>
          <w:tcPr/>
          <w:p>
            <w:pPr>
              <w:pStyle w:val="Compact"/>
            </w:pPr>
            <w:r>
              <w:t xml:space="preserve">0.039; 0.014; 0.014</w:t>
            </w:r>
          </w:p>
        </w:tc>
        <w:tc>
          <w:tcPr/>
          <w:p>
            <w:pPr>
              <w:pStyle w:val="Compact"/>
            </w:pPr>
            <w:r>
              <w:t xml:space="preserve">[8]</w:t>
            </w:r>
          </w:p>
        </w:tc>
      </w:tr>
      <w:tr>
        <w:tc>
          <w:tcPr/>
          <w:p>
            <w:pPr>
              <w:pStyle w:val="Compact"/>
            </w:pPr>
            <w:r>
              <w:t xml:space="preserve">Genotype 3 relative risk, to cirrhosis; to carcinoma</w:t>
            </w:r>
          </w:p>
        </w:tc>
        <w:tc>
          <w:tcPr/>
          <w:p>
            <w:pPr>
              <w:pStyle w:val="Compact"/>
            </w:pPr>
            <w:r>
              <w:t xml:space="preserve">1.36; 1.93</w:t>
            </w:r>
          </w:p>
        </w:tc>
        <w:tc>
          <w:tcPr/>
          <w:p>
            <w:pPr>
              <w:pStyle w:val="Compact"/>
            </w:pPr>
            <w:r>
              <w:t xml:space="preserve">[9]</w:t>
            </w:r>
          </w:p>
        </w:tc>
      </w:tr>
      <w:tr>
        <w:tc>
          <w:tcPr/>
          <w:p>
            <w:pPr>
              <w:pStyle w:val="Compact"/>
            </w:pPr>
            <w:r>
              <w:t xml:space="preserve">Relative progression after cure, 2 to 3; 2 to 4; 3 to 4</w:t>
            </w:r>
          </w:p>
        </w:tc>
        <w:tc>
          <w:tcPr/>
          <w:p>
            <w:pPr>
              <w:pStyle w:val="Compact"/>
            </w:pPr>
            <w:r>
              <w:t xml:space="preserve">0.07; 0.23; 1.0</w:t>
            </w:r>
          </w:p>
        </w:tc>
        <w:tc>
          <w:tcPr/>
          <w:p>
            <w:pPr>
              <w:pStyle w:val="Compact"/>
            </w:pPr>
            <w:r>
              <w:t xml:space="preserve">[10,11]</w:t>
            </w:r>
            <w:r>
              <w:t xml:space="preserve">; last value assumed</w:t>
            </w:r>
          </w:p>
        </w:tc>
      </w:tr>
      <w:tr>
        <w:tc>
          <w:tcPr/>
          <w:p>
            <w:pPr>
              <w:pStyle w:val="Compact"/>
            </w:pPr>
            <w:r>
              <w:t xml:space="preserve">Liver mortality, stage 3; stage 4 (per year)</w:t>
            </w:r>
          </w:p>
        </w:tc>
        <w:tc>
          <w:tcPr/>
          <w:p>
            <w:pPr>
              <w:pStyle w:val="Compact"/>
            </w:pPr>
            <w:r>
              <w:t xml:space="preserve">0.13; 0.43</w:t>
            </w:r>
          </w:p>
        </w:tc>
        <w:tc>
          <w:tcPr/>
          <w:p>
            <w:pPr>
              <w:pStyle w:val="Compact"/>
            </w:pPr>
            <w:r>
              <w:t xml:space="preserve">[8]</w:t>
            </w:r>
          </w:p>
        </w:tc>
      </w:tr>
      <w:tr>
        <w:tc>
          <w:tcPr/>
          <w:p>
            <w:pPr>
              <w:pStyle w:val="Compact"/>
            </w:pPr>
            <w:r>
              <w:t xml:space="preserve">Relative liver mortality after cure, stage 3; stage 4</w:t>
            </w:r>
          </w:p>
        </w:tc>
        <w:tc>
          <w:tcPr/>
          <w:p>
            <w:pPr>
              <w:pStyle w:val="Compact"/>
            </w:pPr>
            <w:r>
              <w:t xml:space="preserve">0.5; 0.37</w:t>
            </w:r>
          </w:p>
        </w:tc>
        <w:tc>
          <w:tcPr/>
          <w:p>
            <w:pPr>
              <w:pStyle w:val="Compact"/>
            </w:pPr>
            <w:r>
              <w:t xml:space="preserve">[12,13]</w:t>
            </w:r>
          </w:p>
        </w:tc>
      </w:tr>
      <w:tr>
        <w:tc>
          <w:tcPr/>
          <w:p>
            <w:pPr>
              <w:pStyle w:val="Compact"/>
            </w:pPr>
            <w:r>
              <w:t xml:space="preserve">Mortality ratio, viraemic; non-viraemic</w:t>
            </w:r>
          </w:p>
        </w:tc>
        <w:tc>
          <w:tcPr/>
          <w:p>
            <w:pPr>
              <w:pStyle w:val="Compact"/>
            </w:pPr>
            <w:r>
              <w:t xml:space="preserve">9.52; 4.73</w:t>
            </w:r>
          </w:p>
        </w:tc>
        <w:tc>
          <w:tcPr/>
          <w:p>
            <w:pPr>
              <w:pStyle w:val="Compact"/>
            </w:pPr>
            <w:r>
              <w:t xml:space="preserve">[14]</w:t>
            </w:r>
          </w:p>
        </w:tc>
      </w:tr>
      <w:tr>
        <w:tc>
          <w:tcPr/>
          <w:p>
            <w:pPr>
              <w:pStyle w:val="Compact"/>
            </w:pPr>
            <w:r>
              <w:t xml:space="preserve">Background death rate by age (per 1,000 per year)</w:t>
            </w:r>
          </w:p>
        </w:tc>
        <w:tc>
          <w:tcPr/>
          <w:p>
            <w:pPr>
              <w:pStyle w:val="Compact"/>
            </w:pPr>
            <w:r>
              <w:t xml:space="preserve">0.20; 0.25; 0.45; 1.20; 3.35; 21.88</w:t>
            </w:r>
          </w:p>
        </w:tc>
        <w:tc>
          <w:tcPr/>
          <w:p>
            <w:pPr>
              <w:pStyle w:val="Compact"/>
            </w:pPr>
            <w:r>
              <w:t xml:space="preserve">Singapore 2015 death rates (source to be cited)</w:t>
            </w:r>
          </w:p>
        </w:tc>
      </w:tr>
      <w:tr>
        <w:tc>
          <w:tcPr/>
          <w:p>
            <w:pPr>
              <w:pStyle w:val="Compact"/>
            </w:pPr>
            <w:r>
              <w:t xml:space="preserve">Release rate by age (per year)</w:t>
            </w:r>
          </w:p>
        </w:tc>
        <w:tc>
          <w:tcPr/>
          <w:p>
            <w:pPr>
              <w:pStyle w:val="Compact"/>
            </w:pPr>
            <w:r>
              <w:t xml:space="preserve">0.462; 0.636; 0.454; 0.337; 0.325; 0.394</w:t>
            </w:r>
          </w:p>
        </w:tc>
        <w:tc>
          <w:tcPr/>
          <w:p>
            <w:pPr>
              <w:pStyle w:val="Compact"/>
            </w:pPr>
            <w:r>
              <w:t xml:space="preserve">Prison records (Section 3)</w:t>
            </w:r>
          </w:p>
        </w:tc>
      </w:tr>
      <w:tr>
        <w:tc>
          <w:tcPr/>
          <w:p>
            <w:pPr>
              <w:pStyle w:val="Compact"/>
            </w:pPr>
            <w:r>
              <w:t xml:space="preserve">Re-arrest rate by age (per year)</w:t>
            </w:r>
          </w:p>
        </w:tc>
        <w:tc>
          <w:tcPr/>
          <w:p>
            <w:pPr>
              <w:pStyle w:val="Compact"/>
            </w:pPr>
            <w:r>
              <w:t xml:space="preserve">0.548; 0.478; 0.469; 0.471; 0.384; 0.265</w:t>
            </w:r>
          </w:p>
        </w:tc>
        <w:tc>
          <w:tcPr/>
          <w:p>
            <w:pPr>
              <w:pStyle w:val="Compact"/>
            </w:pPr>
            <w:r>
              <w:t xml:space="preserve">Prison records (Section 3)</w:t>
            </w:r>
          </w:p>
        </w:tc>
      </w:tr>
      <w:tr>
        <w:tc>
          <w:tcPr/>
          <w:p>
            <w:pPr>
              <w:pStyle w:val="Compact"/>
            </w:pPr>
            <w:r>
              <w:t xml:space="preserve">Probability of eventual re-arrest,</w:t>
            </w:r>
            <w:r>
              <w:t xml:space="preserve"> </w:t>
            </w:r>
            <m:oMath>
              <m:r>
                <m:t>π</m:t>
              </m:r>
            </m:oMath>
          </w:p>
        </w:tc>
        <w:tc>
          <w:tcPr/>
          <w:p>
            <w:pPr>
              <w:pStyle w:val="Compact"/>
            </w:pPr>
            <w:r>
              <w:t xml:space="preserve">0.724</w:t>
            </w:r>
          </w:p>
        </w:tc>
        <w:tc>
          <w:tcPr/>
          <w:p>
            <w:pPr>
              <w:pStyle w:val="Compact"/>
            </w:pPr>
            <w:r>
              <w:t xml:space="preserve">Prison records (Section 3)</w:t>
            </w:r>
          </w:p>
        </w:tc>
      </w:tr>
      <w:tr>
        <w:tc>
          <w:tcPr/>
          <w:p>
            <w:pPr>
              <w:pStyle w:val="Compact"/>
            </w:pPr>
            <w:r>
              <w:t xml:space="preserve">Entry into D by age,</w:t>
            </w:r>
            <w:r>
              <w:t xml:space="preserve"> </w:t>
            </w:r>
            <m:oMath>
              <m:sSub>
                <m:e>
                  <m:r>
                    <m:t>β</m:t>
                  </m:r>
                </m:e>
                <m:sub>
                  <m:r>
                    <m:t>i</m:t>
                  </m:r>
                </m:sub>
              </m:sSub>
            </m:oMath>
            <w:r>
              <w:t xml:space="preserve"> </w:t>
            </w:r>
            <w:r>
              <w:t xml:space="preserve">(per year)</w:t>
            </w:r>
          </w:p>
        </w:tc>
        <w:tc>
          <w:tcPr/>
          <w:p>
            <w:pPr>
              <w:pStyle w:val="Compact"/>
            </w:pPr>
            <w:r>
              <w:t xml:space="preserve">257; 644; 292; 94; 21; 1</w:t>
            </w:r>
          </w:p>
        </w:tc>
        <w:tc>
          <w:tcPr/>
          <w:p>
            <w:pPr>
              <w:pStyle w:val="Compact"/>
            </w:pPr>
            <w:r>
              <w:t xml:space="preserve">[15]</w:t>
            </w:r>
          </w:p>
        </w:tc>
      </w:tr>
    </w:tbl>
    <w:p>
      <w:pPr>
        <w:pStyle w:val="BodyText"/>
      </w:pPr>
      <w:r>
        <w:t xml:space="preserve">The base contact matrix</w:t>
      </w:r>
      <w:r>
        <w:t xml:space="preserve"> </w:t>
      </w:r>
      <m:oMath>
        <m:r>
          <m:t>C</m:t>
        </m:r>
      </m:oMath>
      <w:r>
        <w:t xml:space="preserve"> </w:t>
      </w:r>
      <w:r>
        <w:t xml:space="preserve">is given in the model code; its source is to be documented by the authors.</w:t>
      </w:r>
    </w:p>
    <w:bookmarkEnd w:id="16"/>
    <w:bookmarkStart w:id="17" w:name="prison-rate-estimation"/>
    <w:p>
      <w:pPr>
        <w:pStyle w:val="Heading1"/>
      </w:pPr>
      <w:r>
        <w:t xml:space="preserve">3. Prison rate estimation</w:t>
      </w:r>
    </w:p>
    <w:p>
      <w:pPr>
        <w:pStyle w:val="FirstParagraph"/>
      </w:pPr>
      <w:r>
        <w:t xml:space="preserve">Singapore Prison Service records were restricted to people ever held for drug consumption. Consecutive stays with no gap were merged. This gave 20,720 people and 33,557 stays with admissions from 2000 to 2017; follow-up ended on 31 December 2017.</w:t>
      </w:r>
    </w:p>
    <w:p>
      <w:pPr>
        <w:pStyle w:val="BodyText"/>
      </w:pPr>
      <w:r>
        <w:t xml:space="preserve">Release: each stay was split at the boundaries of the 10-year age groups, and a constant release hazard per age group was estimated, with a random-walk prior on the log hazards across ages.</w:t>
      </w:r>
    </w:p>
    <w:p>
      <w:pPr>
        <w:pStyle w:val="BodyText"/>
      </w:pPr>
      <w:r>
        <w:t xml:space="preserve">Re-arrest: each interval from release to the next admission, or to the end of follow-up, was split by age in the same way. A cure-type survival model estimated the probability</w:t>
      </w:r>
      <w:r>
        <w:t xml:space="preserve"> </w:t>
      </w:r>
      <m:oMath>
        <m:r>
          <m:t>π</m:t>
        </m:r>
      </m:oMath>
      <w:r>
        <w:t xml:space="preserve"> </w:t>
      </w:r>
      <w:r>
        <w:t xml:space="preserve">of ever being re-arrested and, for people who would be re-arrested, an age-specific hazard.</w:t>
      </w:r>
    </w:p>
    <w:p>
      <w:pPr>
        <w:pStyle w:val="BodyText"/>
      </w:pPr>
      <w:r>
        <w:t xml:space="preserve">Both models were fitted in Stan with four chains of 4,000 sampling iterations; the largest R-hat was 1.001. Table B gives the posterior means used in the model and their 95% credible intervals.</w:t>
      </w:r>
    </w:p>
    <w:p>
      <w:pPr>
        <w:pStyle w:val="BodyText"/>
      </w:pPr>
      <w:r>
        <w:rPr>
          <w:b/>
          <w:bCs/>
        </w:rPr>
        <w:t xml:space="preserve">Table B. Prison rates by age (per year; posterior mean and 95% credible interval).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Release,</w:t>
            </w:r>
            <w:r>
              <w:t xml:space="preserve"> </w:t>
            </w:r>
            <m:oMath>
              <m:sSup>
                <m:e>
                  <m:r>
                    <m:t>λ</m:t>
                  </m:r>
                </m:e>
                <m:sup>
                  <m:r>
                    <m:rPr>
                      <m:sty m:val="p"/>
                    </m:rPr>
                    <m:t>(</m:t>
                  </m:r>
                  <m:r>
                    <m:t>2</m:t>
                  </m:r>
                  <m:r>
                    <m:rPr>
                      <m:sty m:val="p"/>
                    </m:rPr>
                    <m:t>)</m:t>
                  </m:r>
                </m:sup>
              </m:sSup>
            </m:oMath>
          </w:p>
        </w:tc>
        <w:tc>
          <w:tcPr/>
          <w:p>
            <w:pPr>
              <w:pStyle w:val="Compact"/>
            </w:pPr>
            <w:r>
              <w:t xml:space="preserve">Re-arrest,</w:t>
            </w:r>
            <w:r>
              <w:t xml:space="preserve"> </w:t>
            </w:r>
            <m:oMath>
              <m:sSup>
                <m:e>
                  <m:r>
                    <m:t>λ</m:t>
                  </m:r>
                </m:e>
                <m:sup>
                  <m:r>
                    <m:rPr>
                      <m:sty m:val="p"/>
                    </m:rPr>
                    <m:t>(</m:t>
                  </m:r>
                  <m:r>
                    <m:t>3</m:t>
                  </m:r>
                  <m:r>
                    <m:rPr>
                      <m:sty m:val="p"/>
                    </m:rPr>
                    <m:t>)</m:t>
                  </m:r>
                </m:sup>
              </m:sSup>
            </m:oMath>
          </w:p>
        </w:tc>
      </w:tr>
      <w:tr>
        <w:tc>
          <w:tcPr/>
          <w:p>
            <w:pPr>
              <w:pStyle w:val="Compact"/>
            </w:pPr>
            <w:r>
              <w:t xml:space="preserve">&lt;20</w:t>
            </w:r>
          </w:p>
        </w:tc>
        <w:tc>
          <w:tcPr/>
          <w:p>
            <w:pPr>
              <w:pStyle w:val="Compact"/>
            </w:pPr>
            <w:r>
              <w:t xml:space="preserve">0.462 (0.422–0.503)</w:t>
            </w:r>
          </w:p>
        </w:tc>
        <w:tc>
          <w:tcPr/>
          <w:p>
            <w:pPr>
              <w:pStyle w:val="Compact"/>
            </w:pPr>
            <w:r>
              <w:t xml:space="preserve">0.548 (0.459–0.647)</w:t>
            </w:r>
          </w:p>
        </w:tc>
      </w:tr>
      <w:tr>
        <w:tc>
          <w:tcPr/>
          <w:p>
            <w:pPr>
              <w:pStyle w:val="Compact"/>
            </w:pPr>
            <w:r>
              <w:t xml:space="preserve">20–29</w:t>
            </w:r>
          </w:p>
        </w:tc>
        <w:tc>
          <w:tcPr/>
          <w:p>
            <w:pPr>
              <w:pStyle w:val="Compact"/>
            </w:pPr>
            <w:r>
              <w:t xml:space="preserve">0.636 (0.622–0.651)</w:t>
            </w:r>
          </w:p>
        </w:tc>
        <w:tc>
          <w:tcPr/>
          <w:p>
            <w:pPr>
              <w:pStyle w:val="Compact"/>
            </w:pPr>
            <w:r>
              <w:t xml:space="preserve">0.478 (0.455–0.501)</w:t>
            </w:r>
          </w:p>
        </w:tc>
      </w:tr>
      <w:tr>
        <w:tc>
          <w:tcPr/>
          <w:p>
            <w:pPr>
              <w:pStyle w:val="Compact"/>
            </w:pPr>
            <w:r>
              <w:t xml:space="preserve">30–39</w:t>
            </w:r>
          </w:p>
        </w:tc>
        <w:tc>
          <w:tcPr/>
          <w:p>
            <w:pPr>
              <w:pStyle w:val="Compact"/>
            </w:pPr>
            <w:r>
              <w:t xml:space="preserve">0.454 (0.444–0.465)</w:t>
            </w:r>
          </w:p>
        </w:tc>
        <w:tc>
          <w:tcPr/>
          <w:p>
            <w:pPr>
              <w:pStyle w:val="Compact"/>
            </w:pPr>
            <w:r>
              <w:t xml:space="preserve">0.469 (0.449–0.490)</w:t>
            </w:r>
          </w:p>
        </w:tc>
      </w:tr>
      <w:tr>
        <w:tc>
          <w:tcPr/>
          <w:p>
            <w:pPr>
              <w:pStyle w:val="Compact"/>
            </w:pPr>
            <w:r>
              <w:t xml:space="preserve">40–49</w:t>
            </w:r>
          </w:p>
        </w:tc>
        <w:tc>
          <w:tcPr/>
          <w:p>
            <w:pPr>
              <w:pStyle w:val="Compact"/>
            </w:pPr>
            <w:r>
              <w:t xml:space="preserve">0.337 (0.329–0.345)</w:t>
            </w:r>
          </w:p>
        </w:tc>
        <w:tc>
          <w:tcPr/>
          <w:p>
            <w:pPr>
              <w:pStyle w:val="Compact"/>
            </w:pPr>
            <w:r>
              <w:t xml:space="preserve">0.471 (0.451–0.491)</w:t>
            </w:r>
          </w:p>
        </w:tc>
      </w:tr>
      <w:tr>
        <w:tc>
          <w:tcPr/>
          <w:p>
            <w:pPr>
              <w:pStyle w:val="Compact"/>
            </w:pPr>
            <w:r>
              <w:t xml:space="preserve">50–59</w:t>
            </w:r>
          </w:p>
        </w:tc>
        <w:tc>
          <w:tcPr/>
          <w:p>
            <w:pPr>
              <w:pStyle w:val="Compact"/>
            </w:pPr>
            <w:r>
              <w:t xml:space="preserve">0.325 (0.316–0.334)</w:t>
            </w:r>
          </w:p>
        </w:tc>
        <w:tc>
          <w:tcPr/>
          <w:p>
            <w:pPr>
              <w:pStyle w:val="Compact"/>
            </w:pPr>
            <w:r>
              <w:t xml:space="preserve">0.384 (0.363–0.405)</w:t>
            </w:r>
          </w:p>
        </w:tc>
      </w:tr>
      <w:tr>
        <w:tc>
          <w:tcPr/>
          <w:p>
            <w:pPr>
              <w:pStyle w:val="Compact"/>
            </w:pPr>
            <w:r>
              <w:t xml:space="preserve">60+</w:t>
            </w:r>
          </w:p>
        </w:tc>
        <w:tc>
          <w:tcPr/>
          <w:p>
            <w:pPr>
              <w:pStyle w:val="Compact"/>
            </w:pPr>
            <w:r>
              <w:t xml:space="preserve">0.394 (0.372–0.416)</w:t>
            </w:r>
          </w:p>
        </w:tc>
        <w:tc>
          <w:tcPr/>
          <w:p>
            <w:pPr>
              <w:pStyle w:val="Compact"/>
            </w:pPr>
            <w:r>
              <w:t xml:space="preserve">0.265 (0.235–0.298)</w:t>
            </w:r>
          </w:p>
        </w:tc>
      </w:tr>
    </w:tbl>
    <w:p>
      <w:pPr>
        <w:pStyle w:val="BodyText"/>
      </w:pPr>
      <w:r>
        <w:t xml:space="preserve">The probability of eventual re-arrest was 0.724 (95% credible interval 0.714–0.734). In the model, people who will be re-arrested are assumed to return to injecting (F).</w:t>
      </w:r>
    </w:p>
    <w:p>
      <w:pPr>
        <w:pStyle w:val="BodyText"/>
      </w:pPr>
      <w:r>
        <w:t xml:space="preserve">These rates come from everyone held for drug consumption, not only people who inject.</w:t>
      </w:r>
    </w:p>
    <w:bookmarkEnd w:id="17"/>
    <w:bookmarkStart w:id="25" w:name="calibration"/>
    <w:p>
      <w:pPr>
        <w:pStyle w:val="Heading1"/>
      </w:pPr>
      <w:r>
        <w:t xml:space="preserve">4. Calibration</w:t>
      </w:r>
    </w:p>
    <w:bookmarkStart w:id="18" w:name="targets"/>
    <w:p>
      <w:pPr>
        <w:pStyle w:val="Heading2"/>
      </w:pPr>
      <w:r>
        <w:t xml:space="preserve">4.1 Targets</w:t>
      </w:r>
    </w:p>
    <w:p>
      <w:pPr>
        <w:pStyle w:val="FirstParagraph"/>
      </w:pPr>
      <w:r>
        <w:rPr>
          <w:b/>
          <w:bCs/>
        </w:rPr>
        <w:t xml:space="preserve">Table C. Calibration targets, 2015.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pPr>
            <w:r>
              <w:t xml:space="preserve">&lt;20</w:t>
            </w:r>
          </w:p>
        </w:tc>
        <w:tc>
          <w:tcPr/>
          <w:p>
            <w:pPr>
              <w:pStyle w:val="Compact"/>
            </w:pPr>
            <w:r>
              <w:t xml:space="preserve">20–29</w:t>
            </w:r>
          </w:p>
        </w:tc>
        <w:tc>
          <w:tcPr/>
          <w:p>
            <w:pPr>
              <w:pStyle w:val="Compact"/>
            </w:pPr>
            <w:r>
              <w:t xml:space="preserve">30–39</w:t>
            </w:r>
          </w:p>
        </w:tc>
        <w:tc>
          <w:tcPr/>
          <w:p>
            <w:pPr>
              <w:pStyle w:val="Compact"/>
            </w:pPr>
            <w:r>
              <w:t xml:space="preserve">40–49</w:t>
            </w:r>
          </w:p>
        </w:tc>
        <w:tc>
          <w:tcPr/>
          <w:p>
            <w:pPr>
              <w:pStyle w:val="Compact"/>
            </w:pPr>
            <w:r>
              <w:t xml:space="preserve">50–59</w:t>
            </w:r>
          </w:p>
        </w:tc>
        <w:tc>
          <w:tcPr/>
          <w:p>
            <w:pPr>
              <w:pStyle w:val="Compact"/>
            </w:pPr>
            <w:r>
              <w:t xml:space="preserve">60+</w:t>
            </w:r>
          </w:p>
        </w:tc>
      </w:tr>
      <w:tr>
        <w:tc>
          <w:tcPr/>
          <w:p>
            <w:pPr>
              <w:pStyle w:val="Compact"/>
            </w:pPr>
            <w:r>
              <w:t xml:space="preserve">HCV antibody prevalence in prison</w:t>
            </w:r>
          </w:p>
        </w:tc>
        <w:tc>
          <w:tcPr/>
          <w:p>
            <w:pPr>
              <w:pStyle w:val="Compact"/>
            </w:pPr>
            <w:r>
              <w:t xml:space="preserve">12.7%</w:t>
            </w:r>
          </w:p>
        </w:tc>
        <w:tc>
          <w:tcPr/>
          <w:p>
            <w:pPr>
              <w:pStyle w:val="Compact"/>
            </w:pPr>
            <w:r>
              <w:t xml:space="preserve">19.2%</w:t>
            </w:r>
          </w:p>
        </w:tc>
        <w:tc>
          <w:tcPr/>
          <w:p>
            <w:pPr>
              <w:pStyle w:val="Compact"/>
            </w:pPr>
            <w:r>
              <w:t xml:space="preserve">30.0%</w:t>
            </w:r>
          </w:p>
        </w:tc>
        <w:tc>
          <w:tcPr/>
          <w:p>
            <w:pPr>
              <w:pStyle w:val="Compact"/>
            </w:pPr>
            <w:r>
              <w:t xml:space="preserve">48.3%</w:t>
            </w:r>
          </w:p>
        </w:tc>
        <w:tc>
          <w:tcPr/>
          <w:p>
            <w:pPr>
              <w:pStyle w:val="Compact"/>
            </w:pPr>
            <w:r>
              <w:t xml:space="preserve">53.1%</w:t>
            </w:r>
          </w:p>
        </w:tc>
        <w:tc>
          <w:tcPr/>
          <w:p>
            <w:pPr>
              <w:pStyle w:val="Compact"/>
            </w:pPr>
            <w:r>
              <w:t xml:space="preserve">42.9%</w:t>
            </w:r>
          </w:p>
        </w:tc>
      </w:tr>
      <w:tr>
        <w:tc>
          <w:tcPr/>
          <w:p>
            <w:pPr>
              <w:pStyle w:val="Compact"/>
            </w:pPr>
            <w:r>
              <w:t xml:space="preserve">People screened in prison (end of 2015)</w:t>
            </w:r>
          </w:p>
        </w:tc>
        <w:tc>
          <w:tcPr/>
          <w:p>
            <w:pPr>
              <w:pStyle w:val="Compact"/>
            </w:pPr>
            <w:r>
              <w:t xml:space="preserve">122</w:t>
            </w:r>
          </w:p>
        </w:tc>
        <w:tc>
          <w:tcPr/>
          <w:p>
            <w:pPr>
              <w:pStyle w:val="Compact"/>
            </w:pPr>
            <w:r>
              <w:t xml:space="preserve">995</w:t>
            </w:r>
          </w:p>
        </w:tc>
        <w:tc>
          <w:tcPr/>
          <w:p>
            <w:pPr>
              <w:pStyle w:val="Compact"/>
            </w:pPr>
            <w:r>
              <w:t xml:space="preserve">803</w:t>
            </w:r>
          </w:p>
        </w:tc>
        <w:tc>
          <w:tcPr/>
          <w:p>
            <w:pPr>
              <w:pStyle w:val="Compact"/>
            </w:pPr>
            <w:r>
              <w:t xml:space="preserve">747</w:t>
            </w:r>
          </w:p>
        </w:tc>
        <w:tc>
          <w:tcPr/>
          <w:p>
            <w:pPr>
              <w:pStyle w:val="Compact"/>
            </w:pPr>
            <w:r>
              <w:t xml:space="preserve">557</w:t>
            </w:r>
          </w:p>
        </w:tc>
        <w:tc>
          <w:tcPr/>
          <w:p>
            <w:pPr>
              <w:pStyle w:val="Compact"/>
            </w:pPr>
            <w:r>
              <w:t xml:space="preserve">143</w:t>
            </w:r>
          </w:p>
        </w:tc>
      </w:tr>
      <w:tr>
        <w:tc>
          <w:tcPr/>
          <w:p>
            <w:pPr>
              <w:pStyle w:val="Compact"/>
            </w:pPr>
            <w:r>
              <w:t xml:space="preserve">First arrests (new drug abusers)</w:t>
            </w:r>
          </w:p>
        </w:tc>
        <w:tc>
          <w:tcPr/>
          <w:p>
            <w:pPr>
              <w:pStyle w:val="Compact"/>
            </w:pPr>
            <w:r>
              <w:t xml:space="preserve">257</w:t>
            </w:r>
          </w:p>
        </w:tc>
        <w:tc>
          <w:tcPr/>
          <w:p>
            <w:pPr>
              <w:pStyle w:val="Compact"/>
            </w:pPr>
            <w:r>
              <w:t xml:space="preserve">644</w:t>
            </w:r>
          </w:p>
        </w:tc>
        <w:tc>
          <w:tcPr/>
          <w:p>
            <w:pPr>
              <w:pStyle w:val="Compact"/>
            </w:pPr>
            <w:r>
              <w:t xml:space="preserve">292</w:t>
            </w:r>
          </w:p>
        </w:tc>
        <w:tc>
          <w:tcPr/>
          <w:p>
            <w:pPr>
              <w:pStyle w:val="Compact"/>
            </w:pPr>
            <w:r>
              <w:t xml:space="preserve">94</w:t>
            </w:r>
          </w:p>
        </w:tc>
        <w:tc>
          <w:tcPr/>
          <w:p>
            <w:pPr>
              <w:pStyle w:val="Compact"/>
            </w:pPr>
            <w:r>
              <w:t xml:space="preserve">21</w:t>
            </w:r>
          </w:p>
        </w:tc>
        <w:tc>
          <w:tcPr/>
          <w:p>
            <w:pPr>
              <w:pStyle w:val="Compact"/>
            </w:pPr>
            <w:r>
              <w:t xml:space="preserve">1</w:t>
            </w:r>
          </w:p>
        </w:tc>
      </w:tr>
    </w:tbl>
    <w:p>
      <w:pPr>
        <w:pStyle w:val="BodyText"/>
      </w:pPr>
      <w:r>
        <w:t xml:space="preserve">Community injectors (D + F, all ages): 11,000 (95% confidence interval 6,500–17,000)</w:t>
      </w:r>
      <w:r>
        <w:t xml:space="preserve"> </w:t>
      </w:r>
      <w:r>
        <w:t xml:space="preserve">[16]</w:t>
      </w:r>
      <w:r>
        <w:t xml:space="preserve">.</w:t>
      </w:r>
    </w:p>
    <w:p>
      <w:pPr>
        <w:pStyle w:val="BodyText"/>
      </w:pPr>
      <w:r>
        <w:t xml:space="preserve">The seroprevalence targets are stored in the targets file. Recomputing them from the current processing of the prison records (positive divided by screened, Table C) gives values that differ by up to 0.5 percentage points; the reason is not recorded and should be resolved by the authors.</w:t>
      </w:r>
    </w:p>
    <w:p>
      <w:pPr>
        <w:pStyle w:val="BodyText"/>
      </w:pPr>
      <w:r>
        <w:t xml:space="preserve">The community estimate refers to 2017; because entry is constant and treatment starts in 2019, the modelled 2015 value is used for that year.</w:t>
      </w:r>
    </w:p>
    <w:bookmarkEnd w:id="18"/>
    <w:bookmarkStart w:id="19" w:name="parameters-and-prior"/>
    <w:p>
      <w:pPr>
        <w:pStyle w:val="Heading2"/>
      </w:pPr>
      <w:r>
        <w:t xml:space="preserve">4.2 Parameters and prior</w:t>
      </w:r>
    </w:p>
    <w:p>
      <w:pPr>
        <w:pStyle w:val="FirstParagraph"/>
      </w:pPr>
      <w:r>
        <w:rPr>
          <w:b/>
          <w:bCs/>
        </w:rPr>
        <w:t xml:space="preserve">Table D. Calibrated parameters and prior.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Prior on</w:t>
            </w:r>
            <w:r>
              <w:t xml:space="preserve"> </w:t>
            </w:r>
            <m:oMath>
              <m:r>
                <m:t>θ</m:t>
              </m:r>
            </m:oMath>
          </w:p>
        </w:tc>
        <w:tc>
          <w:tcPr/>
          <w:p>
            <w:pPr>
              <w:pStyle w:val="Compact"/>
            </w:pPr>
            <w:r>
              <w:t xml:space="preserve">Bounds of the scale</w:t>
            </w:r>
          </w:p>
        </w:tc>
      </w:tr>
      <w:tr>
        <w:tc>
          <w:tcPr/>
          <w:p>
            <w:pPr>
              <w:pStyle w:val="Compact"/>
            </w:pPr>
            <m:oMath>
              <m:sSub>
                <m:e>
                  <m:r>
                    <m:t>θ</m:t>
                  </m:r>
                </m:e>
                <m:sub>
                  <m:r>
                    <m:t>1</m:t>
                  </m:r>
                </m:sub>
              </m:sSub>
            </m:oMath>
            <w:r>
              <w:t xml:space="preserve">–</w:t>
            </w:r>
            <m:oMath>
              <m:sSub>
                <m:e>
                  <m:r>
                    <m:t>θ</m:t>
                  </m:r>
                </m:e>
                <m:sub>
                  <m:r>
                    <m:t>6</m:t>
                  </m:r>
                </m:sub>
              </m:sSub>
            </m:oMath>
          </w:p>
        </w:tc>
        <w:tc>
          <w:tcPr/>
          <w:p>
            <w:pPr>
              <w:pStyle w:val="Compact"/>
            </w:pPr>
            <w:r>
              <w:t xml:space="preserve">Log contact multiplier, one per age group</w:t>
            </w:r>
          </w:p>
        </w:tc>
        <w:tc>
          <w:tcPr/>
          <w:p>
            <w:pPr>
              <w:pStyle w:val="Compact"/>
            </w:pPr>
            <w:r>
              <w:t xml:space="preserve">Normal(0, 1.5)</w:t>
            </w:r>
          </w:p>
        </w:tc>
        <w:tc>
          <w:tcPr/>
          <w:p>
            <w:pPr>
              <w:pStyle w:val="Compact"/>
            </w:pPr>
            <w:r>
              <w:t xml:space="preserve">0.01–1,000</w:t>
            </w:r>
          </w:p>
        </w:tc>
      </w:tr>
      <w:tr>
        <w:tc>
          <w:tcPr/>
          <w:p>
            <w:pPr>
              <w:pStyle w:val="Compact"/>
            </w:pPr>
            <m:oMath>
              <m:sSub>
                <m:e>
                  <m:r>
                    <m:t>θ</m:t>
                  </m:r>
                </m:e>
                <m:sub>
                  <m:r>
                    <m:t>7</m:t>
                  </m:r>
                </m:sub>
              </m:sSub>
            </m:oMath>
            <w:r>
              <w:t xml:space="preserve">–</w:t>
            </w:r>
            <m:oMath>
              <m:sSub>
                <m:e>
                  <m:r>
                    <m:t>θ</m:t>
                  </m:r>
                </m:e>
                <m:sub>
                  <m:r>
                    <m:t>12</m:t>
                  </m:r>
                </m:sub>
              </m:sSub>
            </m:oMath>
          </w:p>
        </w:tc>
        <w:tc>
          <w:tcPr/>
          <w:p>
            <w:pPr>
              <w:pStyle w:val="Compact"/>
            </w:pPr>
            <w:r>
              <w:t xml:space="preserve">Log entry scale</w:t>
            </w:r>
            <w:r>
              <w:t xml:space="preserve"> </w:t>
            </w:r>
            <m:oMath>
              <m:sSub>
                <m:e>
                  <m:r>
                    <m:t>s</m:t>
                  </m:r>
                </m:e>
                <m:sub>
                  <m:r>
                    <m:t>i</m:t>
                  </m:r>
                </m:sub>
              </m:sSub>
            </m:oMath>
            <w:r>
              <w:t xml:space="preserve">, one per age group</w:t>
            </w:r>
          </w:p>
        </w:tc>
        <w:tc>
          <w:tcPr/>
          <w:p>
            <w:pPr>
              <w:pStyle w:val="Compact"/>
            </w:pPr>
            <w:r>
              <w:t xml:space="preserve">Half-normal(0, 1)</w:t>
            </w:r>
          </w:p>
        </w:tc>
        <w:tc>
          <w:tcPr/>
          <w:p>
            <w:pPr>
              <w:pStyle w:val="Compact"/>
            </w:pPr>
            <w:r>
              <w:t xml:space="preserve">1–100</w:t>
            </w:r>
          </w:p>
        </w:tc>
      </w:tr>
      <w:tr>
        <w:tc>
          <w:tcPr/>
          <w:p>
            <w:pPr>
              <w:pStyle w:val="Compact"/>
            </w:pPr>
            <m:oMath>
              <m:sSub>
                <m:e>
                  <m:r>
                    <m:t>θ</m:t>
                  </m:r>
                </m:e>
                <m:sub>
                  <m:r>
                    <m:t>13</m:t>
                  </m:r>
                </m:sub>
              </m:sSub>
            </m:oMath>
          </w:p>
        </w:tc>
        <w:tc>
          <w:tcPr/>
          <w:p>
            <w:pPr>
              <w:pStyle w:val="Compact"/>
            </w:pPr>
            <w:r>
              <w:t xml:space="preserve">Log first-arrest factor</w:t>
            </w:r>
            <w:r>
              <w:t xml:space="preserve"> </w:t>
            </w:r>
            <m:oMath>
              <m:r>
                <m:t>c</m:t>
              </m:r>
            </m:oMath>
          </w:p>
        </w:tc>
        <w:tc>
          <w:tcPr/>
          <w:p>
            <w:pPr>
              <w:pStyle w:val="Compact"/>
            </w:pPr>
            <w:r>
              <w:t xml:space="preserve">Normal(0, 0.5)</w:t>
            </w:r>
          </w:p>
        </w:tc>
        <w:tc>
          <w:tcPr/>
          <w:p>
            <w:pPr>
              <w:pStyle w:val="Compact"/>
            </w:pPr>
            <w:r>
              <w:t xml:space="preserve">0.5–100</w:t>
            </w:r>
          </w:p>
        </w:tc>
      </w:tr>
    </w:tbl>
    <w:p>
      <w:pPr>
        <w:pStyle w:val="BodyText"/>
      </w:pPr>
      <w:r>
        <w:t xml:space="preserve">The prior was fixed before fitting and did not use the data. The same prior was used for the mode search, the MCMC and the neural posterior.</w:t>
      </w:r>
    </w:p>
    <w:bookmarkEnd w:id="19"/>
    <w:bookmarkStart w:id="20" w:name="likelihood"/>
    <w:p>
      <w:pPr>
        <w:pStyle w:val="Heading2"/>
      </w:pPr>
      <w:r>
        <w:t xml:space="preserve">4.3 Likelihood</w:t>
      </w:r>
    </w:p>
    <w:p>
      <w:pPr>
        <w:pStyle w:val="FirstParagraph"/>
      </w:pPr>
      <w:r>
        <w:t xml:space="preserve">Seroprevalence: each observed value</w:t>
      </w:r>
      <w:r>
        <w:t xml:space="preserve"> </w:t>
      </w:r>
      <m:oMath>
        <m:sSub>
          <m:e>
            <m:r>
              <m:t>y</m:t>
            </m:r>
          </m:e>
          <m:sub>
            <m:r>
              <m:t>i</m:t>
            </m:r>
          </m:sub>
        </m:sSub>
      </m:oMath>
      <w:r>
        <w:t xml:space="preserve"> </w:t>
      </w:r>
      <w:r>
        <w:t xml:space="preserve">follows Beta(</w:t>
      </w:r>
      <m:oMath>
        <m:sSub>
          <m:e>
            <m:r>
              <m:t>p</m:t>
            </m:r>
          </m:e>
          <m:sub>
            <m:r>
              <m:t>i</m:t>
            </m:r>
          </m:sub>
        </m:sSub>
        <m:r>
          <m:t>ϕ</m:t>
        </m:r>
      </m:oMath>
      <w:r>
        <w:t xml:space="preserve">,</w:t>
      </w:r>
      <w:r>
        <w:t xml:space="preserve"> </w:t>
      </w:r>
      <m:oMath>
        <m:r>
          <m:rPr>
            <m:sty m:val="p"/>
          </m:rPr>
          <m:t>(</m:t>
        </m:r>
        <m:r>
          <m:t>1</m:t>
        </m:r>
        <m:r>
          <m:rPr>
            <m:sty m:val="p"/>
          </m:rPr>
          <m:t>−</m:t>
        </m:r>
        <m:sSub>
          <m:e>
            <m:r>
              <m:t>p</m:t>
            </m:r>
          </m:e>
          <m:sub>
            <m:r>
              <m:t>i</m:t>
            </m:r>
          </m:sub>
        </m:sSub>
        <m:r>
          <m:rPr>
            <m:sty m:val="p"/>
          </m:rPr>
          <m:t>)</m:t>
        </m:r>
        <m:r>
          <m:t>ϕ</m:t>
        </m:r>
      </m:oMath>
      <w:r>
        <w:t xml:space="preserve">) around the modelled value</w:t>
      </w:r>
      <w:r>
        <w:t xml:space="preserve"> </w:t>
      </w:r>
      <m:oMath>
        <m:sSub>
          <m:e>
            <m:r>
              <m:t>p</m:t>
            </m:r>
          </m:e>
          <m:sub>
            <m:r>
              <m:t>i</m:t>
            </m:r>
          </m:sub>
        </m:sSub>
      </m:oMath>
      <w:r>
        <w:t xml:space="preserve">, with</w:t>
      </w:r>
      <w:r>
        <w:t xml:space="preserve"> </w:t>
      </w:r>
      <m:oMath>
        <m:r>
          <m:t>ϕ</m:t>
        </m:r>
      </m:oMath>
      <w:r>
        <w:t xml:space="preserve"> </w:t>
      </w:r>
      <w:r>
        <w:t xml:space="preserve">= 100. First arrests: each count follows a negative binomial distribution with mean equal to the modelled flow</w:t>
      </w:r>
      <w:r>
        <w:t xml:space="preserve"> </w:t>
      </w:r>
      <m:oMath>
        <m:r>
          <m:t>c</m:t>
        </m:r>
        <m:r>
          <m:t> </m:t>
        </m:r>
        <m:sSubSup>
          <m:e>
            <m:r>
              <m:t>λ</m:t>
            </m:r>
          </m:e>
          <m:sub>
            <m:r>
              <m:t>i</m:t>
            </m:r>
          </m:sub>
          <m:sup>
            <m:r>
              <m:rPr>
                <m:sty m:val="p"/>
              </m:rPr>
              <m:t>(</m:t>
            </m:r>
            <m:r>
              <m:t>3</m:t>
            </m:r>
            <m:r>
              <m:rPr>
                <m:sty m:val="p"/>
              </m:rPr>
              <m:t>)</m:t>
            </m:r>
          </m:sup>
        </m:sSubSup>
        <m:sSub>
          <m:e>
            <m:r>
              <m:t>D</m:t>
            </m:r>
          </m:e>
          <m:sub>
            <m:r>
              <m:t>i</m:t>
            </m:r>
          </m:sub>
        </m:sSub>
      </m:oMath>
      <w:r>
        <w:t xml:space="preserve"> </w:t>
      </w:r>
      <w:r>
        <w:t xml:space="preserve">and size 50. Community injectors: the log estimate follows Normal(log(</w:t>
      </w:r>
      <m:oMath>
        <m:r>
          <m:t>D</m:t>
        </m:r>
        <m:r>
          <m:rPr>
            <m:sty m:val="p"/>
          </m:rPr>
          <m:t>+</m:t>
        </m:r>
        <m:r>
          <m:t>F</m:t>
        </m:r>
      </m:oMath>
      <w:r>
        <w:t xml:space="preserve">), 0.2453).</w:t>
      </w:r>
    </w:p>
    <w:bookmarkEnd w:id="20"/>
    <w:bookmarkStart w:id="21" w:name="posterior-mode"/>
    <w:p>
      <w:pPr>
        <w:pStyle w:val="Heading2"/>
      </w:pPr>
      <w:r>
        <w:t xml:space="preserve">4.4 Posterior mode</w:t>
      </w:r>
    </w:p>
    <w:p>
      <w:pPr>
        <w:pStyle w:val="FirstParagraph"/>
      </w:pPr>
      <w:r>
        <w:t xml:space="preserve">A Nelder–Mead search started from</w:t>
      </w:r>
      <w:r>
        <w:t xml:space="preserve"> </w:t>
      </w:r>
      <m:oMath>
        <m:r>
          <m:t>θ</m:t>
        </m:r>
      </m:oMath>
      <w:r>
        <w:t xml:space="preserve"> </w:t>
      </w:r>
      <w:r>
        <w:t xml:space="preserve">= 0 and 7 random perturbations of it (standard deviation 0.9 on the log scale), each with up to 5,000 iterations and up to 5 restarts. Seven of the 8 starts reached the same mode (negative log posterior 18.80 to 19.53); the other stopped at 121.5.</w:t>
      </w:r>
    </w:p>
    <w:p>
      <w:pPr>
        <w:pStyle w:val="BodyText"/>
      </w:pPr>
      <w:r>
        <w:t xml:space="preserve">At the mode, the largest absolute seroprevalence error was 2.3 percentage points, the first-arrest factor was 2.28 and the community population was 7,720.</w:t>
      </w:r>
    </w:p>
    <w:bookmarkEnd w:id="21"/>
    <w:bookmarkStart w:id="22" w:name="mcmc"/>
    <w:p>
      <w:pPr>
        <w:pStyle w:val="Heading2"/>
      </w:pPr>
      <w:r>
        <w:t xml:space="preserve">4.5 MCMC</w:t>
      </w:r>
    </w:p>
    <w:p>
      <w:pPr>
        <w:pStyle w:val="FirstParagraph"/>
      </w:pPr>
      <w:r>
        <w:t xml:space="preserve">We used adaptive random-walk Metropolis</w:t>
      </w:r>
      <w:r>
        <w:t xml:space="preserve"> </w:t>
      </w:r>
      <w:r>
        <w:t xml:space="preserve">[17]</w:t>
      </w:r>
      <w:r>
        <w:t xml:space="preserve"> </w:t>
      </w:r>
      <w:r>
        <w:t xml:space="preserve">with 8 chains started from independent prior draws. The initial proposal covariance was 0.01 times the prior variance. Adaptation began after 5,000 proposals, used the recent half of the warm-up, was refreshed every 50 proposals and was frozen after 20,000 warm-up proposals; 5% of proposals always used the initial covariance.</w:t>
      </w:r>
    </w:p>
    <w:p>
      <w:pPr>
        <w:pStyle w:val="BodyText"/>
      </w:pPr>
      <w:r>
        <w:t xml:space="preserve">Each chain ran 60,000 model evaluations, and every 10th retained iteration was stored. The run took 1.9 hours. Acceptance rates were 0.12 to 0.14, below the 0.15 lower limit used to flag chains, so the chains mixed slowly but converged.</w:t>
      </w:r>
    </w:p>
    <w:p>
      <w:pPr>
        <w:pStyle w:val="BodyText"/>
      </w:pPr>
      <w:r>
        <w:t xml:space="preserve">All diagnostics used every retained iteration: rank-normalised split R-hat was at most 1.004, bulk effective sample size at least 2,158, tail effective sample size at least 1,936, and the Monte Carlo standard error of each mean at most 0.023 posterior standard deviations</w:t>
      </w:r>
      <w:r>
        <w:t xml:space="preserve"> </w:t>
      </w:r>
      <w:r>
        <w:t xml:space="preserve">[18]</w:t>
      </w:r>
      <w:r>
        <w:t xml:space="preserve"> </w:t>
      </w:r>
      <w:r>
        <w:t xml:space="preserve">(Table E; Fig A).</w:t>
      </w:r>
    </w:p>
    <w:p>
      <w:pPr>
        <w:pStyle w:val="BodyText"/>
      </w:pPr>
      <w:r>
        <w:rPr>
          <w:b/>
          <w:bCs/>
        </w:rPr>
        <w:t xml:space="preserve">Table E. Posterior summaries and convergence diagnostics.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Median (95% credible interval), natural scale</w:t>
            </w:r>
          </w:p>
        </w:tc>
        <w:tc>
          <w:tcPr/>
          <w:p>
            <w:pPr>
              <w:pStyle w:val="Compact"/>
            </w:pPr>
            <w:r>
              <w:t xml:space="preserve">Posterior SD / prior SD</w:t>
            </w:r>
          </w:p>
        </w:tc>
        <w:tc>
          <w:tcPr/>
          <w:p>
            <w:pPr>
              <w:pStyle w:val="Compact"/>
            </w:pPr>
            <w:r>
              <w:t xml:space="preserve">R-hat</w:t>
            </w:r>
          </w:p>
        </w:tc>
        <w:tc>
          <w:tcPr/>
          <w:p>
            <w:pPr>
              <w:pStyle w:val="Compact"/>
            </w:pPr>
            <w:r>
              <w:t xml:space="preserve">Bulk ESS</w:t>
            </w:r>
          </w:p>
        </w:tc>
        <w:tc>
          <w:tcPr/>
          <w:p>
            <w:pPr>
              <w:pStyle w:val="Compact"/>
            </w:pPr>
            <w:r>
              <w:t xml:space="preserve">Tail ESS</w:t>
            </w:r>
          </w:p>
        </w:tc>
      </w:tr>
      <w:tr>
        <w:tc>
          <w:tcPr/>
          <w:p>
            <w:pPr>
              <w:pStyle w:val="Compact"/>
            </w:pPr>
            <w:r>
              <w:t xml:space="preserve">Contact, &lt;20</w:t>
            </w:r>
          </w:p>
        </w:tc>
        <w:tc>
          <w:tcPr/>
          <w:p>
            <w:pPr>
              <w:pStyle w:val="Compact"/>
            </w:pPr>
            <w:r>
              <w:t xml:space="preserve">5.60 (2.95–8.81)</w:t>
            </w:r>
          </w:p>
        </w:tc>
        <w:tc>
          <w:tcPr/>
          <w:p>
            <w:pPr>
              <w:pStyle w:val="Compact"/>
            </w:pPr>
            <w:r>
              <w:t xml:space="preserve">0.19</w:t>
            </w:r>
          </w:p>
        </w:tc>
        <w:tc>
          <w:tcPr/>
          <w:p>
            <w:pPr>
              <w:pStyle w:val="Compact"/>
            </w:pPr>
            <w:r>
              <w:t xml:space="preserve">1.003</w:t>
            </w:r>
          </w:p>
        </w:tc>
        <w:tc>
          <w:tcPr/>
          <w:p>
            <w:pPr>
              <w:pStyle w:val="Compact"/>
            </w:pPr>
            <w:r>
              <w:t xml:space="preserve">2,865</w:t>
            </w:r>
          </w:p>
        </w:tc>
        <w:tc>
          <w:tcPr/>
          <w:p>
            <w:pPr>
              <w:pStyle w:val="Compact"/>
            </w:pPr>
            <w:r>
              <w:t xml:space="preserve">3,694</w:t>
            </w:r>
          </w:p>
        </w:tc>
      </w:tr>
      <w:tr>
        <w:tc>
          <w:tcPr/>
          <w:p>
            <w:pPr>
              <w:pStyle w:val="Compact"/>
            </w:pPr>
            <w:r>
              <w:t xml:space="preserve">Contact, 20–29</w:t>
            </w:r>
          </w:p>
        </w:tc>
        <w:tc>
          <w:tcPr/>
          <w:p>
            <w:pPr>
              <w:pStyle w:val="Compact"/>
            </w:pPr>
            <w:r>
              <w:t xml:space="preserve">0.0626 (0.0348–0.0968)</w:t>
            </w:r>
          </w:p>
        </w:tc>
        <w:tc>
          <w:tcPr/>
          <w:p>
            <w:pPr>
              <w:pStyle w:val="Compact"/>
            </w:pPr>
            <w:r>
              <w:t xml:space="preserve">0.17</w:t>
            </w:r>
          </w:p>
        </w:tc>
        <w:tc>
          <w:tcPr/>
          <w:p>
            <w:pPr>
              <w:pStyle w:val="Compact"/>
            </w:pPr>
            <w:r>
              <w:t xml:space="preserve">1.002</w:t>
            </w:r>
          </w:p>
        </w:tc>
        <w:tc>
          <w:tcPr/>
          <w:p>
            <w:pPr>
              <w:pStyle w:val="Compact"/>
            </w:pPr>
            <w:r>
              <w:t xml:space="preserve">2,665</w:t>
            </w:r>
          </w:p>
        </w:tc>
        <w:tc>
          <w:tcPr/>
          <w:p>
            <w:pPr>
              <w:pStyle w:val="Compact"/>
            </w:pPr>
            <w:r>
              <w:t xml:space="preserve">3,285</w:t>
            </w:r>
          </w:p>
        </w:tc>
      </w:tr>
      <w:tr>
        <w:tc>
          <w:tcPr/>
          <w:p>
            <w:pPr>
              <w:pStyle w:val="Compact"/>
            </w:pPr>
            <w:r>
              <w:t xml:space="preserve">Contact, 30–39</w:t>
            </w:r>
          </w:p>
        </w:tc>
        <w:tc>
          <w:tcPr/>
          <w:p>
            <w:pPr>
              <w:pStyle w:val="Compact"/>
            </w:pPr>
            <w:r>
              <w:t xml:space="preserve">0.0406 (0.0185–0.0675)</w:t>
            </w:r>
          </w:p>
        </w:tc>
        <w:tc>
          <w:tcPr/>
          <w:p>
            <w:pPr>
              <w:pStyle w:val="Compact"/>
            </w:pPr>
            <w:r>
              <w:t xml:space="preserve">0.22</w:t>
            </w:r>
          </w:p>
        </w:tc>
        <w:tc>
          <w:tcPr/>
          <w:p>
            <w:pPr>
              <w:pStyle w:val="Compact"/>
            </w:pPr>
            <w:r>
              <w:t xml:space="preserve">1.002</w:t>
            </w:r>
          </w:p>
        </w:tc>
        <w:tc>
          <w:tcPr/>
          <w:p>
            <w:pPr>
              <w:pStyle w:val="Compact"/>
            </w:pPr>
            <w:r>
              <w:t xml:space="preserve">2,158</w:t>
            </w:r>
          </w:p>
        </w:tc>
        <w:tc>
          <w:tcPr/>
          <w:p>
            <w:pPr>
              <w:pStyle w:val="Compact"/>
            </w:pPr>
            <w:r>
              <w:t xml:space="preserve">1,936</w:t>
            </w:r>
          </w:p>
        </w:tc>
      </w:tr>
      <w:tr>
        <w:tc>
          <w:tcPr/>
          <w:p>
            <w:pPr>
              <w:pStyle w:val="Compact"/>
            </w:pPr>
            <w:r>
              <w:t xml:space="preserve">Contact, 40–49</w:t>
            </w:r>
          </w:p>
        </w:tc>
        <w:tc>
          <w:tcPr/>
          <w:p>
            <w:pPr>
              <w:pStyle w:val="Compact"/>
            </w:pPr>
            <w:r>
              <w:t xml:space="preserve">0.41 (0.17–0.75)</w:t>
            </w:r>
          </w:p>
        </w:tc>
        <w:tc>
          <w:tcPr/>
          <w:p>
            <w:pPr>
              <w:pStyle w:val="Compact"/>
            </w:pPr>
            <w:r>
              <w:t xml:space="preserve">0.25</w:t>
            </w:r>
          </w:p>
        </w:tc>
        <w:tc>
          <w:tcPr/>
          <w:p>
            <w:pPr>
              <w:pStyle w:val="Compact"/>
            </w:pPr>
            <w:r>
              <w:t xml:space="preserve">1.003</w:t>
            </w:r>
          </w:p>
        </w:tc>
        <w:tc>
          <w:tcPr/>
          <w:p>
            <w:pPr>
              <w:pStyle w:val="Compact"/>
            </w:pPr>
            <w:r>
              <w:t xml:space="preserve">2,469</w:t>
            </w:r>
          </w:p>
        </w:tc>
        <w:tc>
          <w:tcPr/>
          <w:p>
            <w:pPr>
              <w:pStyle w:val="Compact"/>
            </w:pPr>
            <w:r>
              <w:t xml:space="preserve">3,030</w:t>
            </w:r>
          </w:p>
        </w:tc>
      </w:tr>
      <w:tr>
        <w:tc>
          <w:tcPr/>
          <w:p>
            <w:pPr>
              <w:pStyle w:val="Compact"/>
            </w:pPr>
            <w:r>
              <w:t xml:space="preserve">Contact, 50–59</w:t>
            </w:r>
          </w:p>
        </w:tc>
        <w:tc>
          <w:tcPr/>
          <w:p>
            <w:pPr>
              <w:pStyle w:val="Compact"/>
            </w:pPr>
            <w:r>
              <w:t xml:space="preserve">0.83 (0.0596–4.73)</w:t>
            </w:r>
          </w:p>
        </w:tc>
        <w:tc>
          <w:tcPr/>
          <w:p>
            <w:pPr>
              <w:pStyle w:val="Compact"/>
            </w:pPr>
            <w:r>
              <w:t xml:space="preserve">0.76</w:t>
            </w:r>
          </w:p>
        </w:tc>
        <w:tc>
          <w:tcPr/>
          <w:p>
            <w:pPr>
              <w:pStyle w:val="Compact"/>
            </w:pPr>
            <w:r>
              <w:t xml:space="preserve">1.003</w:t>
            </w:r>
          </w:p>
        </w:tc>
        <w:tc>
          <w:tcPr/>
          <w:p>
            <w:pPr>
              <w:pStyle w:val="Compact"/>
            </w:pPr>
            <w:r>
              <w:t xml:space="preserve">2,730</w:t>
            </w:r>
          </w:p>
        </w:tc>
        <w:tc>
          <w:tcPr/>
          <w:p>
            <w:pPr>
              <w:pStyle w:val="Compact"/>
            </w:pPr>
            <w:r>
              <w:t xml:space="preserve">4,264</w:t>
            </w:r>
          </w:p>
        </w:tc>
      </w:tr>
      <w:tr>
        <w:tc>
          <w:tcPr/>
          <w:p>
            <w:pPr>
              <w:pStyle w:val="Compact"/>
            </w:pPr>
            <w:r>
              <w:t xml:space="preserve">Contact, 60+</w:t>
            </w:r>
          </w:p>
        </w:tc>
        <w:tc>
          <w:tcPr/>
          <w:p>
            <w:pPr>
              <w:pStyle w:val="Compact"/>
            </w:pPr>
            <w:r>
              <w:t xml:space="preserve">0.54 (0.0397–3.41)</w:t>
            </w:r>
          </w:p>
        </w:tc>
        <w:tc>
          <w:tcPr/>
          <w:p>
            <w:pPr>
              <w:pStyle w:val="Compact"/>
            </w:pPr>
            <w:r>
              <w:t xml:space="preserve">0.77</w:t>
            </w:r>
          </w:p>
        </w:tc>
        <w:tc>
          <w:tcPr/>
          <w:p>
            <w:pPr>
              <w:pStyle w:val="Compact"/>
            </w:pPr>
            <w:r>
              <w:t xml:space="preserve">1.004</w:t>
            </w:r>
          </w:p>
        </w:tc>
        <w:tc>
          <w:tcPr/>
          <w:p>
            <w:pPr>
              <w:pStyle w:val="Compact"/>
            </w:pPr>
            <w:r>
              <w:t xml:space="preserve">3,002</w:t>
            </w:r>
          </w:p>
        </w:tc>
        <w:tc>
          <w:tcPr/>
          <w:p>
            <w:pPr>
              <w:pStyle w:val="Compact"/>
            </w:pPr>
            <w:r>
              <w:t xml:space="preserve">4,357</w:t>
            </w:r>
          </w:p>
        </w:tc>
      </w:tr>
      <w:tr>
        <w:tc>
          <w:tcPr/>
          <w:p>
            <w:pPr>
              <w:pStyle w:val="Compact"/>
            </w:pPr>
            <w:r>
              <w:t xml:space="preserve">Entry scale, &lt;20</w:t>
            </w:r>
          </w:p>
        </w:tc>
        <w:tc>
          <w:tcPr/>
          <w:p>
            <w:pPr>
              <w:pStyle w:val="Compact"/>
            </w:pPr>
            <w:r>
              <w:t xml:space="preserve">1.15 (1.01–1.52)</w:t>
            </w:r>
          </w:p>
        </w:tc>
        <w:tc>
          <w:tcPr/>
          <w:p>
            <w:pPr>
              <w:pStyle w:val="Compact"/>
            </w:pPr>
            <w:r>
              <w:t xml:space="preserve">0.19</w:t>
            </w:r>
          </w:p>
        </w:tc>
        <w:tc>
          <w:tcPr/>
          <w:p>
            <w:pPr>
              <w:pStyle w:val="Compact"/>
            </w:pPr>
            <w:r>
              <w:t xml:space="preserve">1.002</w:t>
            </w:r>
          </w:p>
        </w:tc>
        <w:tc>
          <w:tcPr/>
          <w:p>
            <w:pPr>
              <w:pStyle w:val="Compact"/>
            </w:pPr>
            <w:r>
              <w:t xml:space="preserve">3,425</w:t>
            </w:r>
          </w:p>
        </w:tc>
        <w:tc>
          <w:tcPr/>
          <w:p>
            <w:pPr>
              <w:pStyle w:val="Compact"/>
            </w:pPr>
            <w:r>
              <w:t xml:space="preserve">5,017</w:t>
            </w:r>
          </w:p>
        </w:tc>
      </w:tr>
      <w:tr>
        <w:tc>
          <w:tcPr/>
          <w:p>
            <w:pPr>
              <w:pStyle w:val="Compact"/>
            </w:pPr>
            <w:r>
              <w:t xml:space="preserve">Entry scale, 20–29</w:t>
            </w:r>
          </w:p>
        </w:tc>
        <w:tc>
          <w:tcPr/>
          <w:p>
            <w:pPr>
              <w:pStyle w:val="Compact"/>
            </w:pPr>
            <w:r>
              <w:t xml:space="preserve">1.15 (1.01–1.47)</w:t>
            </w:r>
          </w:p>
        </w:tc>
        <w:tc>
          <w:tcPr/>
          <w:p>
            <w:pPr>
              <w:pStyle w:val="Compact"/>
            </w:pPr>
            <w:r>
              <w:t xml:space="preserve">0.17</w:t>
            </w:r>
          </w:p>
        </w:tc>
        <w:tc>
          <w:tcPr/>
          <w:p>
            <w:pPr>
              <w:pStyle w:val="Compact"/>
            </w:pPr>
            <w:r>
              <w:t xml:space="preserve">1.003</w:t>
            </w:r>
          </w:p>
        </w:tc>
        <w:tc>
          <w:tcPr/>
          <w:p>
            <w:pPr>
              <w:pStyle w:val="Compact"/>
            </w:pPr>
            <w:r>
              <w:t xml:space="preserve">3,376</w:t>
            </w:r>
          </w:p>
        </w:tc>
        <w:tc>
          <w:tcPr/>
          <w:p>
            <w:pPr>
              <w:pStyle w:val="Compact"/>
            </w:pPr>
            <w:r>
              <w:t xml:space="preserve">4,997</w:t>
            </w:r>
          </w:p>
        </w:tc>
      </w:tr>
      <w:tr>
        <w:tc>
          <w:tcPr/>
          <w:p>
            <w:pPr>
              <w:pStyle w:val="Compact"/>
            </w:pPr>
            <w:r>
              <w:t xml:space="preserve">Entry scale, 30–39</w:t>
            </w:r>
          </w:p>
        </w:tc>
        <w:tc>
          <w:tcPr/>
          <w:p>
            <w:pPr>
              <w:pStyle w:val="Compact"/>
            </w:pPr>
            <w:r>
              <w:t xml:space="preserve">1.09 (1.00–1.41)</w:t>
            </w:r>
          </w:p>
        </w:tc>
        <w:tc>
          <w:tcPr/>
          <w:p>
            <w:pPr>
              <w:pStyle w:val="Compact"/>
            </w:pPr>
            <w:r>
              <w:t xml:space="preserve">0.15</w:t>
            </w:r>
          </w:p>
        </w:tc>
        <w:tc>
          <w:tcPr/>
          <w:p>
            <w:pPr>
              <w:pStyle w:val="Compact"/>
            </w:pPr>
            <w:r>
              <w:t xml:space="preserve">1.004</w:t>
            </w:r>
          </w:p>
        </w:tc>
        <w:tc>
          <w:tcPr/>
          <w:p>
            <w:pPr>
              <w:pStyle w:val="Compact"/>
            </w:pPr>
            <w:r>
              <w:t xml:space="preserve">2,919</w:t>
            </w:r>
          </w:p>
        </w:tc>
        <w:tc>
          <w:tcPr/>
          <w:p>
            <w:pPr>
              <w:pStyle w:val="Compact"/>
            </w:pPr>
            <w:r>
              <w:t xml:space="preserve">2,948</w:t>
            </w:r>
          </w:p>
        </w:tc>
      </w:tr>
      <w:tr>
        <w:tc>
          <w:tcPr/>
          <w:p>
            <w:pPr>
              <w:pStyle w:val="Compact"/>
            </w:pPr>
            <w:r>
              <w:t xml:space="preserve">Entry scale, 40–49</w:t>
            </w:r>
          </w:p>
        </w:tc>
        <w:tc>
          <w:tcPr/>
          <w:p>
            <w:pPr>
              <w:pStyle w:val="Compact"/>
            </w:pPr>
            <w:r>
              <w:t xml:space="preserve">1.09 (1.00–1.42)</w:t>
            </w:r>
          </w:p>
        </w:tc>
        <w:tc>
          <w:tcPr/>
          <w:p>
            <w:pPr>
              <w:pStyle w:val="Compact"/>
            </w:pPr>
            <w:r>
              <w:t xml:space="preserve">0.16</w:t>
            </w:r>
          </w:p>
        </w:tc>
        <w:tc>
          <w:tcPr/>
          <w:p>
            <w:pPr>
              <w:pStyle w:val="Compact"/>
            </w:pPr>
            <w:r>
              <w:t xml:space="preserve">1.004</w:t>
            </w:r>
          </w:p>
        </w:tc>
        <w:tc>
          <w:tcPr/>
          <w:p>
            <w:pPr>
              <w:pStyle w:val="Compact"/>
            </w:pPr>
            <w:r>
              <w:t xml:space="preserve">3,264</w:t>
            </w:r>
          </w:p>
        </w:tc>
        <w:tc>
          <w:tcPr/>
          <w:p>
            <w:pPr>
              <w:pStyle w:val="Compact"/>
            </w:pPr>
            <w:r>
              <w:t xml:space="preserve">3,336</w:t>
            </w:r>
          </w:p>
        </w:tc>
      </w:tr>
      <w:tr>
        <w:tc>
          <w:tcPr/>
          <w:p>
            <w:pPr>
              <w:pStyle w:val="Compact"/>
            </w:pPr>
            <w:r>
              <w:t xml:space="preserve">Entry scale, 50–59</w:t>
            </w:r>
          </w:p>
        </w:tc>
        <w:tc>
          <w:tcPr/>
          <w:p>
            <w:pPr>
              <w:pStyle w:val="Compact"/>
            </w:pPr>
            <w:r>
              <w:t xml:space="preserve">1.12 (1.00–1.58)</w:t>
            </w:r>
          </w:p>
        </w:tc>
        <w:tc>
          <w:tcPr/>
          <w:p>
            <w:pPr>
              <w:pStyle w:val="Compact"/>
            </w:pPr>
            <w:r>
              <w:t xml:space="preserve">0.20</w:t>
            </w:r>
          </w:p>
        </w:tc>
        <w:tc>
          <w:tcPr/>
          <w:p>
            <w:pPr>
              <w:pStyle w:val="Compact"/>
            </w:pPr>
            <w:r>
              <w:t xml:space="preserve">1.002</w:t>
            </w:r>
          </w:p>
        </w:tc>
        <w:tc>
          <w:tcPr/>
          <w:p>
            <w:pPr>
              <w:pStyle w:val="Compact"/>
            </w:pPr>
            <w:r>
              <w:t xml:space="preserve">2,996</w:t>
            </w:r>
          </w:p>
        </w:tc>
        <w:tc>
          <w:tcPr/>
          <w:p>
            <w:pPr>
              <w:pStyle w:val="Compact"/>
            </w:pPr>
            <w:r>
              <w:t xml:space="preserve">3,618</w:t>
            </w:r>
          </w:p>
        </w:tc>
      </w:tr>
      <w:tr>
        <w:tc>
          <w:tcPr/>
          <w:p>
            <w:pPr>
              <w:pStyle w:val="Compact"/>
            </w:pPr>
            <w:r>
              <w:t xml:space="preserve">Entry scale, 60+</w:t>
            </w:r>
          </w:p>
        </w:tc>
        <w:tc>
          <w:tcPr/>
          <w:p>
            <w:pPr>
              <w:pStyle w:val="Compact"/>
            </w:pPr>
            <w:r>
              <w:t xml:space="preserve">1.47 (1.02–3.77)</w:t>
            </w:r>
          </w:p>
        </w:tc>
        <w:tc>
          <w:tcPr/>
          <w:p>
            <w:pPr>
              <w:pStyle w:val="Compact"/>
            </w:pPr>
            <w:r>
              <w:t xml:space="preserve">0.60</w:t>
            </w:r>
          </w:p>
        </w:tc>
        <w:tc>
          <w:tcPr/>
          <w:p>
            <w:pPr>
              <w:pStyle w:val="Compact"/>
            </w:pPr>
            <w:r>
              <w:t xml:space="preserve">1.001</w:t>
            </w:r>
          </w:p>
        </w:tc>
        <w:tc>
          <w:tcPr/>
          <w:p>
            <w:pPr>
              <w:pStyle w:val="Compact"/>
            </w:pPr>
            <w:r>
              <w:t xml:space="preserve">3,000</w:t>
            </w:r>
          </w:p>
        </w:tc>
        <w:tc>
          <w:tcPr/>
          <w:p>
            <w:pPr>
              <w:pStyle w:val="Compact"/>
            </w:pPr>
            <w:r>
              <w:t xml:space="preserve">4,127</w:t>
            </w:r>
          </w:p>
        </w:tc>
      </w:tr>
      <w:tr>
        <w:tc>
          <w:tcPr/>
          <w:p>
            <w:pPr>
              <w:pStyle w:val="Compact"/>
            </w:pPr>
            <w:r>
              <w:t xml:space="preserve">First-arrest factor</w:t>
            </w:r>
            <w:r>
              <w:t xml:space="preserve"> </w:t>
            </w:r>
            <m:oMath>
              <m:r>
                <m:t>c</m:t>
              </m:r>
            </m:oMath>
          </w:p>
        </w:tc>
        <w:tc>
          <w:tcPr/>
          <w:p>
            <w:pPr>
              <w:pStyle w:val="Compact"/>
            </w:pPr>
            <w:r>
              <w:t xml:space="preserve">2.78 (1.55–5.49)</w:t>
            </w:r>
          </w:p>
        </w:tc>
        <w:tc>
          <w:tcPr/>
          <w:p>
            <w:pPr>
              <w:pStyle w:val="Compact"/>
            </w:pPr>
            <w:r>
              <w:t xml:space="preserve">0.75</w:t>
            </w:r>
          </w:p>
        </w:tc>
        <w:tc>
          <w:tcPr/>
          <w:p>
            <w:pPr>
              <w:pStyle w:val="Compact"/>
            </w:pPr>
            <w:r>
              <w:t xml:space="preserve">1.003</w:t>
            </w:r>
          </w:p>
        </w:tc>
        <w:tc>
          <w:tcPr/>
          <w:p>
            <w:pPr>
              <w:pStyle w:val="Compact"/>
            </w:pPr>
            <w:r>
              <w:t xml:space="preserve">3,057</w:t>
            </w:r>
          </w:p>
        </w:tc>
        <w:tc>
          <w:tcPr/>
          <w:p>
            <w:pPr>
              <w:pStyle w:val="Compact"/>
            </w:pPr>
            <w:r>
              <w:t xml:space="preserve">5,067</w:t>
            </w:r>
          </w:p>
        </w:tc>
      </w:tr>
    </w:tbl>
    <w:p>
      <w:pPr>
        <w:pStyle w:val="BodyText"/>
      </w:pPr>
      <w:r>
        <w:t xml:space="preserve">SD, standard deviation; ESS, effective sample size. The prior SD is that of the truncated prior.</w:t>
      </w:r>
    </w:p>
    <w:p>
      <w:pPr>
        <w:pStyle w:val="BodyText"/>
      </w:pPr>
      <w:r>
        <w:t xml:space="preserve">For</w:t>
      </w:r>
      <w:r>
        <w:t xml:space="preserve"> </w:t>
      </w:r>
      <m:oMath>
        <m:sSub>
          <m:e>
            <m:r>
              <m:t>θ</m:t>
            </m:r>
          </m:e>
          <m:sub>
            <m:r>
              <m:t>5</m:t>
            </m:r>
          </m:sub>
        </m:sSub>
      </m:oMath>
      <w:r>
        <w:t xml:space="preserve">,</w:t>
      </w:r>
      <w:r>
        <w:t xml:space="preserve"> </w:t>
      </w:r>
      <m:oMath>
        <m:sSub>
          <m:e>
            <m:r>
              <m:t>θ</m:t>
            </m:r>
          </m:e>
          <m:sub>
            <m:r>
              <m:t>6</m:t>
            </m:r>
          </m:sub>
        </m:sSub>
      </m:oMath>
      <w:r>
        <w:t xml:space="preserve">,</w:t>
      </w:r>
      <w:r>
        <w:t xml:space="preserve"> </w:t>
      </w:r>
      <m:oMath>
        <m:sSub>
          <m:e>
            <m:r>
              <m:t>θ</m:t>
            </m:r>
          </m:e>
          <m:sub>
            <m:r>
              <m:t>13</m:t>
            </m:r>
          </m:sub>
        </m:sSub>
      </m:oMath>
      <w:r>
        <w:t xml:space="preserve"> </w:t>
      </w:r>
      <w:r>
        <w:t xml:space="preserve">the posterior standard deviation was more than 0.7 times the prior’s, so these parameters were mainly informed by the prior: the contact multipliers for ages 50–59 and 60 or older, and the first-arrest factor. The posterior median of c (2.78) was nevertheless well above the prior median of 1.</w:t>
      </w:r>
    </w:p>
    <w:p>
      <w:pPr>
        <w:pStyle w:val="BodyText"/>
      </w:pPr>
      <w:r>
        <w:t xml:space="preserve">The entry scales were close to their lower bound of 1 for ages under 60 (medians 1.09 to 1.15); for ages 60 and over the median was 1.47 (95% credible interval 1.02–3.77).</w:t>
      </w:r>
    </w:p>
    <w:bookmarkEnd w:id="22"/>
    <w:bookmarkStart w:id="23" w:name="fit-to-the-targets"/>
    <w:p>
      <w:pPr>
        <w:pStyle w:val="Heading2"/>
      </w:pPr>
      <w:r>
        <w:t xml:space="preserve">4.6 Fit to the targets</w:t>
      </w:r>
    </w:p>
    <w:p>
      <w:pPr>
        <w:pStyle w:val="FirstParagraph"/>
      </w:pPr>
      <w:r>
        <w:t xml:space="preserve">For each of 4,000 posterior draws we computed the modelled 2015 targets. The 95% posterior intervals of the model values (without observation noise) overlapped the target ranges for all 13 targets (main text Fig 2).</w:t>
      </w:r>
    </w:p>
    <w:p>
      <w:pPr>
        <w:pStyle w:val="BodyText"/>
      </w:pPr>
      <w:r>
        <w:rPr>
          <w:b/>
          <w:bCs/>
        </w:rPr>
        <w:t xml:space="preserve">Table F. Targets against the 95% posterior interval of each modelled value.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w:t>
            </w:r>
          </w:p>
        </w:tc>
        <w:tc>
          <w:tcPr/>
          <w:p>
            <w:pPr>
              <w:pStyle w:val="Compact"/>
            </w:pPr>
            <w:r>
              <w:t xml:space="preserve">Age group</w:t>
            </w:r>
          </w:p>
        </w:tc>
        <w:tc>
          <w:tcPr/>
          <w:p>
            <w:pPr>
              <w:pStyle w:val="Compact"/>
            </w:pPr>
            <w:r>
              <w:t xml:space="preserve">Target (95% range)</w:t>
            </w:r>
          </w:p>
        </w:tc>
        <w:tc>
          <w:tcPr/>
          <w:p>
            <w:pPr>
              <w:pStyle w:val="Compact"/>
            </w:pPr>
            <w:r>
              <w:t xml:space="preserve">Model, 95% posterior interval</w:t>
            </w:r>
          </w:p>
        </w:tc>
      </w:tr>
      <w:tr>
        <w:tc>
          <w:tcPr/>
          <w:p>
            <w:pPr>
              <w:pStyle w:val="Compact"/>
            </w:pPr>
            <w:r>
              <w:t xml:space="preserve">Seroprevalence</w:t>
            </w:r>
          </w:p>
        </w:tc>
        <w:tc>
          <w:tcPr/>
          <w:p>
            <w:pPr>
              <w:pStyle w:val="Compact"/>
            </w:pPr>
            <w:r>
              <w:t xml:space="preserve">&lt;20</w:t>
            </w:r>
          </w:p>
        </w:tc>
        <w:tc>
          <w:tcPr/>
          <w:p>
            <w:pPr>
              <w:pStyle w:val="Compact"/>
            </w:pPr>
            <w:r>
              <w:t xml:space="preserve">12.7% (7.0–19.9)</w:t>
            </w:r>
          </w:p>
        </w:tc>
        <w:tc>
          <w:tcPr/>
          <w:p>
            <w:pPr>
              <w:pStyle w:val="Compact"/>
            </w:pPr>
            <w:r>
              <w:t xml:space="preserve">6.0–18.7</w:t>
            </w:r>
          </w:p>
        </w:tc>
      </w:tr>
      <w:tr>
        <w:tc>
          <w:tcPr/>
          <w:p>
            <w:pPr>
              <w:pStyle w:val="Compact"/>
            </w:pPr>
            <w:r>
              <w:t xml:space="preserve">Seroprevalence</w:t>
            </w:r>
          </w:p>
        </w:tc>
        <w:tc>
          <w:tcPr/>
          <w:p>
            <w:pPr>
              <w:pStyle w:val="Compact"/>
            </w:pPr>
            <w:r>
              <w:t xml:space="preserve">20–29</w:t>
            </w:r>
          </w:p>
        </w:tc>
        <w:tc>
          <w:tcPr/>
          <w:p>
            <w:pPr>
              <w:pStyle w:val="Compact"/>
            </w:pPr>
            <w:r>
              <w:t xml:space="preserve">19.2% (12.1–27.4)</w:t>
            </w:r>
          </w:p>
        </w:tc>
        <w:tc>
          <w:tcPr/>
          <w:p>
            <w:pPr>
              <w:pStyle w:val="Compact"/>
            </w:pPr>
            <w:r>
              <w:t xml:space="preserve">12.8–27.1</w:t>
            </w:r>
          </w:p>
        </w:tc>
      </w:tr>
      <w:tr>
        <w:tc>
          <w:tcPr/>
          <w:p>
            <w:pPr>
              <w:pStyle w:val="Compact"/>
            </w:pPr>
            <w:r>
              <w:t xml:space="preserve">Seroprevalence</w:t>
            </w:r>
          </w:p>
        </w:tc>
        <w:tc>
          <w:tcPr/>
          <w:p>
            <w:pPr>
              <w:pStyle w:val="Compact"/>
            </w:pPr>
            <w:r>
              <w:t xml:space="preserve">30–39</w:t>
            </w:r>
          </w:p>
        </w:tc>
        <w:tc>
          <w:tcPr/>
          <w:p>
            <w:pPr>
              <w:pStyle w:val="Compact"/>
            </w:pPr>
            <w:r>
              <w:t xml:space="preserve">30.0% (21.5–39.3)</w:t>
            </w:r>
          </w:p>
        </w:tc>
        <w:tc>
          <w:tcPr/>
          <w:p>
            <w:pPr>
              <w:pStyle w:val="Compact"/>
            </w:pPr>
            <w:r>
              <w:t xml:space="preserve">22.1–39.4</w:t>
            </w:r>
          </w:p>
        </w:tc>
      </w:tr>
      <w:tr>
        <w:tc>
          <w:tcPr/>
          <w:p>
            <w:pPr>
              <w:pStyle w:val="Compact"/>
            </w:pPr>
            <w:r>
              <w:t xml:space="preserve">Seroprevalence</w:t>
            </w:r>
          </w:p>
        </w:tc>
        <w:tc>
          <w:tcPr/>
          <w:p>
            <w:pPr>
              <w:pStyle w:val="Compact"/>
            </w:pPr>
            <w:r>
              <w:t xml:space="preserve">40–49</w:t>
            </w:r>
          </w:p>
        </w:tc>
        <w:tc>
          <w:tcPr/>
          <w:p>
            <w:pPr>
              <w:pStyle w:val="Compact"/>
            </w:pPr>
            <w:r>
              <w:t xml:space="preserve">48.3% (38.6–58.0)</w:t>
            </w:r>
          </w:p>
        </w:tc>
        <w:tc>
          <w:tcPr/>
          <w:p>
            <w:pPr>
              <w:pStyle w:val="Compact"/>
            </w:pPr>
            <w:r>
              <w:t xml:space="preserve">41.8–56.5</w:t>
            </w:r>
          </w:p>
        </w:tc>
      </w:tr>
      <w:tr>
        <w:tc>
          <w:tcPr/>
          <w:p>
            <w:pPr>
              <w:pStyle w:val="Compact"/>
            </w:pPr>
            <w:r>
              <w:t xml:space="preserve">Seroprevalence</w:t>
            </w:r>
          </w:p>
        </w:tc>
        <w:tc>
          <w:tcPr/>
          <w:p>
            <w:pPr>
              <w:pStyle w:val="Compact"/>
            </w:pPr>
            <w:r>
              <w:t xml:space="preserve">50–59</w:t>
            </w:r>
          </w:p>
        </w:tc>
        <w:tc>
          <w:tcPr/>
          <w:p>
            <w:pPr>
              <w:pStyle w:val="Compact"/>
            </w:pPr>
            <w:r>
              <w:t xml:space="preserve">53.1% (43.4–62.8)</w:t>
            </w:r>
          </w:p>
        </w:tc>
        <w:tc>
          <w:tcPr/>
          <w:p>
            <w:pPr>
              <w:pStyle w:val="Compact"/>
            </w:pPr>
            <w:r>
              <w:t xml:space="preserve">44.4–57.2</w:t>
            </w:r>
          </w:p>
        </w:tc>
      </w:tr>
      <w:tr>
        <w:tc>
          <w:tcPr/>
          <w:p>
            <w:pPr>
              <w:pStyle w:val="Compact"/>
            </w:pPr>
            <w:r>
              <w:t xml:space="preserve">Seroprevalence</w:t>
            </w:r>
          </w:p>
        </w:tc>
        <w:tc>
          <w:tcPr/>
          <w:p>
            <w:pPr>
              <w:pStyle w:val="Compact"/>
            </w:pPr>
            <w:r>
              <w:t xml:space="preserve">60+</w:t>
            </w:r>
          </w:p>
        </w:tc>
        <w:tc>
          <w:tcPr/>
          <w:p>
            <w:pPr>
              <w:pStyle w:val="Compact"/>
            </w:pPr>
            <w:r>
              <w:t xml:space="preserve">42.9% (33.4–52.6)</w:t>
            </w:r>
          </w:p>
        </w:tc>
        <w:tc>
          <w:tcPr/>
          <w:p>
            <w:pPr>
              <w:pStyle w:val="Compact"/>
            </w:pPr>
            <w:r>
              <w:t xml:space="preserve">38.4–52.9</w:t>
            </w:r>
          </w:p>
        </w:tc>
      </w:tr>
      <w:tr>
        <w:tc>
          <w:tcPr/>
          <w:p>
            <w:pPr>
              <w:pStyle w:val="Compact"/>
            </w:pPr>
            <w:r>
              <w:t xml:space="preserve">First arrests</w:t>
            </w:r>
          </w:p>
        </w:tc>
        <w:tc>
          <w:tcPr/>
          <w:p>
            <w:pPr>
              <w:pStyle w:val="Compact"/>
            </w:pPr>
            <w:r>
              <w:t xml:space="preserve">&lt;20</w:t>
            </w:r>
          </w:p>
        </w:tc>
        <w:tc>
          <w:tcPr/>
          <w:p>
            <w:pPr>
              <w:pStyle w:val="Compact"/>
            </w:pPr>
            <w:r>
              <w:t xml:space="preserve">257 (185–340)</w:t>
            </w:r>
          </w:p>
        </w:tc>
        <w:tc>
          <w:tcPr/>
          <w:p>
            <w:pPr>
              <w:pStyle w:val="Compact"/>
            </w:pPr>
            <w:r>
              <w:t xml:space="preserve">242–369</w:t>
            </w:r>
          </w:p>
        </w:tc>
      </w:tr>
      <w:tr>
        <w:tc>
          <w:tcPr/>
          <w:p>
            <w:pPr>
              <w:pStyle w:val="Compact"/>
            </w:pPr>
            <w:r>
              <w:t xml:space="preserve">First arrests</w:t>
            </w:r>
          </w:p>
        </w:tc>
        <w:tc>
          <w:tcPr/>
          <w:p>
            <w:pPr>
              <w:pStyle w:val="Compact"/>
            </w:pPr>
            <w:r>
              <w:t xml:space="preserve">20–29</w:t>
            </w:r>
          </w:p>
        </w:tc>
        <w:tc>
          <w:tcPr/>
          <w:p>
            <w:pPr>
              <w:pStyle w:val="Compact"/>
            </w:pPr>
            <w:r>
              <w:t xml:space="preserve">644 (472–842)</w:t>
            </w:r>
          </w:p>
        </w:tc>
        <w:tc>
          <w:tcPr/>
          <w:p>
            <w:pPr>
              <w:pStyle w:val="Compact"/>
            </w:pPr>
            <w:r>
              <w:t xml:space="preserve">617–904</w:t>
            </w:r>
          </w:p>
        </w:tc>
      </w:tr>
      <w:tr>
        <w:tc>
          <w:tcPr/>
          <w:p>
            <w:pPr>
              <w:pStyle w:val="Compact"/>
            </w:pPr>
            <w:r>
              <w:t xml:space="preserve">First arrests</w:t>
            </w:r>
          </w:p>
        </w:tc>
        <w:tc>
          <w:tcPr/>
          <w:p>
            <w:pPr>
              <w:pStyle w:val="Compact"/>
            </w:pPr>
            <w:r>
              <w:t xml:space="preserve">30–39</w:t>
            </w:r>
          </w:p>
        </w:tc>
        <w:tc>
          <w:tcPr/>
          <w:p>
            <w:pPr>
              <w:pStyle w:val="Compact"/>
            </w:pPr>
            <w:r>
              <w:t xml:space="preserve">292 (211–385)</w:t>
            </w:r>
          </w:p>
        </w:tc>
        <w:tc>
          <w:tcPr/>
          <w:p>
            <w:pPr>
              <w:pStyle w:val="Compact"/>
            </w:pPr>
            <w:r>
              <w:t xml:space="preserve">316–429</w:t>
            </w:r>
          </w:p>
        </w:tc>
      </w:tr>
      <w:tr>
        <w:tc>
          <w:tcPr/>
          <w:p>
            <w:pPr>
              <w:pStyle w:val="Compact"/>
            </w:pPr>
            <w:r>
              <w:t xml:space="preserve">First arrests</w:t>
            </w:r>
          </w:p>
        </w:tc>
        <w:tc>
          <w:tcPr/>
          <w:p>
            <w:pPr>
              <w:pStyle w:val="Compact"/>
            </w:pPr>
            <w:r>
              <w:t xml:space="preserve">40–49</w:t>
            </w:r>
          </w:p>
        </w:tc>
        <w:tc>
          <w:tcPr/>
          <w:p>
            <w:pPr>
              <w:pStyle w:val="Compact"/>
            </w:pPr>
            <w:r>
              <w:t xml:space="preserve">94 (64–128)</w:t>
            </w:r>
          </w:p>
        </w:tc>
        <w:tc>
          <w:tcPr/>
          <w:p>
            <w:pPr>
              <w:pStyle w:val="Compact"/>
            </w:pPr>
            <w:r>
              <w:t xml:space="preserve">108–150</w:t>
            </w:r>
          </w:p>
        </w:tc>
      </w:tr>
      <w:tr>
        <w:tc>
          <w:tcPr/>
          <w:p>
            <w:pPr>
              <w:pStyle w:val="Compact"/>
            </w:pPr>
            <w:r>
              <w:t xml:space="preserve">First arrests</w:t>
            </w:r>
          </w:p>
        </w:tc>
        <w:tc>
          <w:tcPr/>
          <w:p>
            <w:pPr>
              <w:pStyle w:val="Compact"/>
            </w:pPr>
            <w:r>
              <w:t xml:space="preserve">50–59</w:t>
            </w:r>
          </w:p>
        </w:tc>
        <w:tc>
          <w:tcPr/>
          <w:p>
            <w:pPr>
              <w:pStyle w:val="Compact"/>
            </w:pPr>
            <w:r>
              <w:t xml:space="preserve">21 (11–33)</w:t>
            </w:r>
          </w:p>
        </w:tc>
        <w:tc>
          <w:tcPr/>
          <w:p>
            <w:pPr>
              <w:pStyle w:val="Compact"/>
            </w:pPr>
            <w:r>
              <w:t xml:space="preserve">25–39</w:t>
            </w:r>
          </w:p>
        </w:tc>
      </w:tr>
      <w:tr>
        <w:tc>
          <w:tcPr/>
          <w:p>
            <w:pPr>
              <w:pStyle w:val="Compact"/>
            </w:pPr>
            <w:r>
              <w:t xml:space="preserve">First arrests</w:t>
            </w:r>
          </w:p>
        </w:tc>
        <w:tc>
          <w:tcPr/>
          <w:p>
            <w:pPr>
              <w:pStyle w:val="Compact"/>
            </w:pPr>
            <w:r>
              <w:t xml:space="preserve">60+</w:t>
            </w:r>
          </w:p>
        </w:tc>
        <w:tc>
          <w:tcPr/>
          <w:p>
            <w:pPr>
              <w:pStyle w:val="Compact"/>
            </w:pPr>
            <w:r>
              <w:t xml:space="preserve">1 (0–3)</w:t>
            </w:r>
          </w:p>
        </w:tc>
        <w:tc>
          <w:tcPr/>
          <w:p>
            <w:pPr>
              <w:pStyle w:val="Compact"/>
            </w:pPr>
            <w:r>
              <w:t xml:space="preserve">2–7</w:t>
            </w:r>
          </w:p>
        </w:tc>
      </w:tr>
      <w:tr>
        <w:tc>
          <w:tcPr/>
          <w:p>
            <w:pPr>
              <w:pStyle w:val="Compact"/>
            </w:pPr>
            <w:r>
              <w:t xml:space="preserve">Community injectors</w:t>
            </w:r>
          </w:p>
        </w:tc>
        <w:tc>
          <w:tcPr/>
          <w:p>
            <w:pPr>
              <w:pStyle w:val="Compact"/>
            </w:pPr>
            <w:r>
              <w:t xml:space="preserve">All ages (D + F)</w:t>
            </w:r>
          </w:p>
        </w:tc>
        <w:tc>
          <w:tcPr/>
          <w:p>
            <w:pPr>
              <w:pStyle w:val="Compact"/>
            </w:pPr>
            <w:r>
              <w:t xml:space="preserve">11,000 (6,801–17,791)</w:t>
            </w:r>
          </w:p>
        </w:tc>
        <w:tc>
          <w:tcPr/>
          <w:p>
            <w:pPr>
              <w:pStyle w:val="Compact"/>
            </w:pPr>
            <w:r>
              <w:t xml:space="preserve">7,065–9,373</w:t>
            </w:r>
          </w:p>
        </w:tc>
      </w:tr>
    </w:tbl>
    <w:bookmarkEnd w:id="23"/>
    <w:bookmarkStart w:id="24" w:name="checks-of-the-posterior"/>
    <w:p>
      <w:pPr>
        <w:pStyle w:val="Heading2"/>
      </w:pPr>
      <w:r>
        <w:t xml:space="preserve">4.7 Checks of the posterior</w:t>
      </w:r>
    </w:p>
    <w:p>
      <w:pPr>
        <w:pStyle w:val="FirstParagraph"/>
      </w:pPr>
      <w:r>
        <w:t xml:space="preserve">Direct simulation-based calibration</w:t>
      </w:r>
      <w:r>
        <w:t xml:space="preserve"> </w:t>
      </w:r>
      <w:r>
        <w:t xml:space="preserve">[19]</w:t>
      </w:r>
      <w:r>
        <w:t xml:space="preserve">: we reran the MCMC (one chain of 45,000 evaluations, 15,000 warm-up) on 8 data sets simulated from prior draws. Pooled over 104 ranks, 95% interval coverage was 0.95, 90% coverage 0.94 and the mean rank 0.47. With 8 data sets this guards only against gross miscalibration.</w:t>
      </w:r>
    </w:p>
    <w:p>
      <w:pPr>
        <w:pStyle w:val="BodyText"/>
      </w:pPr>
      <w:r>
        <w:t xml:space="preserve">Neural posterior estimation</w:t>
      </w:r>
      <w:r>
        <w:t xml:space="preserve"> </w:t>
      </w:r>
      <w:r>
        <w:t xml:space="preserve">[20,21]</w:t>
      </w:r>
      <w:r>
        <w:t xml:space="preserve">: we simulated 50,000 parameter sets from the prior by Latin hypercube sampling (49,941 valid), added observation noise from the likelihood, and trained an ensemble of 5 masked autoregressive flows</w:t>
      </w:r>
      <w:r>
        <w:t xml:space="preserve"> </w:t>
      </w:r>
      <w:r>
        <w:t xml:space="preserve">[22]</w:t>
      </w:r>
      <w:r>
        <w:t xml:space="preserve">.</w:t>
      </w:r>
    </w:p>
    <w:p>
      <w:pPr>
        <w:pStyle w:val="BodyText"/>
      </w:pPr>
      <w:r>
        <w:t xml:space="preserve">Its simulation-based calibration on 998 data sets gave 95% coverage of 0.926 to 0.962, but the rank histograms of</w:t>
      </w:r>
      <w:r>
        <w:t xml:space="preserve"> </w:t>
      </w:r>
      <m:oMath>
        <m:sSub>
          <m:e>
            <m:r>
              <m:t>θ</m:t>
            </m:r>
          </m:e>
          <m:sub>
            <m:r>
              <m:t>2</m:t>
            </m:r>
          </m:sub>
        </m:sSub>
      </m:oMath>
      <w:r>
        <w:t xml:space="preserve">,</w:t>
      </w:r>
      <w:r>
        <w:t xml:space="preserve"> </w:t>
      </w:r>
      <m:oMath>
        <m:sSub>
          <m:e>
            <m:r>
              <m:t>θ</m:t>
            </m:r>
          </m:e>
          <m:sub>
            <m:r>
              <m:t>10</m:t>
            </m:r>
          </m:sub>
        </m:sSub>
      </m:oMath>
      <w:r>
        <w:t xml:space="preserve">,</w:t>
      </w:r>
      <w:r>
        <w:t xml:space="preserve"> </w:t>
      </w:r>
      <m:oMath>
        <m:sSub>
          <m:e>
            <m:r>
              <m:t>θ</m:t>
            </m:r>
          </m:e>
          <m:sub>
            <m:r>
              <m:t>11</m:t>
            </m:r>
          </m:sub>
        </m:sSub>
      </m:oMath>
      <w:r>
        <w:t xml:space="preserve"> </w:t>
      </w:r>
      <w:r>
        <w:t xml:space="preserve">were not uniform, so the neural posterior failed its predeclared quality check (Fig B).</w:t>
      </w:r>
    </w:p>
    <w:p>
      <w:pPr>
        <w:pStyle w:val="BodyText"/>
      </w:pPr>
      <w:r>
        <w:t xml:space="preserve">Of 4,000 neural posterior draws, 24% failed the equilibrium check. Compared with the MCMC, the neural posterior intervals were on average 1.28 times as wide, and 15% of parameters met all agreement criteria (Fig C). We therefore used the MCMC posterior for every result and report the neural posterior only as a failed cross-check.</w:t>
      </w:r>
    </w:p>
    <w:bookmarkEnd w:id="24"/>
    <w:bookmarkEnd w:id="25"/>
    <w:bookmarkStart w:id="26" w:name="model-population-in-2015"/>
    <w:p>
      <w:pPr>
        <w:pStyle w:val="Heading1"/>
      </w:pPr>
      <w:r>
        <w:t xml:space="preserve">5. Model population in 2015</w:t>
      </w:r>
    </w:p>
    <w:p>
      <w:pPr>
        <w:pStyle w:val="FirstParagraph"/>
      </w:pPr>
      <w:r>
        <w:rPr>
          <w:b/>
          <w:bCs/>
        </w:rPr>
        <w:t xml:space="preserve">Table G. Modelled population in 2015 (median and 95% credible interval across posterior draws).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All people</w:t>
            </w:r>
          </w:p>
        </w:tc>
        <w:tc>
          <w:tcPr/>
          <w:p>
            <w:pPr>
              <w:pStyle w:val="Compact"/>
            </w:pPr>
            <w:r>
              <w:t xml:space="preserve">Viraemic (a, c, t)</w:t>
            </w:r>
          </w:p>
        </w:tc>
      </w:tr>
      <w:tr>
        <w:tc>
          <w:tcPr/>
          <w:p>
            <w:pPr>
              <w:pStyle w:val="Compact"/>
            </w:pPr>
            <w:r>
              <w:t xml:space="preserve">D, never imprisoned</w:t>
            </w:r>
          </w:p>
        </w:tc>
        <w:tc>
          <w:tcPr/>
          <w:p>
            <w:pPr>
              <w:pStyle w:val="Compact"/>
            </w:pPr>
            <w:r>
              <w:t xml:space="preserve">1,130 (577–2,004)</w:t>
            </w:r>
          </w:p>
        </w:tc>
        <w:tc>
          <w:tcPr/>
          <w:p>
            <w:pPr>
              <w:pStyle w:val="Compact"/>
            </w:pPr>
            <w:r>
              <w:t xml:space="preserve">77 (25–198)</w:t>
            </w:r>
          </w:p>
        </w:tc>
      </w:tr>
      <w:tr>
        <w:tc>
          <w:tcPr/>
          <w:p>
            <w:pPr>
              <w:pStyle w:val="Compact"/>
            </w:pPr>
            <w:r>
              <w:t xml:space="preserve">J, in prison</w:t>
            </w:r>
          </w:p>
        </w:tc>
        <w:tc>
          <w:tcPr/>
          <w:p>
            <w:pPr>
              <w:pStyle w:val="Compact"/>
            </w:pPr>
            <w:r>
              <w:t xml:space="preserve">9,741 (8,889–11,104)</w:t>
            </w:r>
          </w:p>
        </w:tc>
        <w:tc>
          <w:tcPr/>
          <w:p>
            <w:pPr>
              <w:pStyle w:val="Compact"/>
            </w:pPr>
            <w:r>
              <w:t xml:space="preserve">2,657 (2,269–3,123)</w:t>
            </w:r>
          </w:p>
        </w:tc>
      </w:tr>
      <w:tr>
        <w:tc>
          <w:tcPr/>
          <w:p>
            <w:pPr>
              <w:pStyle w:val="Compact"/>
            </w:pPr>
            <w:r>
              <w:t xml:space="preserve">F, released, injecting</w:t>
            </w:r>
          </w:p>
        </w:tc>
        <w:tc>
          <w:tcPr/>
          <w:p>
            <w:pPr>
              <w:pStyle w:val="Compact"/>
            </w:pPr>
            <w:r>
              <w:t xml:space="preserve">6,802 (6,189–7,827)</w:t>
            </w:r>
          </w:p>
        </w:tc>
        <w:tc>
          <w:tcPr/>
          <w:p>
            <w:pPr>
              <w:pStyle w:val="Compact"/>
            </w:pPr>
            <w:r>
              <w:t xml:space="preserve">2,499 (2,126–2,963)</w:t>
            </w:r>
          </w:p>
        </w:tc>
      </w:tr>
      <w:tr>
        <w:tc>
          <w:tcPr/>
          <w:p>
            <w:pPr>
              <w:pStyle w:val="Compact"/>
            </w:pPr>
            <w:r>
              <w:t xml:space="preserve">X, released, stopped</w:t>
            </w:r>
          </w:p>
        </w:tc>
        <w:tc>
          <w:tcPr/>
          <w:p>
            <w:pPr>
              <w:pStyle w:val="Compact"/>
            </w:pPr>
            <w:r>
              <w:t xml:space="preserve">40,035 (36,123–46,690)</w:t>
            </w:r>
          </w:p>
        </w:tc>
        <w:tc>
          <w:tcPr/>
          <w:p>
            <w:pPr>
              <w:pStyle w:val="Compact"/>
            </w:pPr>
            <w:r>
              <w:t xml:space="preserve">5,481 (4,469–6,705)</w:t>
            </w:r>
          </w:p>
        </w:tc>
      </w:tr>
      <w:tr>
        <w:tc>
          <w:tcPr/>
          <w:p>
            <w:pPr>
              <w:pStyle w:val="Compact"/>
            </w:pPr>
            <w:r>
              <w:t xml:space="preserve">D + F (active injectors outside prison)</w:t>
            </w:r>
          </w:p>
        </w:tc>
        <w:tc>
          <w:tcPr/>
          <w:p>
            <w:pPr>
              <w:pStyle w:val="Compact"/>
            </w:pPr>
            <w:r>
              <w:t xml:space="preserve">7,957 (7,062–9,298)</w:t>
            </w:r>
          </w:p>
        </w:tc>
        <w:tc>
          <w:tcPr/>
          <w:p>
            <w:pPr>
              <w:pStyle w:val="Compact"/>
            </w:pPr>
            <w:r>
              <w:t xml:space="preserve">2,584 (2,210–3,056)</w:t>
            </w:r>
          </w:p>
        </w:tc>
      </w:tr>
      <w:tr>
        <w:tc>
          <w:tcPr/>
          <w:p>
            <w:pPr>
              <w:pStyle w:val="Compact"/>
            </w:pPr>
            <w:r>
              <w:t xml:space="preserve">All groups</w:t>
            </w:r>
          </w:p>
        </w:tc>
        <w:tc>
          <w:tcPr/>
          <w:p>
            <w:pPr>
              <w:pStyle w:val="Compact"/>
            </w:pPr>
            <w:r>
              <w:t xml:space="preserve">57,742 (52,350–66,850)</w:t>
            </w:r>
          </w:p>
        </w:tc>
        <w:tc>
          <w:tcPr/>
          <w:p>
            <w:pPr>
              <w:pStyle w:val="Compact"/>
            </w:pPr>
            <w:r>
              <w:t xml:space="preserve">10,725 (9,005–12,859)</w:t>
            </w:r>
          </w:p>
        </w:tc>
      </w:tr>
    </w:tbl>
    <w:p>
      <w:pPr>
        <w:pStyle w:val="BodyText"/>
      </w:pPr>
      <w:r>
        <w:t xml:space="preserve">The modelled prison population was not a calibration target. In the prison records, 3,367 people held for drug consumption with a screening result were in prison at the end of 2015.</w:t>
      </w:r>
    </w:p>
    <w:bookmarkEnd w:id="26"/>
    <w:bookmarkStart w:id="27" w:name="scenario-implementation"/>
    <w:p>
      <w:pPr>
        <w:pStyle w:val="Heading1"/>
      </w:pPr>
      <w:r>
        <w:t xml:space="preserve">6. Scenario implementation</w:t>
      </w:r>
    </w:p>
    <w:p>
      <w:pPr>
        <w:pStyle w:val="FirstParagraph"/>
      </w:pPr>
      <w:r>
        <w:t xml:space="preserve">Treatment in J from 2019 used the rate</w:t>
      </w:r>
      <w:r>
        <w:t xml:space="preserve"> </w:t>
      </w:r>
      <m:oMath>
        <m:sSub>
          <m:e>
            <m:r>
              <m:t>τ</m:t>
            </m:r>
          </m:e>
          <m:sub>
            <m:r>
              <m:t>J</m:t>
            </m:r>
          </m:sub>
        </m:sSub>
        <m:r>
          <m:rPr>
            <m:sty m:val="p"/>
          </m:rPr>
          <m:t>=</m:t>
        </m:r>
        <m:r>
          <m:rPr>
            <m:sty m:val="p"/>
          </m:rPr>
          <m:t>−</m:t>
        </m:r>
        <m:r>
          <m:rPr>
            <m:sty m:val="p"/>
          </m:rPr>
          <m:t>ln</m:t>
        </m:r>
        <m:r>
          <m:rPr>
            <m:sty m:val="p"/>
          </m:rPr>
          <m:t>(</m:t>
        </m:r>
        <m:r>
          <m:t>1</m:t>
        </m:r>
        <m:r>
          <m:rPr>
            <m:sty m:val="p"/>
          </m:rPr>
          <m:t>−</m:t>
        </m:r>
        <m:r>
          <m:t>0.99995</m:t>
        </m:r>
        <m:r>
          <m:rPr>
            <m:sty m:val="p"/>
          </m:rPr>
          <m:t>)</m:t>
        </m:r>
        <m:r>
          <m:rPr>
            <m:sty m:val="p"/>
          </m:rPr>
          <m:t>=</m:t>
        </m:r>
        <m:r>
          <m:t>9.90</m:t>
        </m:r>
      </m:oMath>
      <w:r>
        <w:t xml:space="preserve"> </w:t>
      </w:r>
      <w:r>
        <w:t xml:space="preserve">per year for people with chronic infection in every stage and age. From 2026, people in F and X started at</w:t>
      </w:r>
      <w:r>
        <w:t xml:space="preserve"> </w:t>
      </w:r>
      <m:oMath>
        <m:sSub>
          <m:e>
            <m:r>
              <m:t>τ</m:t>
            </m:r>
          </m:e>
          <m:sub>
            <m:r>
              <m:t>F</m:t>
            </m:r>
            <m:r>
              <m:t>X</m:t>
            </m:r>
          </m:sub>
        </m:sSub>
        <m:r>
          <m:rPr>
            <m:sty m:val="p"/>
          </m:rPr>
          <m:t>=</m:t>
        </m:r>
        <m:r>
          <m:rPr>
            <m:sty m:val="p"/>
          </m:rPr>
          <m:t>−</m:t>
        </m:r>
        <m:r>
          <m:rPr>
            <m:sty m:val="p"/>
          </m:rPr>
          <m:t>ln</m:t>
        </m:r>
        <m:r>
          <m:rPr>
            <m:sty m:val="p"/>
          </m:rPr>
          <m:t>(</m:t>
        </m:r>
        <m:r>
          <m:t>1</m:t>
        </m:r>
        <m:r>
          <m:rPr>
            <m:sty m:val="p"/>
          </m:rPr>
          <m:t>−</m:t>
        </m:r>
        <m:r>
          <m:t>0.99</m:t>
        </m:r>
        <m:r>
          <m:rPr>
            <m:sty m:val="p"/>
          </m:rPr>
          <m:t>)</m:t>
        </m:r>
        <m:r>
          <m:rPr>
            <m:sty m:val="p"/>
          </m:rPr>
          <m:t>=</m:t>
        </m:r>
        <m:r>
          <m:t>4.61</m:t>
        </m:r>
      </m:oMath>
      <w:r>
        <w:t xml:space="preserve"> </w:t>
      </w:r>
      <w:r>
        <w:t xml:space="preserve">per year, but only until that year’s capacity was used.</w:t>
      </w:r>
    </w:p>
    <w:p>
      <w:pPr>
        <w:pStyle w:val="BodyText"/>
      </w:pPr>
      <w:r>
        <w:t xml:space="preserve">At the start of each year, for each of F and X,</w:t>
      </w:r>
      <w:r>
        <w:t xml:space="preserve"> </w:t>
      </w:r>
      <m:oMath>
        <m:r>
          <m:t>N</m:t>
        </m:r>
        <m:r>
          <m:rPr>
            <m:sty m:val="p"/>
          </m:rPr>
          <m:t>=</m:t>
        </m:r>
        <m:r>
          <m:t>u</m:t>
        </m:r>
        <m:r>
          <m:rPr>
            <m:sty m:val="p"/>
          </m:rPr>
          <m:t>+</m:t>
        </m:r>
        <m:r>
          <m:t>a</m:t>
        </m:r>
        <m:r>
          <m:rPr>
            <m:sty m:val="p"/>
          </m:rPr>
          <m:t>+</m:t>
        </m:r>
        <m:r>
          <m:t>c</m:t>
        </m:r>
        <m:r>
          <m:rPr>
            <m:sty m:val="p"/>
          </m:rPr>
          <m:t>+</m:t>
        </m:r>
        <m:r>
          <m:t>r</m:t>
        </m:r>
      </m:oMath>
      <w:r>
        <w:t xml:space="preserve"> </w:t>
      </w:r>
      <w:r>
        <w:t xml:space="preserve">people were eligible. The number screened was the smaller of the quota and</w:t>
      </w:r>
      <w:r>
        <w:t xml:space="preserve"> </w:t>
      </w:r>
      <m:oMath>
        <m:r>
          <m:t>N</m:t>
        </m:r>
      </m:oMath>
      <w:r>
        <w:t xml:space="preserve">. Antibody tests equalled the number screened; RNA tests equalled screened times</w:t>
      </w:r>
      <w:r>
        <w:t xml:space="preserve"> </w:t>
      </w:r>
      <m:oMath>
        <m:r>
          <m:rPr>
            <m:sty m:val="p"/>
          </m:rPr>
          <m:t>(</m:t>
        </m:r>
        <m:r>
          <m:t>a</m:t>
        </m:r>
        <m:r>
          <m:rPr>
            <m:sty m:val="p"/>
          </m:rPr>
          <m:t>+</m:t>
        </m:r>
        <m:r>
          <m:t>c</m:t>
        </m:r>
        <m:r>
          <m:rPr>
            <m:sty m:val="p"/>
          </m:rPr>
          <m:t>+</m:t>
        </m:r>
        <m:r>
          <m:t>r</m:t>
        </m:r>
        <m:r>
          <m:rPr>
            <m:sty m:val="p"/>
          </m:rPr>
          <m:t>)</m:t>
        </m:r>
        <m:r>
          <m:rPr>
            <m:sty m:val="p"/>
          </m:rPr>
          <m:t>/</m:t>
        </m:r>
        <m:r>
          <m:t>N</m:t>
        </m:r>
      </m:oMath>
      <w:r>
        <w:t xml:space="preserve">; chronic infections found, and so the year’s treatment capacity, equalled screened times</w:t>
      </w:r>
      <w:r>
        <w:t xml:space="preserve"> </w:t>
      </w:r>
      <m:oMath>
        <m:r>
          <m:t>c</m:t>
        </m:r>
        <m:r>
          <m:rPr>
            <m:sty m:val="p"/>
          </m:rPr>
          <m:t>/</m:t>
        </m:r>
        <m:r>
          <m:t>N</m:t>
        </m:r>
      </m:oMath>
      <w:r>
        <w:t xml:space="preserve">.</w:t>
      </w:r>
    </w:p>
    <w:p>
      <w:pPr>
        <w:pStyle w:val="BodyText"/>
      </w:pPr>
      <w:r>
        <w:t xml:space="preserve">The solver located the moment in each year at which a group used its capacity and then stopped new starts in that group for the rest of the year. Unused capacity was not moved between F and X or carried over. The same person can be counted as screened in more than one year, and the model counts treatment courses, not people.</w:t>
      </w:r>
    </w:p>
    <w:p>
      <w:pPr>
        <w:pStyle w:val="BodyText"/>
      </w:pPr>
      <w:r>
        <w:t xml:space="preserve">In J, every entrant not on treatment (u, a, c, r) was counted as having an antibody test and every antibody-positive entrant (a, c, r) an RNA test; each treatment start was costed as one course and one consultation.</w:t>
      </w:r>
    </w:p>
    <w:p>
      <w:pPr>
        <w:pStyle w:val="BodyText"/>
      </w:pPr>
      <w:r>
        <w:t xml:space="preserve">New infections in a year were the infections (u and r to a, in D and F) during that calendar year, and HCV deaths the liver deaths in stages 3 and 4 plus</w:t>
      </w:r>
      <w:r>
        <w:t xml:space="preserve"> </w:t>
      </w:r>
      <m:oMath>
        <m:r>
          <m:rPr>
            <m:sty m:val="p"/>
          </m:rPr>
          <m:t>(</m:t>
        </m:r>
        <m:sSub>
          <m:e>
            <m:r>
              <m:t>σ</m:t>
            </m:r>
          </m:e>
          <m:sub>
            <m:r>
              <m:t>v</m:t>
            </m:r>
          </m:sub>
        </m:sSub>
        <m:r>
          <m:rPr>
            <m:sty m:val="p"/>
          </m:rPr>
          <m:t>−</m:t>
        </m:r>
        <m:sSub>
          <m:e>
            <m:r>
              <m:t>σ</m:t>
            </m:r>
          </m:e>
          <m:sub>
            <m:r>
              <m:t>n</m:t>
            </m:r>
          </m:sub>
        </m:sSub>
        <m:r>
          <m:rPr>
            <m:sty m:val="p"/>
          </m:rPr>
          <m:t>)</m:t>
        </m:r>
        <m:sSub>
          <m:e>
            <m:r>
              <m:t>μ</m:t>
            </m:r>
          </m:e>
          <m:sub>
            <m:r>
              <m:t>i</m:t>
            </m:r>
          </m:sub>
        </m:sSub>
      </m:oMath>
      <w:r>
        <w:t xml:space="preserve"> </w:t>
      </w:r>
      <w:r>
        <w:t xml:space="preserve">times the number of viraemic people, summed over the year (trapezoid rule over the daily solver output). The 2015 values were one year at the calibrated equilibrium; the 2016 values, still without treatment, differed from them by less than 0.1%. Both were compared with their 2015 values.</w:t>
      </w:r>
    </w:p>
    <w:p>
      <w:pPr>
        <w:pStyle w:val="BodyText"/>
      </w:pPr>
      <w:r>
        <w:t xml:space="preserve">For each of 2,000 posterior draws (sampling seed fixed), we ran the 2015 equilibrium, the shared 2016–2025 history and all 17 scenarios to 2030; 2,000 of 2,000 draws were valid.</w:t>
      </w:r>
    </w:p>
    <w:bookmarkEnd w:id="27"/>
    <w:bookmarkStart w:id="28" w:name="costs"/>
    <w:p>
      <w:pPr>
        <w:pStyle w:val="Heading1"/>
      </w:pPr>
      <w:r>
        <w:t xml:space="preserve">7. Costs</w:t>
      </w:r>
    </w:p>
    <w:p>
      <w:pPr>
        <w:pStyle w:val="FirstParagraph"/>
      </w:pPr>
      <w:r>
        <w:rPr>
          <w:b/>
          <w:bCs/>
        </w:rPr>
        <w:t xml:space="preserve">Table H. Unit costs (2026 Singapore dollars).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Base</w:t>
            </w:r>
          </w:p>
        </w:tc>
        <w:tc>
          <w:tcPr/>
          <w:p>
            <w:pPr>
              <w:pStyle w:val="Compact"/>
            </w:pPr>
            <w:r>
              <w:t xml:space="preserve">Range in sensitivity analysis</w:t>
            </w:r>
          </w:p>
        </w:tc>
        <w:tc>
          <w:tcPr/>
          <w:p>
            <w:pPr>
              <w:pStyle w:val="Compact"/>
            </w:pPr>
            <w:r>
              <w:t xml:space="preserve">Basis</w:t>
            </w:r>
          </w:p>
        </w:tc>
      </w:tr>
      <w:tr>
        <w:tc>
          <w:tcPr/>
          <w:p>
            <w:pPr>
              <w:pStyle w:val="Compact"/>
            </w:pPr>
            <w:r>
              <w:t xml:space="preserve">SOF/VEL 400/100 mg</w:t>
            </w:r>
          </w:p>
        </w:tc>
        <w:tc>
          <w:tcPr/>
          <w:p>
            <w:pPr>
              <w:pStyle w:val="Compact"/>
            </w:pPr>
            <w:r>
              <w:t xml:space="preserve">S$40,405.30</w:t>
            </w:r>
          </w:p>
        </w:tc>
        <w:tc>
          <w:tcPr/>
          <w:p>
            <w:pPr>
              <w:pStyle w:val="Compact"/>
            </w:pPr>
            <w:r>
              <w:t xml:space="preserve">S$20,202.65–S$60,607.95</w:t>
            </w:r>
          </w:p>
        </w:tc>
        <w:tc>
          <w:tcPr/>
          <w:p>
            <w:pPr>
              <w:pStyle w:val="Compact"/>
            </w:pPr>
            <w:r>
              <w:t xml:space="preserve">Published price of US$2,577 per week for 12 weeks</w:t>
            </w:r>
            <w:r>
              <w:t xml:space="preserve"> </w:t>
            </w:r>
            <w:r>
              <w:t xml:space="preserve">[23]</w:t>
            </w:r>
            <w:r>
              <w:t xml:space="preserve">, converted at S</w:t>
            </w:r>
            <m:oMath>
              <m:r>
                <m:t>1.3066</m:t>
              </m:r>
              <m:r>
                <m:t>p</m:t>
              </m:r>
              <m:r>
                <m:t>e</m:t>
              </m:r>
              <m:r>
                <m:t>r</m:t>
              </m:r>
              <m:r>
                <m:t>U</m:t>
              </m:r>
              <m:r>
                <m:t>S</m:t>
              </m:r>
            </m:oMath>
            <w:r>
              <w:t xml:space="preserve"> </w:t>
            </w:r>
            <w:r>
              <w:t xml:space="preserve">[24]</w:t>
            </w:r>
            <w:r>
              <w:t xml:space="preserve">; not a procurement price</w:t>
            </w:r>
          </w:p>
        </w:tc>
      </w:tr>
      <w:tr>
        <w:tc>
          <w:tcPr/>
          <w:p>
            <w:pPr>
              <w:pStyle w:val="Compact"/>
            </w:pPr>
            <w:r>
              <w:t xml:space="preserve">Anti-HCV antibody</w:t>
            </w:r>
          </w:p>
        </w:tc>
        <w:tc>
          <w:tcPr/>
          <w:p>
            <w:pPr>
              <w:pStyle w:val="Compact"/>
            </w:pPr>
            <w:r>
              <w:t xml:space="preserve">S$25.31</w:t>
            </w:r>
          </w:p>
        </w:tc>
        <w:tc>
          <w:tcPr/>
          <w:p>
            <w:pPr>
              <w:pStyle w:val="Compact"/>
            </w:pPr>
            <w:r>
              <w:t xml:space="preserve">S$12.65–S$37.97</w:t>
            </w:r>
          </w:p>
        </w:tc>
        <w:tc>
          <w:tcPr/>
          <w:p>
            <w:pPr>
              <w:pStyle w:val="Compact"/>
            </w:pPr>
            <w:r>
              <w:t xml:space="preserve">Published clinic charge</w:t>
            </w:r>
            <w:r>
              <w:t xml:space="preserve"> </w:t>
            </w:r>
            <w:r>
              <w:t xml:space="preserve">[25]</w:t>
            </w:r>
          </w:p>
        </w:tc>
      </w:tr>
      <w:tr>
        <w:tc>
          <w:tcPr/>
          <w:p>
            <w:pPr>
              <w:pStyle w:val="Compact"/>
            </w:pPr>
            <w:r>
              <w:t xml:space="preserve">HCV RNA PCR</w:t>
            </w:r>
          </w:p>
        </w:tc>
        <w:tc>
          <w:tcPr/>
          <w:p>
            <w:pPr>
              <w:pStyle w:val="Compact"/>
            </w:pPr>
            <w:r>
              <w:t xml:space="preserve">S$307.00</w:t>
            </w:r>
          </w:p>
        </w:tc>
        <w:tc>
          <w:tcPr/>
          <w:p>
            <w:pPr>
              <w:pStyle w:val="Compact"/>
            </w:pPr>
            <w:r>
              <w:t xml:space="preserve">S$153.50–S$460.50</w:t>
            </w:r>
          </w:p>
        </w:tc>
        <w:tc>
          <w:tcPr/>
          <w:p>
            <w:pPr>
              <w:pStyle w:val="Compact"/>
            </w:pPr>
            <w:r>
              <w:t xml:space="preserve">Published laboratory charge</w:t>
            </w:r>
            <w:r>
              <w:t xml:space="preserve"> </w:t>
            </w:r>
            <w:r>
              <w:t xml:space="preserve">[26]</w:t>
            </w:r>
          </w:p>
        </w:tc>
      </w:tr>
      <w:tr>
        <w:tc>
          <w:tcPr/>
          <w:p>
            <w:pPr>
              <w:pStyle w:val="Compact"/>
            </w:pPr>
            <w:r>
              <w:t xml:space="preserve">Doctor consultation</w:t>
            </w:r>
          </w:p>
        </w:tc>
        <w:tc>
          <w:tcPr/>
          <w:p>
            <w:pPr>
              <w:pStyle w:val="Compact"/>
            </w:pPr>
            <w:r>
              <w:t xml:space="preserve">S$25.00</w:t>
            </w:r>
          </w:p>
        </w:tc>
        <w:tc>
          <w:tcPr/>
          <w:p>
            <w:pPr>
              <w:pStyle w:val="Compact"/>
            </w:pPr>
            <w:r>
              <w:t xml:space="preserve">S$12.50–S$37.50</w:t>
            </w:r>
          </w:p>
        </w:tc>
        <w:tc>
          <w:tcPr/>
          <w:p>
            <w:pPr>
              <w:pStyle w:val="Compact"/>
            </w:pPr>
            <w:r>
              <w:t xml:space="preserve">Published clinic charge</w:t>
            </w:r>
            <w:r>
              <w:t xml:space="preserve"> </w:t>
            </w:r>
            <w:r>
              <w:t xml:space="preserve">[25]</w:t>
            </w:r>
          </w:p>
        </w:tc>
      </w:tr>
    </w:tbl>
    <w:p>
      <w:pPr>
        <w:pStyle w:val="BodyText"/>
      </w:pPr>
      <w:r>
        <w:t xml:space="preserve">The source abstract for the drug price gives US$32,325 per 12 weeks, which differs from US$2,577 times 12 (US$30,924); we used the weekly figure. Prices were not inflated to 2026. Follow-up visits, tests of cure, care navigation and genotyping were not costed.</w:t>
      </w:r>
    </w:p>
    <w:p>
      <w:pPr>
        <w:pStyle w:val="BodyText"/>
      </w:pPr>
      <w:r>
        <w:t xml:space="preserve">Costs were counted in the year they occurred and discounted at 3% a year to 2026; numbers of tests and courses were not discounted. Costs before 2026 were not included.</w:t>
      </w:r>
    </w:p>
    <w:bookmarkEnd w:id="28"/>
    <w:bookmarkStart w:id="29" w:name="additional-results"/>
    <w:p>
      <w:pPr>
        <w:pStyle w:val="Heading1"/>
      </w:pPr>
      <w:r>
        <w:t xml:space="preserve">8. Additional results</w:t>
      </w:r>
    </w:p>
    <w:p>
      <w:pPr>
        <w:pStyle w:val="FirstParagraph"/>
      </w:pPr>
      <w:r>
        <w:t xml:space="preserve">Table I gives every scenario. Fig D shows which policies met each target at the median, Fig E the costs and treatment starts by group, and Fig F the yearly screening cascade in F and X.</w:t>
      </w:r>
    </w:p>
    <w:p>
      <w:pPr>
        <w:pStyle w:val="BodyText"/>
      </w:pPr>
      <w:r>
        <w:rPr>
          <w:b/>
          <w:bCs/>
        </w:rPr>
        <w:t xml:space="preserve">Table I. All scenarios, 2030 and 2026–2030 totals (median and 95% uncertainty interval).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Policy</w:t>
            </w:r>
          </w:p>
        </w:tc>
        <w:tc>
          <w:tcPr/>
          <w:p>
            <w:pPr>
              <w:pStyle w:val="Compact"/>
            </w:pPr>
            <w:r>
              <w:t xml:space="preserve">Draws meeting incidence target</w:t>
            </w:r>
          </w:p>
        </w:tc>
        <w:tc>
          <w:tcPr/>
          <w:p>
            <w:pPr>
              <w:pStyle w:val="Compact"/>
            </w:pPr>
            <w:r>
              <w:t xml:space="preserve">Draws meeting mortality target</w:t>
            </w:r>
          </w:p>
        </w:tc>
        <w:tc>
          <w:tcPr/>
          <w:p>
            <w:pPr>
              <w:pStyle w:val="Compact"/>
            </w:pPr>
            <w:r>
              <w:t xml:space="preserve">Treatment starts in F and X, 2026–2030</w:t>
            </w:r>
          </w:p>
        </w:tc>
        <w:tc>
          <w:tcPr/>
          <w:p>
            <w:pPr>
              <w:pStyle w:val="Compact"/>
            </w:pPr>
            <w:r>
              <w:t xml:space="preserve">Extra cost over J only, S$ million</w:t>
            </w:r>
          </w:p>
        </w:tc>
      </w:tr>
      <w:tr>
        <w:tc>
          <w:tcPr/>
          <w:p>
            <w:pPr>
              <w:pStyle w:val="Compact"/>
            </w:pPr>
            <w:r>
              <w:t xml:space="preserve">J only</w:t>
            </w:r>
          </w:p>
        </w:tc>
        <w:tc>
          <w:tcPr/>
          <w:p>
            <w:pPr>
              <w:pStyle w:val="Compact"/>
            </w:pPr>
            <w:r>
              <w:t xml:space="preserve">71.2%</w:t>
            </w:r>
          </w:p>
        </w:tc>
        <w:tc>
          <w:tcPr/>
          <w:p>
            <w:pPr>
              <w:pStyle w:val="Compact"/>
            </w:pPr>
            <w:r>
              <w:t xml:space="preserve">0.0%</w:t>
            </w:r>
          </w:p>
        </w:tc>
        <w:tc>
          <w:tcPr/>
          <w:p>
            <w:pPr>
              <w:pStyle w:val="Compact"/>
            </w:pPr>
            <w:r>
              <w:t xml:space="preserve">0 (0–0)</w:t>
            </w:r>
          </w:p>
        </w:tc>
        <w:tc>
          <w:tcPr/>
          <w:p>
            <w:pPr>
              <w:pStyle w:val="Compact"/>
            </w:pPr>
            <w:r>
              <w:t xml:space="preserve">0.0 (0.0–0.0)</w:t>
            </w:r>
          </w:p>
        </w:tc>
      </w:tr>
      <w:tr>
        <w:tc>
          <w:tcPr/>
          <w:p>
            <w:pPr>
              <w:pStyle w:val="Compact"/>
            </w:pPr>
            <w:r>
              <w:t xml:space="preserve">J + 600/year, 25% to F</w:t>
            </w:r>
          </w:p>
        </w:tc>
        <w:tc>
          <w:tcPr/>
          <w:p>
            <w:pPr>
              <w:pStyle w:val="Compact"/>
            </w:pPr>
            <w:r>
              <w:t xml:space="preserve">79.0%</w:t>
            </w:r>
          </w:p>
        </w:tc>
        <w:tc>
          <w:tcPr/>
          <w:p>
            <w:pPr>
              <w:pStyle w:val="Compact"/>
            </w:pPr>
            <w:r>
              <w:t xml:space="preserve">0.0%</w:t>
            </w:r>
          </w:p>
        </w:tc>
        <w:tc>
          <w:tcPr/>
          <w:p>
            <w:pPr>
              <w:pStyle w:val="Compact"/>
            </w:pPr>
            <w:r>
              <w:t xml:space="preserve">213 (176–257)</w:t>
            </w:r>
          </w:p>
        </w:tc>
        <w:tc>
          <w:tcPr/>
          <w:p>
            <w:pPr>
              <w:pStyle w:val="Compact"/>
            </w:pPr>
            <w:r>
              <w:t xml:space="preserve">7.1 (5.9–8.6)</w:t>
            </w:r>
          </w:p>
        </w:tc>
      </w:tr>
      <w:tr>
        <w:tc>
          <w:tcPr/>
          <w:p>
            <w:pPr>
              <w:pStyle w:val="Compact"/>
            </w:pPr>
            <w:r>
              <w:t xml:space="preserve">J + 600/year, 50% to F</w:t>
            </w:r>
          </w:p>
        </w:tc>
        <w:tc>
          <w:tcPr/>
          <w:p>
            <w:pPr>
              <w:pStyle w:val="Compact"/>
            </w:pPr>
            <w:r>
              <w:t xml:space="preserve">84.2%</w:t>
            </w:r>
          </w:p>
        </w:tc>
        <w:tc>
          <w:tcPr/>
          <w:p>
            <w:pPr>
              <w:pStyle w:val="Compact"/>
            </w:pPr>
            <w:r>
              <w:t xml:space="preserve">0.0%</w:t>
            </w:r>
          </w:p>
        </w:tc>
        <w:tc>
          <w:tcPr/>
          <w:p>
            <w:pPr>
              <w:pStyle w:val="Compact"/>
            </w:pPr>
            <w:r>
              <w:t xml:space="preserve">187 (154–226)</w:t>
            </w:r>
          </w:p>
        </w:tc>
        <w:tc>
          <w:tcPr/>
          <w:p>
            <w:pPr>
              <w:pStyle w:val="Compact"/>
            </w:pPr>
            <w:r>
              <w:t xml:space="preserve">4.9 (4.1–5.9)</w:t>
            </w:r>
          </w:p>
        </w:tc>
      </w:tr>
      <w:tr>
        <w:tc>
          <w:tcPr/>
          <w:p>
            <w:pPr>
              <w:pStyle w:val="Compact"/>
            </w:pPr>
            <w:r>
              <w:t xml:space="preserve">J + 600/year, 75% to F</w:t>
            </w:r>
          </w:p>
        </w:tc>
        <w:tc>
          <w:tcPr/>
          <w:p>
            <w:pPr>
              <w:pStyle w:val="Compact"/>
            </w:pPr>
            <w:r>
              <w:t xml:space="preserve">88.1%</w:t>
            </w:r>
          </w:p>
        </w:tc>
        <w:tc>
          <w:tcPr/>
          <w:p>
            <w:pPr>
              <w:pStyle w:val="Compact"/>
            </w:pPr>
            <w:r>
              <w:t xml:space="preserve">0.0%</w:t>
            </w:r>
          </w:p>
        </w:tc>
        <w:tc>
          <w:tcPr/>
          <w:p>
            <w:pPr>
              <w:pStyle w:val="Compact"/>
            </w:pPr>
            <w:r>
              <w:t xml:space="preserve">158 (128–201)</w:t>
            </w:r>
          </w:p>
        </w:tc>
        <w:tc>
          <w:tcPr/>
          <w:p>
            <w:pPr>
              <w:pStyle w:val="Compact"/>
            </w:pPr>
            <w:r>
              <w:t xml:space="preserve">2.7 (2.2–3.1)</w:t>
            </w:r>
          </w:p>
        </w:tc>
      </w:tr>
      <w:tr>
        <w:tc>
          <w:tcPr/>
          <w:p>
            <w:pPr>
              <w:pStyle w:val="Compact"/>
            </w:pPr>
            <w:r>
              <w:t xml:space="preserve">J + 1,000/year, 25% to F</w:t>
            </w:r>
          </w:p>
        </w:tc>
        <w:tc>
          <w:tcPr/>
          <w:p>
            <w:pPr>
              <w:pStyle w:val="Compact"/>
            </w:pPr>
            <w:r>
              <w:t xml:space="preserve">82.4%</w:t>
            </w:r>
          </w:p>
        </w:tc>
        <w:tc>
          <w:tcPr/>
          <w:p>
            <w:pPr>
              <w:pStyle w:val="Compact"/>
            </w:pPr>
            <w:r>
              <w:t xml:space="preserve">0.0%</w:t>
            </w:r>
          </w:p>
        </w:tc>
        <w:tc>
          <w:tcPr/>
          <w:p>
            <w:pPr>
              <w:pStyle w:val="Compact"/>
            </w:pPr>
            <w:r>
              <w:t xml:space="preserve">350 (290–422)</w:t>
            </w:r>
          </w:p>
        </w:tc>
        <w:tc>
          <w:tcPr/>
          <w:p>
            <w:pPr>
              <w:pStyle w:val="Compact"/>
            </w:pPr>
            <w:r>
              <w:t xml:space="preserve">11.7 (9.7–14.2)</w:t>
            </w:r>
          </w:p>
        </w:tc>
      </w:tr>
      <w:tr>
        <w:tc>
          <w:tcPr/>
          <w:p>
            <w:pPr>
              <w:pStyle w:val="Compact"/>
            </w:pPr>
            <w:r>
              <w:t xml:space="preserve">J + 1,000/year, 50% to F</w:t>
            </w:r>
          </w:p>
        </w:tc>
        <w:tc>
          <w:tcPr/>
          <w:p>
            <w:pPr>
              <w:pStyle w:val="Compact"/>
            </w:pPr>
            <w:r>
              <w:t xml:space="preserve">89.3%</w:t>
            </w:r>
          </w:p>
        </w:tc>
        <w:tc>
          <w:tcPr/>
          <w:p>
            <w:pPr>
              <w:pStyle w:val="Compact"/>
            </w:pPr>
            <w:r>
              <w:t xml:space="preserve">0.0%</w:t>
            </w:r>
          </w:p>
        </w:tc>
        <w:tc>
          <w:tcPr/>
          <w:p>
            <w:pPr>
              <w:pStyle w:val="Compact"/>
            </w:pPr>
            <w:r>
              <w:t xml:space="preserve">305 (252–370)</w:t>
            </w:r>
          </w:p>
        </w:tc>
        <w:tc>
          <w:tcPr/>
          <w:p>
            <w:pPr>
              <w:pStyle w:val="Compact"/>
            </w:pPr>
            <w:r>
              <w:t xml:space="preserve">8.1 (6.7–9.7)</w:t>
            </w:r>
          </w:p>
        </w:tc>
      </w:tr>
      <w:tr>
        <w:tc>
          <w:tcPr/>
          <w:p>
            <w:pPr>
              <w:pStyle w:val="Compact"/>
            </w:pPr>
            <w:r>
              <w:t xml:space="preserve">J + 1,000/year, 75% to F</w:t>
            </w:r>
          </w:p>
        </w:tc>
        <w:tc>
          <w:tcPr/>
          <w:p>
            <w:pPr>
              <w:pStyle w:val="Compact"/>
            </w:pPr>
            <w:r>
              <w:t xml:space="preserve">93.8%</w:t>
            </w:r>
          </w:p>
        </w:tc>
        <w:tc>
          <w:tcPr/>
          <w:p>
            <w:pPr>
              <w:pStyle w:val="Compact"/>
            </w:pPr>
            <w:r>
              <w:t xml:space="preserve">0.0%</w:t>
            </w:r>
          </w:p>
        </w:tc>
        <w:tc>
          <w:tcPr/>
          <w:p>
            <w:pPr>
              <w:pStyle w:val="Compact"/>
            </w:pPr>
            <w:r>
              <w:t xml:space="preserve">253 (206–321)</w:t>
            </w:r>
          </w:p>
        </w:tc>
        <w:tc>
          <w:tcPr/>
          <w:p>
            <w:pPr>
              <w:pStyle w:val="Compact"/>
            </w:pPr>
            <w:r>
              <w:t xml:space="preserve">4.3 (3.6–5.1)</w:t>
            </w:r>
          </w:p>
        </w:tc>
      </w:tr>
      <w:tr>
        <w:tc>
          <w:tcPr/>
          <w:p>
            <w:pPr>
              <w:pStyle w:val="Compact"/>
            </w:pPr>
            <w:r>
              <w:t xml:space="preserve">J + 2,000/year, 25% to F</w:t>
            </w:r>
          </w:p>
        </w:tc>
        <w:tc>
          <w:tcPr/>
          <w:p>
            <w:pPr>
              <w:pStyle w:val="Compact"/>
            </w:pPr>
            <w:r>
              <w:t xml:space="preserve">89.3%</w:t>
            </w:r>
          </w:p>
        </w:tc>
        <w:tc>
          <w:tcPr/>
          <w:p>
            <w:pPr>
              <w:pStyle w:val="Compact"/>
            </w:pPr>
            <w:r>
              <w:t xml:space="preserve">0.0%</w:t>
            </w:r>
          </w:p>
        </w:tc>
        <w:tc>
          <w:tcPr/>
          <w:p>
            <w:pPr>
              <w:pStyle w:val="Compact"/>
            </w:pPr>
            <w:r>
              <w:t xml:space="preserve">675 (560–813)</w:t>
            </w:r>
          </w:p>
        </w:tc>
        <w:tc>
          <w:tcPr/>
          <w:p>
            <w:pPr>
              <w:pStyle w:val="Compact"/>
            </w:pPr>
            <w:r>
              <w:t xml:space="preserve">22.7 (18.7–27.4)</w:t>
            </w:r>
          </w:p>
        </w:tc>
      </w:tr>
      <w:tr>
        <w:tc>
          <w:tcPr/>
          <w:p>
            <w:pPr>
              <w:pStyle w:val="Compact"/>
            </w:pPr>
            <w:r>
              <w:t xml:space="preserve">J + 2,000/year, 50% to F</w:t>
            </w:r>
          </w:p>
        </w:tc>
        <w:tc>
          <w:tcPr/>
          <w:p>
            <w:pPr>
              <w:pStyle w:val="Compact"/>
            </w:pPr>
            <w:r>
              <w:t xml:space="preserve">96.5%</w:t>
            </w:r>
          </w:p>
        </w:tc>
        <w:tc>
          <w:tcPr/>
          <w:p>
            <w:pPr>
              <w:pStyle w:val="Compact"/>
            </w:pPr>
            <w:r>
              <w:t xml:space="preserve">0.0%</w:t>
            </w:r>
          </w:p>
        </w:tc>
        <w:tc>
          <w:tcPr/>
          <w:p>
            <w:pPr>
              <w:pStyle w:val="Compact"/>
            </w:pPr>
            <w:r>
              <w:t xml:space="preserve">583 (481–705)</w:t>
            </w:r>
          </w:p>
        </w:tc>
        <w:tc>
          <w:tcPr/>
          <w:p>
            <w:pPr>
              <w:pStyle w:val="Compact"/>
            </w:pPr>
            <w:r>
              <w:t xml:space="preserve">15.6 (12.9–18.7)</w:t>
            </w:r>
          </w:p>
        </w:tc>
      </w:tr>
      <w:tr>
        <w:tc>
          <w:tcPr/>
          <w:p>
            <w:pPr>
              <w:pStyle w:val="Compact"/>
            </w:pPr>
            <w:r>
              <w:t xml:space="preserve">J + 2,000/year, 75% to F</w:t>
            </w:r>
          </w:p>
        </w:tc>
        <w:tc>
          <w:tcPr/>
          <w:p>
            <w:pPr>
              <w:pStyle w:val="Compact"/>
            </w:pPr>
            <w:r>
              <w:t xml:space="preserve">99.1%</w:t>
            </w:r>
          </w:p>
        </w:tc>
        <w:tc>
          <w:tcPr/>
          <w:p>
            <w:pPr>
              <w:pStyle w:val="Compact"/>
            </w:pPr>
            <w:r>
              <w:t xml:space="preserve">0.0%</w:t>
            </w:r>
          </w:p>
        </w:tc>
        <w:tc>
          <w:tcPr/>
          <w:p>
            <w:pPr>
              <w:pStyle w:val="Compact"/>
            </w:pPr>
            <w:r>
              <w:t xml:space="preserve">465 (379–586)</w:t>
            </w:r>
          </w:p>
        </w:tc>
        <w:tc>
          <w:tcPr/>
          <w:p>
            <w:pPr>
              <w:pStyle w:val="Compact"/>
            </w:pPr>
            <w:r>
              <w:t xml:space="preserve">8.1 (6.6–9.7)</w:t>
            </w:r>
          </w:p>
        </w:tc>
      </w:tr>
      <w:tr>
        <w:tc>
          <w:tcPr/>
          <w:p>
            <w:pPr>
              <w:pStyle w:val="Compact"/>
            </w:pPr>
            <w:r>
              <w:t xml:space="preserve">J + 5,000/year, 25% to F</w:t>
            </w:r>
          </w:p>
        </w:tc>
        <w:tc>
          <w:tcPr/>
          <w:p>
            <w:pPr>
              <w:pStyle w:val="Compact"/>
            </w:pPr>
            <w:r>
              <w:t xml:space="preserve">98.4%</w:t>
            </w:r>
          </w:p>
        </w:tc>
        <w:tc>
          <w:tcPr/>
          <w:p>
            <w:pPr>
              <w:pStyle w:val="Compact"/>
            </w:pPr>
            <w:r>
              <w:t xml:space="preserve">61.5%</w:t>
            </w:r>
          </w:p>
        </w:tc>
        <w:tc>
          <w:tcPr/>
          <w:p>
            <w:pPr>
              <w:pStyle w:val="Compact"/>
            </w:pPr>
            <w:r>
              <w:t xml:space="preserve">1,521 (1,260–1,834)</w:t>
            </w:r>
          </w:p>
        </w:tc>
        <w:tc>
          <w:tcPr/>
          <w:p>
            <w:pPr>
              <w:pStyle w:val="Compact"/>
            </w:pPr>
            <w:r>
              <w:t xml:space="preserve">51.4 (42.3–61.9)</w:t>
            </w:r>
          </w:p>
        </w:tc>
      </w:tr>
      <w:tr>
        <w:tc>
          <w:tcPr/>
          <w:p>
            <w:pPr>
              <w:pStyle w:val="Compact"/>
            </w:pPr>
            <w:r>
              <w:t xml:space="preserve">J + 5,000/year, 50% to F</w:t>
            </w:r>
          </w:p>
        </w:tc>
        <w:tc>
          <w:tcPr/>
          <w:p>
            <w:pPr>
              <w:pStyle w:val="Compact"/>
            </w:pPr>
            <w:r>
              <w:t xml:space="preserve">99.9%</w:t>
            </w:r>
          </w:p>
        </w:tc>
        <w:tc>
          <w:tcPr/>
          <w:p>
            <w:pPr>
              <w:pStyle w:val="Compact"/>
            </w:pPr>
            <w:r>
              <w:t xml:space="preserve">2.5%</w:t>
            </w:r>
          </w:p>
        </w:tc>
        <w:tc>
          <w:tcPr/>
          <w:p>
            <w:pPr>
              <w:pStyle w:val="Compact"/>
            </w:pPr>
            <w:r>
              <w:t xml:space="preserve">1,278 (1,058–1,538)</w:t>
            </w:r>
          </w:p>
        </w:tc>
        <w:tc>
          <w:tcPr/>
          <w:p>
            <w:pPr>
              <w:pStyle w:val="Compact"/>
            </w:pPr>
            <w:r>
              <w:t xml:space="preserve">35.6 (29.3–42.8)</w:t>
            </w:r>
          </w:p>
        </w:tc>
      </w:tr>
      <w:tr>
        <w:tc>
          <w:tcPr/>
          <w:p>
            <w:pPr>
              <w:pStyle w:val="Compact"/>
            </w:pPr>
            <w:r>
              <w:t xml:space="preserve">J + 5,000/year, 75% to F</w:t>
            </w:r>
          </w:p>
        </w:tc>
        <w:tc>
          <w:tcPr/>
          <w:p>
            <w:pPr>
              <w:pStyle w:val="Compact"/>
            </w:pPr>
            <w:r>
              <w:t xml:space="preserve">100.0%</w:t>
            </w:r>
          </w:p>
        </w:tc>
        <w:tc>
          <w:tcPr/>
          <w:p>
            <w:pPr>
              <w:pStyle w:val="Compact"/>
            </w:pPr>
            <w:r>
              <w:t xml:space="preserve">0.0%</w:t>
            </w:r>
          </w:p>
        </w:tc>
        <w:tc>
          <w:tcPr/>
          <w:p>
            <w:pPr>
              <w:pStyle w:val="Compact"/>
            </w:pPr>
            <w:r>
              <w:t xml:space="preserve">926 (763–1,142)</w:t>
            </w:r>
          </w:p>
        </w:tc>
        <w:tc>
          <w:tcPr/>
          <w:p>
            <w:pPr>
              <w:pStyle w:val="Compact"/>
            </w:pPr>
            <w:r>
              <w:t xml:space="preserve">17.8 (13.9–21.8)</w:t>
            </w:r>
          </w:p>
        </w:tc>
      </w:tr>
      <w:tr>
        <w:tc>
          <w:tcPr/>
          <w:p>
            <w:pPr>
              <w:pStyle w:val="Compact"/>
            </w:pPr>
            <w:r>
              <w:t xml:space="preserve">J + 8,000/year, 25% to F</w:t>
            </w:r>
          </w:p>
        </w:tc>
        <w:tc>
          <w:tcPr/>
          <w:p>
            <w:pPr>
              <w:pStyle w:val="Compact"/>
            </w:pPr>
            <w:r>
              <w:t xml:space="preserve">99.9%</w:t>
            </w:r>
          </w:p>
        </w:tc>
        <w:tc>
          <w:tcPr/>
          <w:p>
            <w:pPr>
              <w:pStyle w:val="Compact"/>
            </w:pPr>
            <w:r>
              <w:t xml:space="preserve">100.0%</w:t>
            </w:r>
          </w:p>
        </w:tc>
        <w:tc>
          <w:tcPr/>
          <w:p>
            <w:pPr>
              <w:pStyle w:val="Compact"/>
            </w:pPr>
            <w:r>
              <w:t xml:space="preserve">2,196 (1,823–2,654)</w:t>
            </w:r>
          </w:p>
        </w:tc>
        <w:tc>
          <w:tcPr/>
          <w:p>
            <w:pPr>
              <w:pStyle w:val="Compact"/>
            </w:pPr>
            <w:r>
              <w:t xml:space="preserve">74.7 (61.4–90.0)</w:t>
            </w:r>
          </w:p>
        </w:tc>
      </w:tr>
      <w:tr>
        <w:tc>
          <w:tcPr/>
          <w:p>
            <w:pPr>
              <w:pStyle w:val="Compact"/>
            </w:pPr>
            <w:r>
              <w:t xml:space="preserve">J + 8,000/year, 50% to F</w:t>
            </w:r>
          </w:p>
        </w:tc>
        <w:tc>
          <w:tcPr/>
          <w:p>
            <w:pPr>
              <w:pStyle w:val="Compact"/>
            </w:pPr>
            <w:r>
              <w:t xml:space="preserve">100.0%</w:t>
            </w:r>
          </w:p>
        </w:tc>
        <w:tc>
          <w:tcPr/>
          <w:p>
            <w:pPr>
              <w:pStyle w:val="Compact"/>
            </w:pPr>
            <w:r>
              <w:t xml:space="preserve">87.2%</w:t>
            </w:r>
          </w:p>
        </w:tc>
        <w:tc>
          <w:tcPr/>
          <w:p>
            <w:pPr>
              <w:pStyle w:val="Compact"/>
            </w:pPr>
            <w:r>
              <w:t xml:space="preserve">1,820 (1,512–2,192)</w:t>
            </w:r>
          </w:p>
        </w:tc>
        <w:tc>
          <w:tcPr/>
          <w:p>
            <w:pPr>
              <w:pStyle w:val="Compact"/>
            </w:pPr>
            <w:r>
              <w:t xml:space="preserve">52.7 (43.2–63.5)</w:t>
            </w:r>
          </w:p>
        </w:tc>
      </w:tr>
      <w:tr>
        <w:tc>
          <w:tcPr/>
          <w:p>
            <w:pPr>
              <w:pStyle w:val="Compact"/>
            </w:pPr>
            <w:r>
              <w:t xml:space="preserve">J + 8,000/year, 75% to F</w:t>
            </w:r>
          </w:p>
        </w:tc>
        <w:tc>
          <w:tcPr/>
          <w:p>
            <w:pPr>
              <w:pStyle w:val="Compact"/>
            </w:pPr>
            <w:r>
              <w:t xml:space="preserve">100.0%</w:t>
            </w:r>
          </w:p>
        </w:tc>
        <w:tc>
          <w:tcPr/>
          <w:p>
            <w:pPr>
              <w:pStyle w:val="Compact"/>
            </w:pPr>
            <w:r>
              <w:t xml:space="preserve">0.3%</w:t>
            </w:r>
          </w:p>
        </w:tc>
        <w:tc>
          <w:tcPr/>
          <w:p>
            <w:pPr>
              <w:pStyle w:val="Compact"/>
            </w:pPr>
            <w:r>
              <w:t xml:space="preserve">1,252 (1,040–1,524)</w:t>
            </w:r>
          </w:p>
        </w:tc>
        <w:tc>
          <w:tcPr/>
          <w:p>
            <w:pPr>
              <w:pStyle w:val="Compact"/>
            </w:pPr>
            <w:r>
              <w:t xml:space="preserve">27.1 (20.6–33.2)</w:t>
            </w:r>
          </w:p>
        </w:tc>
      </w:tr>
      <w:tr>
        <w:tc>
          <w:tcPr/>
          <w:p>
            <w:pPr>
              <w:pStyle w:val="Compact"/>
            </w:pPr>
            <w:r>
              <w:t xml:space="preserve">J + uncapped screening</w:t>
            </w:r>
          </w:p>
        </w:tc>
        <w:tc>
          <w:tcPr/>
          <w:p>
            <w:pPr>
              <w:pStyle w:val="Compact"/>
            </w:pPr>
            <w:r>
              <w:t xml:space="preserve">100.0%</w:t>
            </w:r>
          </w:p>
        </w:tc>
        <w:tc>
          <w:tcPr/>
          <w:p>
            <w:pPr>
              <w:pStyle w:val="Compact"/>
            </w:pPr>
            <w:r>
              <w:t xml:space="preserve">100.0%</w:t>
            </w:r>
          </w:p>
        </w:tc>
        <w:tc>
          <w:tcPr/>
          <w:p>
            <w:pPr>
              <w:pStyle w:val="Compact"/>
            </w:pPr>
            <w:r>
              <w:t xml:space="preserve">4,511 (3,684–5,633)</w:t>
            </w:r>
          </w:p>
        </w:tc>
        <w:tc>
          <w:tcPr/>
          <w:p>
            <w:pPr>
              <w:pStyle w:val="Compact"/>
            </w:pPr>
            <w:r>
              <w:t xml:space="preserve">174.6 (142.6–219.0)</w:t>
            </w:r>
          </w:p>
        </w:tc>
      </w:tr>
    </w:tbl>
    <w:p>
      <w:pPr>
        <w:pStyle w:val="BodyText"/>
      </w:pPr>
      <w:r>
        <w:t xml:space="preserve">Cost sensitivity: with all unit prices halved or increased by half, the discounted cost of 5,000 tests a year with 25% to F was S$43.1 million or S$129.2 million; epidemiological results do not change.</w:t>
      </w:r>
    </w:p>
    <w:bookmarkEnd w:id="29"/>
    <w:bookmarkStart w:id="30" w:name="software-and-reproducibility"/>
    <w:p>
      <w:pPr>
        <w:pStyle w:val="Heading1"/>
      </w:pPr>
      <w:r>
        <w:t xml:space="preserve">9. Software and reproducibility</w:t>
      </w:r>
    </w:p>
    <w:p>
      <w:pPr>
        <w:pStyle w:val="FirstParagraph"/>
      </w:pPr>
      <w:r>
        <w:t xml:space="preserve">The model is in C++ (scripts/model/sim.cpp), called from R through Rcpp</w:t>
      </w:r>
      <w:r>
        <w:t xml:space="preserve"> </w:t>
      </w:r>
      <w:r>
        <w:t xml:space="preserve">[27]</w:t>
      </w:r>
      <w:r>
        <w:t xml:space="preserve">. Rate models used Stan, convergence diagnostics the R package posterior, and the neural posterior the sbi package</w:t>
      </w:r>
      <w:r>
        <w:t xml:space="preserve"> </w:t>
      </w:r>
      <w:r>
        <w:t xml:space="preserve">[21]</w:t>
      </w:r>
      <w:r>
        <w:t xml:space="preserve">. Figures were drawn with matplotlib from the saved outputs.</w:t>
      </w:r>
    </w:p>
    <w:p>
      <w:pPr>
        <w:pStyle w:val="BodyText"/>
      </w:pPr>
      <w:r>
        <w:t xml:space="preserve">Analysis commands, run times and expected outputs are listed in docs/training.md in the repository. This appendix and the main text were generated from the saved outputs by scripts/build_paper.py; drafting followed the procedures of Scientific Agent Skills</w:t>
      </w:r>
      <w:r>
        <w:t xml:space="preserve"> </w:t>
      </w:r>
      <w:r>
        <w:t xml:space="preserve">[28]</w:t>
      </w:r>
      <w:r>
        <w:t xml:space="preserve">.</w:t>
      </w:r>
    </w:p>
    <w:bookmarkEnd w:id="30"/>
    <w:bookmarkStart w:id="49" w:name="figures"/>
    <w:p>
      <w:pPr>
        <w:pStyle w:val="Heading1"/>
      </w:pPr>
      <w:r>
        <w:t xml:space="preserve">Figures</w:t>
      </w:r>
    </w:p>
    <w:p>
      <w:pPr>
        <w:pStyle w:val="FirstParagraph"/>
      </w:pPr>
      <w:r>
        <w:rPr>
          <w:b/>
          <w:bCs/>
        </w:rPr>
        <w:t xml:space="preserve">Fig A. MCMC trace plots.</w:t>
      </w:r>
      <w:r>
        <w:t xml:space="preserve"> </w:t>
      </w:r>
      <w:r>
        <w:t xml:space="preserve">Stored draws of the 13 parameters for each of the 8 chains after warm-up.</w:t>
      </w:r>
    </w:p>
    <w:p>
      <w:pPr>
        <w:pStyle w:val="BodyText"/>
      </w:pPr>
      <w:r>
        <w:drawing>
          <wp:inline>
            <wp:extent cx="5067300" cy="5851042"/>
            <wp:effectExtent b="0" l="0" r="0" t="0"/>
            <wp:docPr descr="" title="" id="32" name="Picture"/>
            <a:graphic>
              <a:graphicData uri="http://schemas.openxmlformats.org/drawingml/2006/picture">
                <pic:pic>
                  <pic:nvPicPr>
                    <pic:cNvPr descr="output/calibration/mcmc_reference/mcmc_traceplots.png" id="33" name="Picture"/>
                    <pic:cNvPicPr>
                      <a:picLocks noChangeArrowheads="1" noChangeAspect="1"/>
                    </pic:cNvPicPr>
                  </pic:nvPicPr>
                  <pic:blipFill>
                    <a:blip r:embed="rId31"/>
                    <a:stretch>
                      <a:fillRect/>
                    </a:stretch>
                  </pic:blipFill>
                  <pic:spPr bwMode="auto">
                    <a:xfrm>
                      <a:off x="0" y="0"/>
                      <a:ext cx="5067300" cy="5851042"/>
                    </a:xfrm>
                    <a:prstGeom prst="rect">
                      <a:avLst/>
                    </a:prstGeom>
                    <a:noFill/>
                    <a:ln w="9525">
                      <a:noFill/>
                      <a:headEnd/>
                      <a:tailEnd/>
                    </a:ln>
                  </pic:spPr>
                </pic:pic>
              </a:graphicData>
            </a:graphic>
          </wp:inline>
        </w:drawing>
      </w:r>
    </w:p>
    <w:p>
      <w:pPr>
        <w:pStyle w:val="BodyText"/>
      </w:pPr>
      <w:r>
        <w:rPr>
          <w:b/>
          <w:bCs/>
        </w:rPr>
        <w:t xml:space="preserve">Fig B. Rank histograms of the neural posterior’s simulation-based calibration.</w:t>
      </w:r>
      <w:r>
        <w:t xml:space="preserve"> </w:t>
      </w:r>
      <w:r>
        <w:t xml:space="preserve">998 data sets, 20 bins; the band is the 99% range under uniformity.</w:t>
      </w:r>
    </w:p>
    <w:p>
      <w:pPr>
        <w:pStyle w:val="BodyText"/>
      </w:pPr>
      <w:r>
        <w:drawing>
          <wp:inline>
            <wp:extent cx="5067300" cy="2925521"/>
            <wp:effectExtent b="0" l="0" r="0" t="0"/>
            <wp:docPr descr="" title="" id="35" name="Picture"/>
            <a:graphic>
              <a:graphicData uri="http://schemas.openxmlformats.org/drawingml/2006/picture">
                <pic:pic>
                  <pic:nvPicPr>
                    <pic:cNvPr descr="output/calibration/npe_lhs/sbc_rank_histograms.png" id="36" name="Picture"/>
                    <pic:cNvPicPr>
                      <a:picLocks noChangeArrowheads="1" noChangeAspect="1"/>
                    </pic:cNvPicPr>
                  </pic:nvPicPr>
                  <pic:blipFill>
                    <a:blip r:embed="rId34"/>
                    <a:stretch>
                      <a:fillRect/>
                    </a:stretch>
                  </pic:blipFill>
                  <pic:spPr bwMode="auto">
                    <a:xfrm>
                      <a:off x="0" y="0"/>
                      <a:ext cx="5067300" cy="2925521"/>
                    </a:xfrm>
                    <a:prstGeom prst="rect">
                      <a:avLst/>
                    </a:prstGeom>
                    <a:noFill/>
                    <a:ln w="9525">
                      <a:noFill/>
                      <a:headEnd/>
                      <a:tailEnd/>
                    </a:ln>
                  </pic:spPr>
                </pic:pic>
              </a:graphicData>
            </a:graphic>
          </wp:inline>
        </w:drawing>
      </w:r>
    </w:p>
    <w:p>
      <w:pPr>
        <w:pStyle w:val="BodyText"/>
      </w:pPr>
      <w:r>
        <w:rPr>
          <w:b/>
          <w:bCs/>
        </w:rPr>
        <w:t xml:space="preserve">Fig C. Marginal posteriors from the MCMC (grey) and the neural posterior (orange).</w:t>
      </w:r>
    </w:p>
    <w:p>
      <w:pPr>
        <w:pStyle w:val="BodyText"/>
      </w:pPr>
      <w:r>
        <w:drawing>
          <wp:inline>
            <wp:extent cx="5067300" cy="3058397"/>
            <wp:effectExtent b="0" l="0" r="0" t="0"/>
            <wp:docPr descr="" title="" id="38" name="Picture"/>
            <a:graphic>
              <a:graphicData uri="http://schemas.openxmlformats.org/drawingml/2006/picture">
                <pic:pic>
                  <pic:nvPicPr>
                    <pic:cNvPr descr="output/calibration/npe_vs_mcmc/figures/marginals.png" id="39" name="Picture"/>
                    <pic:cNvPicPr>
                      <a:picLocks noChangeArrowheads="1" noChangeAspect="1"/>
                    </pic:cNvPicPr>
                  </pic:nvPicPr>
                  <pic:blipFill>
                    <a:blip r:embed="rId37"/>
                    <a:stretch>
                      <a:fillRect/>
                    </a:stretch>
                  </pic:blipFill>
                  <pic:spPr bwMode="auto">
                    <a:xfrm>
                      <a:off x="0" y="0"/>
                      <a:ext cx="5067300" cy="3058397"/>
                    </a:xfrm>
                    <a:prstGeom prst="rect">
                      <a:avLst/>
                    </a:prstGeom>
                    <a:noFill/>
                    <a:ln w="9525">
                      <a:noFill/>
                      <a:headEnd/>
                      <a:tailEnd/>
                    </a:ln>
                  </pic:spPr>
                </pic:pic>
              </a:graphicData>
            </a:graphic>
          </wp:inline>
        </w:drawing>
      </w:r>
    </w:p>
    <w:p>
      <w:pPr>
        <w:pStyle w:val="BodyText"/>
      </w:pPr>
      <w:r>
        <w:rPr>
          <w:b/>
          <w:bCs/>
        </w:rPr>
        <w:t xml:space="preserve">Fig D. Target attainment in 2030 by policy.</w:t>
      </w:r>
      <w:r>
        <w:t xml:space="preserve"> </w:t>
      </w:r>
      <w:r>
        <w:t xml:space="preserve">Median reductions in new infections and HCV deaths, and whether both targets were met.</w:t>
      </w:r>
    </w:p>
    <w:p>
      <w:pPr>
        <w:pStyle w:val="BodyText"/>
      </w:pPr>
      <w:r>
        <w:drawing>
          <wp:inline>
            <wp:extent cx="4767724" cy="5416061"/>
            <wp:effectExtent b="0" l="0" r="0" t="0"/>
            <wp:docPr descr="" title="" id="41" name="Picture"/>
            <a:graphic>
              <a:graphicData uri="http://schemas.openxmlformats.org/drawingml/2006/picture">
                <pic:pic>
                  <pic:nvPicPr>
                    <pic:cNvPr descr="output/scenarios_2026/scenario_target_heatmap.png" id="42" name="Picture"/>
                    <pic:cNvPicPr>
                      <a:picLocks noChangeArrowheads="1" noChangeAspect="1"/>
                    </pic:cNvPicPr>
                  </pic:nvPicPr>
                  <pic:blipFill>
                    <a:blip r:embed="rId40"/>
                    <a:stretch>
                      <a:fillRect/>
                    </a:stretch>
                  </pic:blipFill>
                  <pic:spPr bwMode="auto">
                    <a:xfrm>
                      <a:off x="0" y="0"/>
                      <a:ext cx="4767724" cy="5416061"/>
                    </a:xfrm>
                    <a:prstGeom prst="rect">
                      <a:avLst/>
                    </a:prstGeom>
                    <a:noFill/>
                    <a:ln w="9525">
                      <a:noFill/>
                      <a:headEnd/>
                      <a:tailEnd/>
                    </a:ln>
                  </pic:spPr>
                </pic:pic>
              </a:graphicData>
            </a:graphic>
          </wp:inline>
        </w:drawing>
      </w:r>
    </w:p>
    <w:p>
      <w:pPr>
        <w:pStyle w:val="BodyText"/>
      </w:pPr>
      <w:r>
        <w:rPr>
          <w:b/>
          <w:bCs/>
        </w:rPr>
        <w:t xml:space="preserve">Fig E. Costs and treatment starts, 2026–2030.</w:t>
      </w:r>
      <w:r>
        <w:t xml:space="preserve"> </w:t>
      </w:r>
      <w:r>
        <w:t xml:space="preserve">(A) Discounted costs by group. (B) Undiscounted treatment courses by group. Bars are medians of each group; whiskers are 95% uncertainty intervals of the total.</w:t>
      </w:r>
    </w:p>
    <w:p>
      <w:pPr>
        <w:pStyle w:val="BodyText"/>
      </w:pPr>
      <w:r>
        <w:drawing>
          <wp:inline>
            <wp:extent cx="5067300" cy="3457024"/>
            <wp:effectExtent b="0" l="0" r="0" t="0"/>
            <wp:docPr descr="" title="" id="44" name="Picture"/>
            <a:graphic>
              <a:graphicData uri="http://schemas.openxmlformats.org/drawingml/2006/picture">
                <pic:pic>
                  <pic:nvPicPr>
                    <pic:cNvPr descr="output/scenarios_2026/scenario_cumulative_costs.png" id="45" name="Picture"/>
                    <pic:cNvPicPr>
                      <a:picLocks noChangeArrowheads="1" noChangeAspect="1"/>
                    </pic:cNvPicPr>
                  </pic:nvPicPr>
                  <pic:blipFill>
                    <a:blip r:embed="rId43"/>
                    <a:stretch>
                      <a:fillRect/>
                    </a:stretch>
                  </pic:blipFill>
                  <pic:spPr bwMode="auto">
                    <a:xfrm>
                      <a:off x="0" y="0"/>
                      <a:ext cx="5067300" cy="3457024"/>
                    </a:xfrm>
                    <a:prstGeom prst="rect">
                      <a:avLst/>
                    </a:prstGeom>
                    <a:noFill/>
                    <a:ln w="9525">
                      <a:noFill/>
                      <a:headEnd/>
                      <a:tailEnd/>
                    </a:ln>
                  </pic:spPr>
                </pic:pic>
              </a:graphicData>
            </a:graphic>
          </wp:inline>
        </w:drawing>
      </w:r>
    </w:p>
    <w:p>
      <w:pPr>
        <w:pStyle w:val="BodyText"/>
      </w:pPr>
      <w:r>
        <w:rPr>
          <w:b/>
          <w:bCs/>
        </w:rPr>
        <w:t xml:space="preserve">Fig F. Screening cascade in F and X by year.</w:t>
      </w:r>
      <w:r>
        <w:t xml:space="preserve"> </w:t>
      </w:r>
      <w:r>
        <w:t xml:space="preserve">Number screened, RNA tests, RNA-positive people, chronic infections found and treatment starts, by capacity (columns) and share of tests given to F (rows).</w:t>
      </w:r>
    </w:p>
    <w:p>
      <w:pPr>
        <w:pStyle w:val="BodyText"/>
      </w:pPr>
      <w:r>
        <w:drawing>
          <wp:inline>
            <wp:extent cx="5067300" cy="3457024"/>
            <wp:effectExtent b="0" l="0" r="0" t="0"/>
            <wp:docPr descr="" title="" id="47" name="Picture"/>
            <a:graphic>
              <a:graphicData uri="http://schemas.openxmlformats.org/drawingml/2006/picture">
                <pic:pic>
                  <pic:nvPicPr>
                    <pic:cNvPr descr="output/scenarios_2026/scenario_care_cascade.png" id="48" name="Picture"/>
                    <pic:cNvPicPr>
                      <a:picLocks noChangeArrowheads="1" noChangeAspect="1"/>
                    </pic:cNvPicPr>
                  </pic:nvPicPr>
                  <pic:blipFill>
                    <a:blip r:embed="rId46"/>
                    <a:stretch>
                      <a:fillRect/>
                    </a:stretch>
                  </pic:blipFill>
                  <pic:spPr bwMode="auto">
                    <a:xfrm>
                      <a:off x="0" y="0"/>
                      <a:ext cx="5067300" cy="3457024"/>
                    </a:xfrm>
                    <a:prstGeom prst="rect">
                      <a:avLst/>
                    </a:prstGeom>
                    <a:noFill/>
                    <a:ln w="9525">
                      <a:noFill/>
                      <a:headEnd/>
                      <a:tailEnd/>
                    </a:ln>
                  </pic:spPr>
                </pic:pic>
              </a:graphicData>
            </a:graphic>
          </wp:inline>
        </w:drawing>
      </w:r>
    </w:p>
    <w:bookmarkEnd w:id="49"/>
    <w:bookmarkStart w:id="104" w:name="references"/>
    <w:p>
      <w:pPr>
        <w:pStyle w:val="Heading1"/>
      </w:pPr>
      <w:r>
        <w:t xml:space="preserve">References</w:t>
      </w:r>
    </w:p>
    <w:bookmarkStart w:id="103" w:name="refs"/>
    <w:bookmarkStart w:id="51" w:name="ref-boelen2014"/>
    <w:p>
      <w:pPr>
        <w:pStyle w:val="Bibliography"/>
      </w:pPr>
      <w:r>
        <w:t xml:space="preserve">1.</w:t>
      </w:r>
      <w:r>
        <w:t xml:space="preserve"> </w:t>
      </w:r>
      <w:r>
        <w:t xml:space="preserve">	</w:t>
      </w:r>
      <w:r>
        <w:t xml:space="preserve">Boelen L, Teutsch S, Wilson DP, Dolan K, Dore GJ, Lloyd AR, et al.</w:t>
      </w:r>
      <w:r>
        <w:t xml:space="preserve"> </w:t>
      </w:r>
      <w:r>
        <w:t xml:space="preserve">Per-Event Probability of Hepatitis C Infection during Sharing of Injecting Equipment</w:t>
      </w:r>
      <w:r>
        <w:t xml:space="preserve">. PLoS ONE. 2014;9: e100749. doi:</w:t>
      </w:r>
      <w:hyperlink r:id="rId50">
        <w:r>
          <w:rPr>
            <w:rStyle w:val="Hyperlink"/>
          </w:rPr>
          <w:t xml:space="preserve">10.1371/journal.pone.0100749</w:t>
        </w:r>
      </w:hyperlink>
    </w:p>
    <w:bookmarkEnd w:id="51"/>
    <w:bookmarkStart w:id="53" w:name="ref-micallef2006"/>
    <w:p>
      <w:pPr>
        <w:pStyle w:val="Bibliography"/>
      </w:pPr>
      <w:r>
        <w:t xml:space="preserve">2.</w:t>
      </w:r>
      <w:r>
        <w:t xml:space="preserve"> </w:t>
      </w:r>
      <w:r>
        <w:t xml:space="preserve">	</w:t>
      </w:r>
      <w:r>
        <w:t xml:space="preserve">Micallef JM, Kaldor JM, Dore GJ.</w:t>
      </w:r>
      <w:r>
        <w:t xml:space="preserve"> </w:t>
      </w:r>
      <w:r>
        <w:t xml:space="preserve">Spontaneous viral clearance following acute hepatitis C infection: a systematic review of longitudinal studies</w:t>
      </w:r>
      <w:r>
        <w:t xml:space="preserve">. Journal of Viral Hepatitis. 2006;13: 34–41. doi:</w:t>
      </w:r>
      <w:hyperlink r:id="rId52">
        <w:r>
          <w:rPr>
            <w:rStyle w:val="Hyperlink"/>
          </w:rPr>
          <w:t xml:space="preserve">10.1111/j.1365-2893.2005.00651.x</w:t>
        </w:r>
      </w:hyperlink>
    </w:p>
    <w:bookmarkEnd w:id="53"/>
    <w:bookmarkStart w:id="55" w:name="ref-fasano2024"/>
    <w:p>
      <w:pPr>
        <w:pStyle w:val="Bibliography"/>
      </w:pPr>
      <w:r>
        <w:t xml:space="preserve">3.</w:t>
      </w:r>
      <w:r>
        <w:t xml:space="preserve"> </w:t>
      </w:r>
      <w:r>
        <w:t xml:space="preserve">	</w:t>
      </w:r>
      <w:r>
        <w:t xml:space="preserve">Fasano M, Ieva F, Ciarallo M, Caccianotti B, Santantonio TA.</w:t>
      </w:r>
      <w:r>
        <w:t xml:space="preserve"> </w:t>
      </w:r>
      <w:r>
        <w:t xml:space="preserve">Acute Hepatitis C: Current Status and Future Perspectives</w:t>
      </w:r>
      <w:r>
        <w:t xml:space="preserve">. Viruses. 2024;16: 1739. doi:</w:t>
      </w:r>
      <w:hyperlink r:id="rId54">
        <w:r>
          <w:rPr>
            <w:rStyle w:val="Hyperlink"/>
          </w:rPr>
          <w:t xml:space="preserve">10.3390/v16111739</w:t>
        </w:r>
      </w:hyperlink>
    </w:p>
    <w:bookmarkEnd w:id="55"/>
    <w:bookmarkStart w:id="57" w:name="ref-zhao2019"/>
    <w:p>
      <w:pPr>
        <w:pStyle w:val="Bibliography"/>
      </w:pPr>
      <w:r>
        <w:t xml:space="preserve">4.</w:t>
      </w:r>
      <w:r>
        <w:t xml:space="preserve"> </w:t>
      </w:r>
      <w:r>
        <w:t xml:space="preserve">	</w:t>
      </w:r>
      <w:r>
        <w:t xml:space="preserve">Zhao Y, Thurairajah PH, Kumar R, Tan J, Teo EK, Hsiang JC.</w:t>
      </w:r>
      <w:r>
        <w:t xml:space="preserve"> </w:t>
      </w:r>
      <w:r>
        <w:t xml:space="preserve">Novel non-invasive score to predict cirrhosis in the era of hepatitis C elimination: A population study of ex-substance users in Singapore</w:t>
      </w:r>
      <w:r>
        <w:t xml:space="preserve">. Hepatobiliary &amp; Pancreatic Diseases International. 2019;18: 143–148. doi:</w:t>
      </w:r>
      <w:hyperlink r:id="rId56">
        <w:r>
          <w:rPr>
            <w:rStyle w:val="Hyperlink"/>
          </w:rPr>
          <w:t xml:space="preserve">10.1016/j.hbpd.2018.12.002</w:t>
        </w:r>
      </w:hyperlink>
    </w:p>
    <w:bookmarkEnd w:id="57"/>
    <w:bookmarkStart w:id="59" w:name="ref-pawlotsky2020"/>
    <w:p>
      <w:pPr>
        <w:pStyle w:val="Bibliography"/>
      </w:pPr>
      <w:r>
        <w:t xml:space="preserve">5.</w:t>
      </w:r>
      <w:r>
        <w:t xml:space="preserve"> </w:t>
      </w:r>
      <w:r>
        <w:t xml:space="preserve">	</w:t>
      </w:r>
      <w:r>
        <w:t xml:space="preserve">Pawlotsky J-M, Negro F, Aghemo A, Berenguer M, Dalgard O, Dusheiko G, et al.</w:t>
      </w:r>
      <w:r>
        <w:t xml:space="preserve"> </w:t>
      </w:r>
      <w:r>
        <w:t xml:space="preserve">EASL recommendations on treatment of hepatitis C: Final update of the series</w:t>
      </w:r>
      <w:r>
        <w:t xml:space="preserve">. Journal of Hepatology. 2020;73: 1170–1218. doi:</w:t>
      </w:r>
      <w:hyperlink r:id="rId58">
        <w:r>
          <w:rPr>
            <w:rStyle w:val="Hyperlink"/>
          </w:rPr>
          <w:t xml:space="preserve">10.1016/j.jhep.2020.08.018</w:t>
        </w:r>
      </w:hyperlink>
    </w:p>
    <w:bookmarkEnd w:id="59"/>
    <w:bookmarkStart w:id="61" w:name="ref-xiao2025"/>
    <w:p>
      <w:pPr>
        <w:pStyle w:val="Bibliography"/>
      </w:pPr>
      <w:r>
        <w:t xml:space="preserve">6.</w:t>
      </w:r>
      <w:r>
        <w:t xml:space="preserve"> </w:t>
      </w:r>
      <w:r>
        <w:t xml:space="preserve">	</w:t>
      </w:r>
      <w:r>
        <w:t xml:space="preserve">Xiao J, Zhang X, Mao X, Lai S, Li S, Sheng Y.</w:t>
      </w:r>
      <w:r>
        <w:t xml:space="preserve"> </w:t>
      </w:r>
      <w:r>
        <w:t xml:space="preserve">Efficacy and Safety of Velpatasvir Plus Sofosbuvir With or Without Ribavirin in Hepatitis C Patients With Decompensated Cirrhosis: A Systematic Review and Meta‐Analysis</w:t>
      </w:r>
      <w:r>
        <w:t xml:space="preserve">. Journal of Viral Hepatitis. 2025;32: e70078. doi:</w:t>
      </w:r>
      <w:hyperlink r:id="rId60">
        <w:r>
          <w:rPr>
            <w:rStyle w:val="Hyperlink"/>
          </w:rPr>
          <w:t xml:space="preserve">10.1111/jvh.70078</w:t>
        </w:r>
      </w:hyperlink>
    </w:p>
    <w:bookmarkEnd w:id="61"/>
    <w:bookmarkStart w:id="63" w:name="ref-thein2008"/>
    <w:p>
      <w:pPr>
        <w:pStyle w:val="Bibliography"/>
      </w:pPr>
      <w:r>
        <w:t xml:space="preserve">7.</w:t>
      </w:r>
      <w:r>
        <w:t xml:space="preserve"> </w:t>
      </w:r>
      <w:r>
        <w:t xml:space="preserve">	</w:t>
      </w:r>
      <w:r>
        <w:t xml:space="preserve">Thein H, Yi Q, Dore GJ, Krahn MD.</w:t>
      </w:r>
      <w:r>
        <w:t xml:space="preserve"> </w:t>
      </w:r>
      <w:r>
        <w:t xml:space="preserve">Estimation of stage‐specific fibrosis progression rates in chronic hepatitis C virus infection</w:t>
      </w:r>
      <w:r>
        <w:t xml:space="preserve">. Hepatology. 2008;48: 418–431. doi:</w:t>
      </w:r>
      <w:hyperlink r:id="rId62">
        <w:r>
          <w:rPr>
            <w:rStyle w:val="Hyperlink"/>
          </w:rPr>
          <w:t xml:space="preserve">10.1002/hep.22375</w:t>
        </w:r>
      </w:hyperlink>
    </w:p>
    <w:bookmarkEnd w:id="63"/>
    <w:bookmarkStart w:id="65" w:name="ref-lim2018"/>
    <w:p>
      <w:pPr>
        <w:pStyle w:val="Bibliography"/>
      </w:pPr>
      <w:r>
        <w:t xml:space="preserve">8.</w:t>
      </w:r>
      <w:r>
        <w:t xml:space="preserve"> </w:t>
      </w:r>
      <w:r>
        <w:t xml:space="preserve">	</w:t>
      </w:r>
      <w:r>
        <w:t xml:space="preserve">Lim AG, Qureshi H, Mahmood H, Hamid S, Davies CF, Trickey A, et al.</w:t>
      </w:r>
      <w:r>
        <w:t xml:space="preserve"> </w:t>
      </w:r>
      <w:r>
        <w:t xml:space="preserve">Curbing the hepatitis C virus epidemic in Pakistan: the impact of scaling up treatment and prevention for achieving elimination</w:t>
      </w:r>
      <w:r>
        <w:t xml:space="preserve">. International Journal of Epidemiology. 2018;47: 550–560. doi:</w:t>
      </w:r>
      <w:hyperlink r:id="rId64">
        <w:r>
          <w:rPr>
            <w:rStyle w:val="Hyperlink"/>
          </w:rPr>
          <w:t xml:space="preserve">10.1093/ije/dyx270</w:t>
        </w:r>
      </w:hyperlink>
    </w:p>
    <w:bookmarkEnd w:id="65"/>
    <w:bookmarkStart w:id="67" w:name="ref-kanwal2014"/>
    <w:p>
      <w:pPr>
        <w:pStyle w:val="Bibliography"/>
      </w:pPr>
      <w:r>
        <w:t xml:space="preserve">9.</w:t>
      </w:r>
      <w:r>
        <w:t xml:space="preserve"> </w:t>
      </w:r>
      <w:r>
        <w:t xml:space="preserve">	</w:t>
      </w:r>
      <w:r>
        <w:t xml:space="preserve">Kanwal F, Kramer JR, Ilyas J, Duan Z, El-Serag HB.</w:t>
      </w:r>
      <w:r>
        <w:t xml:space="preserve"> </w:t>
      </w:r>
      <w:r>
        <w:t xml:space="preserve">HCV Genotype 3 Is Associated With an Increased Risk of Cirrhosis and Hepatocellular Cancer in a National Sample of U.S. Veterans With HCV</w:t>
      </w:r>
      <w:r>
        <w:t xml:space="preserve">. Hepatology. 2014;60: 98–105. doi:</w:t>
      </w:r>
      <w:hyperlink r:id="rId66">
        <w:r>
          <w:rPr>
            <w:rStyle w:val="Hyperlink"/>
          </w:rPr>
          <w:t xml:space="preserve">10.1002/hep.27095</w:t>
        </w:r>
      </w:hyperlink>
    </w:p>
    <w:bookmarkEnd w:id="67"/>
    <w:bookmarkStart w:id="69" w:name="ref-vandermeer2012"/>
    <w:p>
      <w:pPr>
        <w:pStyle w:val="Bibliography"/>
      </w:pPr>
      <w:r>
        <w:t xml:space="preserve">10.</w:t>
      </w:r>
      <w:r>
        <w:t xml:space="preserve"> </w:t>
      </w:r>
      <w:r>
        <w:t xml:space="preserve">	</w:t>
      </w:r>
      <w:r>
        <w:t xml:space="preserve">Meer AJ van der, Veldt BJ, Feld JJ, Wedemeyer H, Dufour J-F, Lammert F, et al.</w:t>
      </w:r>
      <w:r>
        <w:t xml:space="preserve"> </w:t>
      </w:r>
      <w:r>
        <w:t xml:space="preserve">Association Between Sustained Virological Response and All-Cause Mortality Among Patients With Chronic Hepatitis C and Advanced Hepatic Fibrosis</w:t>
      </w:r>
      <w:r>
        <w:t xml:space="preserve">. JAMA. 2012;308: 2584–2593. doi:</w:t>
      </w:r>
      <w:hyperlink r:id="rId68">
        <w:r>
          <w:rPr>
            <w:rStyle w:val="Hyperlink"/>
          </w:rPr>
          <w:t xml:space="preserve">10.1001/jama.2012.144878</w:t>
        </w:r>
      </w:hyperlink>
    </w:p>
    <w:bookmarkEnd w:id="69"/>
    <w:bookmarkStart w:id="71" w:name="ref-morgan2013"/>
    <w:p>
      <w:pPr>
        <w:pStyle w:val="Bibliography"/>
      </w:pPr>
      <w:r>
        <w:t xml:space="preserve">11.</w:t>
      </w:r>
      <w:r>
        <w:t xml:space="preserve"> </w:t>
      </w:r>
      <w:r>
        <w:t xml:space="preserve">	</w:t>
      </w:r>
      <w:r>
        <w:t xml:space="preserve">Morgan RL, Baack B, Smith BD, Yartel A, Pitasi M, Falck-Ytter Y.</w:t>
      </w:r>
      <w:r>
        <w:t xml:space="preserve"> </w:t>
      </w:r>
      <w:r>
        <w:t xml:space="preserve">Eradication of Hepatitis C Virus Infection and the Development of Hepatocellular Carcinoma</w:t>
      </w:r>
      <w:r>
        <w:t xml:space="preserve">. Annals of Internal Medicine. 2013;158: 329–337. doi:</w:t>
      </w:r>
      <w:hyperlink r:id="rId70">
        <w:r>
          <w:rPr>
            <w:rStyle w:val="Hyperlink"/>
          </w:rPr>
          <w:t xml:space="preserve">10.7326/0003-4819-158-5-201303050-00005</w:t>
        </w:r>
      </w:hyperlink>
    </w:p>
    <w:bookmarkEnd w:id="71"/>
    <w:bookmarkStart w:id="73" w:name="ref-premkumar2024"/>
    <w:p>
      <w:pPr>
        <w:pStyle w:val="Bibliography"/>
      </w:pPr>
      <w:r>
        <w:t xml:space="preserve">12.</w:t>
      </w:r>
      <w:r>
        <w:t xml:space="preserve"> </w:t>
      </w:r>
      <w:r>
        <w:t xml:space="preserve">	</w:t>
      </w:r>
      <w:r>
        <w:t xml:space="preserve">Premkumar M, Dhiman RK, Duseja A, Mehtani R, Taneja S, Gupta E, et al.</w:t>
      </w:r>
      <w:r>
        <w:t xml:space="preserve"> </w:t>
      </w:r>
      <w:r>
        <w:t xml:space="preserve">Recompensation of Chronic Hepatitis C–Related Decompensated Cirrhosis Following Direct-Acting Antiviral Therapy: Prospective Cohort Study From a Hepatitis C Virus Elimination Program</w:t>
      </w:r>
      <w:r>
        <w:t xml:space="preserve">. Gastroenterology. 2024;167: 1429–1445. doi:</w:t>
      </w:r>
      <w:hyperlink r:id="rId72">
        <w:r>
          <w:rPr>
            <w:rStyle w:val="Hyperlink"/>
          </w:rPr>
          <w:t xml:space="preserve">10.1053/j.gastro.2024.08.018</w:t>
        </w:r>
      </w:hyperlink>
    </w:p>
    <w:bookmarkEnd w:id="73"/>
    <w:bookmarkStart w:id="75" w:name="ref-dang2020"/>
    <w:p>
      <w:pPr>
        <w:pStyle w:val="Bibliography"/>
      </w:pPr>
      <w:r>
        <w:t xml:space="preserve">13.</w:t>
      </w:r>
      <w:r>
        <w:t xml:space="preserve"> </w:t>
      </w:r>
      <w:r>
        <w:t xml:space="preserve">	</w:t>
      </w:r>
      <w:r>
        <w:t xml:space="preserve">Dang H, Yeo YH, Yasuda S, Huang C, Iio E, Landis C, et al.</w:t>
      </w:r>
      <w:r>
        <w:t xml:space="preserve"> </w:t>
      </w:r>
      <w:r>
        <w:t xml:space="preserve">Cure With Interferon‐Free Direct‐Acting Antiviral Is Associated With Increased Survival in Patients With Hepatitis C Virus‐Related Hepatocellular Carcinoma From Both East and West</w:t>
      </w:r>
      <w:r>
        <w:t xml:space="preserve">. Hepatology. 2020;71: 1910–1922. doi:</w:t>
      </w:r>
      <w:hyperlink r:id="rId74">
        <w:r>
          <w:rPr>
            <w:rStyle w:val="Hyperlink"/>
          </w:rPr>
          <w:t xml:space="preserve">10.1002/hep.30988</w:t>
        </w:r>
      </w:hyperlink>
    </w:p>
    <w:bookmarkEnd w:id="75"/>
    <w:bookmarkStart w:id="77" w:name="ref-vansanten2014"/>
    <w:p>
      <w:pPr>
        <w:pStyle w:val="Bibliography"/>
      </w:pPr>
      <w:r>
        <w:t xml:space="preserve">14.</w:t>
      </w:r>
      <w:r>
        <w:t xml:space="preserve"> </w:t>
      </w:r>
      <w:r>
        <w:t xml:space="preserve">	</w:t>
      </w:r>
      <w:r>
        <w:t xml:space="preserve">Santen DK van, Helm JJ van der, Grady BPX, Vos AS de, Kretzschmar MEE, Stolte IG, et al.</w:t>
      </w:r>
      <w:r>
        <w:t xml:space="preserve"> </w:t>
      </w:r>
      <w:r>
        <w:t xml:space="preserve">Temporal trends in mortality among people who use drugs compared with the general Dutch population differ by hepatitis C virus and HIV infection status</w:t>
      </w:r>
      <w:r>
        <w:t xml:space="preserve">. AIDS. 2014;28: 2589–2599. doi:</w:t>
      </w:r>
      <w:hyperlink r:id="rId76">
        <w:r>
          <w:rPr>
            <w:rStyle w:val="Hyperlink"/>
          </w:rPr>
          <w:t xml:space="preserve">10.1097/QAD.0000000000000450</w:t>
        </w:r>
      </w:hyperlink>
    </w:p>
    <w:bookmarkEnd w:id="77"/>
    <w:bookmarkStart w:id="79" w:name="ref-singstat_drug"/>
    <w:p>
      <w:pPr>
        <w:pStyle w:val="Bibliography"/>
      </w:pPr>
      <w:r>
        <w:t xml:space="preserve">15.</w:t>
      </w:r>
      <w:r>
        <w:t xml:space="preserve"> </w:t>
      </w:r>
      <w:r>
        <w:t xml:space="preserve">	</w:t>
      </w:r>
      <w:r>
        <w:t xml:space="preserve">Singapore Department of Statistics.</w:t>
      </w:r>
      <w:r>
        <w:t xml:space="preserve"> </w:t>
      </w:r>
      <w:r>
        <w:t xml:space="preserve">Number of drug abusers by age group, annual</w:t>
      </w:r>
      <w:r>
        <w:t xml:space="preserve">. data.gov.sg; Available:</w:t>
      </w:r>
      <w:r>
        <w:t xml:space="preserve"> </w:t>
      </w:r>
      <w:hyperlink r:id="rId78">
        <w:r>
          <w:rPr>
            <w:rStyle w:val="Hyperlink"/>
          </w:rPr>
          <w:t xml:space="preserve">https://data.gov.sg/datasets/d_f174679381e9085e32869c32bdb01b87/view</w:t>
        </w:r>
      </w:hyperlink>
    </w:p>
    <w:bookmarkEnd w:id="79"/>
    <w:bookmarkStart w:id="81" w:name="ref-teo2019"/>
    <w:p>
      <w:pPr>
        <w:pStyle w:val="Bibliography"/>
      </w:pPr>
      <w:r>
        <w:t xml:space="preserve">16.</w:t>
      </w:r>
      <w:r>
        <w:t xml:space="preserve"> </w:t>
      </w:r>
      <w:r>
        <w:t xml:space="preserve">	</w:t>
      </w:r>
      <w:r>
        <w:t xml:space="preserve">Teo AKJ, Prem K, Chen MIC, Roellin A, Wong ML, La HH, et al.</w:t>
      </w:r>
      <w:r>
        <w:t xml:space="preserve"> </w:t>
      </w:r>
      <w:r>
        <w:t xml:space="preserve">Estimating the size of key populations for HIV in Singapore using the network scale-up method</w:t>
      </w:r>
      <w:r>
        <w:t xml:space="preserve">. Sexually Transmitted Infections. 2019;95: 602–607. doi:</w:t>
      </w:r>
      <w:hyperlink r:id="rId80">
        <w:r>
          <w:rPr>
            <w:rStyle w:val="Hyperlink"/>
          </w:rPr>
          <w:t xml:space="preserve">10.1136/sextrans-2018-053747</w:t>
        </w:r>
      </w:hyperlink>
    </w:p>
    <w:bookmarkEnd w:id="81"/>
    <w:bookmarkStart w:id="83" w:name="ref-haario2001"/>
    <w:p>
      <w:pPr>
        <w:pStyle w:val="Bibliography"/>
      </w:pPr>
      <w:r>
        <w:t xml:space="preserve">17.</w:t>
      </w:r>
      <w:r>
        <w:t xml:space="preserve"> </w:t>
      </w:r>
      <w:r>
        <w:t xml:space="preserve">	</w:t>
      </w:r>
      <w:r>
        <w:t xml:space="preserve">Haario H, Saksman E, Tamminen J.</w:t>
      </w:r>
      <w:r>
        <w:t xml:space="preserve"> </w:t>
      </w:r>
      <w:r>
        <w:t xml:space="preserve">An adaptive Metropolis algorithm</w:t>
      </w:r>
      <w:r>
        <w:t xml:space="preserve">. Bernoulli. 2001;7: 223–242. doi:</w:t>
      </w:r>
      <w:hyperlink r:id="rId82">
        <w:r>
          <w:rPr>
            <w:rStyle w:val="Hyperlink"/>
          </w:rPr>
          <w:t xml:space="preserve">10.2307/3318737</w:t>
        </w:r>
      </w:hyperlink>
    </w:p>
    <w:bookmarkEnd w:id="83"/>
    <w:bookmarkStart w:id="85" w:name="ref-vehtari2021"/>
    <w:p>
      <w:pPr>
        <w:pStyle w:val="Bibliography"/>
      </w:pPr>
      <w:r>
        <w:t xml:space="preserve">18.</w:t>
      </w:r>
      <w:r>
        <w:t xml:space="preserve"> </w:t>
      </w:r>
      <w:r>
        <w:t xml:space="preserve">	</w:t>
      </w:r>
      <w:r>
        <w:t xml:space="preserve">Vehtari A, Gelman A, Simpson D, Carpenter B, Bürkner P-C.</w:t>
      </w:r>
      <w:r>
        <w:t xml:space="preserve"> </w:t>
      </w:r>
      <w:r>
        <w:t xml:space="preserve">Rank-normalization, folding, and localization: an improved R-hat for assessing convergence of MCMC (with discussion)</w:t>
      </w:r>
      <w:r>
        <w:t xml:space="preserve">. Bayesian Analysis. 2021;16: 667–718. doi:</w:t>
      </w:r>
      <w:hyperlink r:id="rId84">
        <w:r>
          <w:rPr>
            <w:rStyle w:val="Hyperlink"/>
          </w:rPr>
          <w:t xml:space="preserve">10.1214/20-BA1221</w:t>
        </w:r>
      </w:hyperlink>
    </w:p>
    <w:bookmarkEnd w:id="85"/>
    <w:bookmarkStart w:id="86" w:name="ref-talts2018"/>
    <w:p>
      <w:pPr>
        <w:pStyle w:val="Bibliography"/>
      </w:pPr>
      <w:r>
        <w:t xml:space="preserve">19.</w:t>
      </w:r>
      <w:r>
        <w:t xml:space="preserve"> </w:t>
      </w:r>
      <w:r>
        <w:t xml:space="preserve">	</w:t>
      </w:r>
      <w:r>
        <w:t xml:space="preserve">Talts S, Betancourt M, Simpson D, Vehtari A, Gelman A.</w:t>
      </w:r>
      <w:r>
        <w:t xml:space="preserve"> </w:t>
      </w:r>
      <w:r>
        <w:t xml:space="preserve">Validating Bayesian inference algorithms with simulation-based calibration</w:t>
      </w:r>
      <w:r>
        <w:t xml:space="preserve">. arXiv preprint. 2018.</w:t>
      </w:r>
      <w:r>
        <w:t xml:space="preserve"> </w:t>
      </w:r>
    </w:p>
    <w:bookmarkEnd w:id="86"/>
    <w:bookmarkStart w:id="87" w:name="ref-greenberg2019"/>
    <w:p>
      <w:pPr>
        <w:pStyle w:val="Bibliography"/>
      </w:pPr>
      <w:r>
        <w:t xml:space="preserve">20.</w:t>
      </w:r>
      <w:r>
        <w:t xml:space="preserve"> </w:t>
      </w:r>
      <w:r>
        <w:t xml:space="preserve">	</w:t>
      </w:r>
      <w:r>
        <w:t xml:space="preserve">Greenberg D, Nonnenmacher M, Macke J.</w:t>
      </w:r>
      <w:r>
        <w:t xml:space="preserve"> </w:t>
      </w:r>
      <w:r>
        <w:t xml:space="preserve">Automatic posterior transformation for likelihood-free inference</w:t>
      </w:r>
      <w:r>
        <w:t xml:space="preserve">. Proceedings of the 36th international conference on machine learning. 2019. pp. 2404–2414.</w:t>
      </w:r>
      <w:r>
        <w:t xml:space="preserve"> </w:t>
      </w:r>
    </w:p>
    <w:bookmarkEnd w:id="87"/>
    <w:bookmarkStart w:id="89" w:name="ref-sbi2020"/>
    <w:p>
      <w:pPr>
        <w:pStyle w:val="Bibliography"/>
      </w:pPr>
      <w:r>
        <w:t xml:space="preserve">21.</w:t>
      </w:r>
      <w:r>
        <w:t xml:space="preserve"> </w:t>
      </w:r>
      <w:r>
        <w:t xml:space="preserve">	</w:t>
      </w:r>
      <w:r>
        <w:t xml:space="preserve">Tejero-Cantero A, Boelts J, Deistler M, Lueckmann J-M, Durkan C, Gonçalves P, et al.</w:t>
      </w:r>
      <w:r>
        <w:t xml:space="preserve"> </w:t>
      </w:r>
      <w:r>
        <w:t xml:space="preserve">sbi: A toolkit for simulation-based inference</w:t>
      </w:r>
      <w:r>
        <w:t xml:space="preserve">. Journal of Open Source Software. 2020;5: 2505. doi:</w:t>
      </w:r>
      <w:hyperlink r:id="rId88">
        <w:r>
          <w:rPr>
            <w:rStyle w:val="Hyperlink"/>
          </w:rPr>
          <w:t xml:space="preserve">10.21105/joss.02505</w:t>
        </w:r>
      </w:hyperlink>
    </w:p>
    <w:bookmarkEnd w:id="89"/>
    <w:bookmarkStart w:id="90" w:name="ref-papamakarios2017"/>
    <w:p>
      <w:pPr>
        <w:pStyle w:val="Bibliography"/>
      </w:pPr>
      <w:r>
        <w:t xml:space="preserve">22.</w:t>
      </w:r>
      <w:r>
        <w:t xml:space="preserve"> </w:t>
      </w:r>
      <w:r>
        <w:t xml:space="preserve">	</w:t>
      </w:r>
      <w:r>
        <w:t xml:space="preserve">Papamakarios G, Pavlakou T, Murray I.</w:t>
      </w:r>
      <w:r>
        <w:t xml:space="preserve"> </w:t>
      </w:r>
      <w:r>
        <w:t xml:space="preserve">Masked autoregressive flow for density estimation</w:t>
      </w:r>
      <w:r>
        <w:t xml:space="preserve">. Advances in neural information processing systems 30. 2017. pp. 2335–2344.</w:t>
      </w:r>
      <w:r>
        <w:t xml:space="preserve"> </w:t>
      </w:r>
    </w:p>
    <w:bookmarkEnd w:id="90"/>
    <w:bookmarkStart w:id="92" w:name="ref-wong2019"/>
    <w:p>
      <w:pPr>
        <w:pStyle w:val="Bibliography"/>
      </w:pPr>
      <w:r>
        <w:t xml:space="preserve">23.</w:t>
      </w:r>
      <w:r>
        <w:t xml:space="preserve"> </w:t>
      </w:r>
      <w:r>
        <w:t xml:space="preserve">	</w:t>
      </w:r>
      <w:r>
        <w:t xml:space="preserve">Wong Y, Cheen MH, Hsiang JC, Kumar R, Tan J, Teo EK, et al.</w:t>
      </w:r>
      <w:r>
        <w:t xml:space="preserve"> </w:t>
      </w:r>
      <w:r>
        <w:t xml:space="preserve">Economic evaluation of direct‐acting antivirals for the treatment of genotype 3 hepatitis C infection in Singapore</w:t>
      </w:r>
      <w:r>
        <w:t xml:space="preserve">. JGH Open. 2019;3: 210–216. doi:</w:t>
      </w:r>
      <w:hyperlink r:id="rId91">
        <w:r>
          <w:rPr>
            <w:rStyle w:val="Hyperlink"/>
          </w:rPr>
          <w:t xml:space="preserve">10.1002/jgh3.12139</w:t>
        </w:r>
      </w:hyperlink>
    </w:p>
    <w:bookmarkEnd w:id="92"/>
    <w:bookmarkStart w:id="94" w:name="ref-sgd_rate"/>
    <w:p>
      <w:pPr>
        <w:pStyle w:val="Bibliography"/>
      </w:pPr>
      <w:r>
        <w:t xml:space="preserve">24.</w:t>
      </w:r>
      <w:r>
        <w:t xml:space="preserve"> </w:t>
      </w:r>
      <w:r>
        <w:t xml:space="preserve">	</w:t>
      </w:r>
      <w:r>
        <w:t xml:space="preserve">Singapore Department of Statistics.</w:t>
      </w:r>
      <w:r>
        <w:t xml:space="preserve"> </w:t>
      </w:r>
      <w:r>
        <w:t xml:space="preserve">Exchange rates, annual average: SGD per USD</w:t>
      </w:r>
      <w:r>
        <w:t xml:space="preserve">. data.gov.sg; Available:</w:t>
      </w:r>
      <w:r>
        <w:t xml:space="preserve"> </w:t>
      </w:r>
      <w:hyperlink r:id="rId93">
        <w:r>
          <w:rPr>
            <w:rStyle w:val="Hyperlink"/>
          </w:rPr>
          <w:t xml:space="preserve">https://data.gov.sg/datasets/d_b09aeaf8eb591c4bfe347b66148c6b53/view</w:t>
        </w:r>
      </w:hyperlink>
    </w:p>
    <w:bookmarkEnd w:id="94"/>
    <w:bookmarkStart w:id="96" w:name="ref-nhg_dsc"/>
    <w:p>
      <w:pPr>
        <w:pStyle w:val="Bibliography"/>
      </w:pPr>
      <w:r>
        <w:t xml:space="preserve">25.</w:t>
      </w:r>
      <w:r>
        <w:t xml:space="preserve"> </w:t>
      </w:r>
      <w:r>
        <w:t xml:space="preserve">	</w:t>
      </w:r>
      <w:r>
        <w:t xml:space="preserve">National Healthcare Group.</w:t>
      </w:r>
      <w:r>
        <w:t xml:space="preserve"> </w:t>
      </w:r>
      <w:r>
        <w:t xml:space="preserve">DSC clinic charges</w:t>
      </w:r>
      <w:r>
        <w:t xml:space="preserve">. Available:</w:t>
      </w:r>
      <w:r>
        <w:t xml:space="preserve"> </w:t>
      </w:r>
      <w:hyperlink r:id="rId95">
        <w:r>
          <w:rPr>
            <w:rStyle w:val="Hyperlink"/>
          </w:rPr>
          <w:t xml:space="preserve">https://www.nhghealth.com.sg/nsc/about-dsc-clinic/dsc-patient-information/dsc-services/clinic-charges/</w:t>
        </w:r>
      </w:hyperlink>
    </w:p>
    <w:bookmarkEnd w:id="96"/>
    <w:bookmarkStart w:id="98" w:name="ref-parkway_rna"/>
    <w:p>
      <w:pPr>
        <w:pStyle w:val="Bibliography"/>
      </w:pPr>
      <w:r>
        <w:t xml:space="preserve">26.</w:t>
      </w:r>
      <w:r>
        <w:t xml:space="preserve"> </w:t>
      </w:r>
      <w:r>
        <w:t xml:space="preserve">	</w:t>
      </w:r>
      <w:r>
        <w:t xml:space="preserve">Parkway Laboratories.</w:t>
      </w:r>
      <w:r>
        <w:t xml:space="preserve"> </w:t>
      </w:r>
      <w:r>
        <w:t xml:space="preserve">Send-out test price list</w:t>
      </w:r>
      <w:r>
        <w:t xml:space="preserve">. 2025. Available:</w:t>
      </w:r>
      <w:r>
        <w:t xml:space="preserve"> </w:t>
      </w:r>
      <w:hyperlink r:id="rId97">
        <w:r>
          <w:rPr>
            <w:rStyle w:val="Hyperlink"/>
          </w:rPr>
          <w:t xml:space="preserve">https://www.parkwaylabs.com.sg/docs/parkwaylablibraries/test-catalogues/send-out-test-price.pdf</w:t>
        </w:r>
      </w:hyperlink>
    </w:p>
    <w:bookmarkEnd w:id="98"/>
    <w:bookmarkStart w:id="100" w:name="ref-rcpp2011"/>
    <w:p>
      <w:pPr>
        <w:pStyle w:val="Bibliography"/>
      </w:pPr>
      <w:r>
        <w:t xml:space="preserve">27.</w:t>
      </w:r>
      <w:r>
        <w:t xml:space="preserve"> </w:t>
      </w:r>
      <w:r>
        <w:t xml:space="preserve">	</w:t>
      </w:r>
      <w:r>
        <w:t xml:space="preserve">Eddelbuettel D, François R.</w:t>
      </w:r>
      <w:r>
        <w:t xml:space="preserve"> </w:t>
      </w:r>
      <w:r>
        <w:t xml:space="preserve">Rcpp: Seamless R and C++ Integration</w:t>
      </w:r>
      <w:r>
        <w:t xml:space="preserve">. Journal of Statistical Software. 2011;40: 1–18. doi:</w:t>
      </w:r>
      <w:hyperlink r:id="rId99">
        <w:r>
          <w:rPr>
            <w:rStyle w:val="Hyperlink"/>
          </w:rPr>
          <w:t xml:space="preserve">10.18637/jss.v040.i08</w:t>
        </w:r>
      </w:hyperlink>
    </w:p>
    <w:bookmarkEnd w:id="100"/>
    <w:bookmarkStart w:id="102" w:name="ref-kassis2026"/>
    <w:p>
      <w:pPr>
        <w:pStyle w:val="Bibliography"/>
      </w:pPr>
      <w:r>
        <w:t xml:space="preserve">28.</w:t>
      </w:r>
      <w:r>
        <w:t xml:space="preserve"> </w:t>
      </w:r>
      <w:r>
        <w:t xml:space="preserve">	</w:t>
      </w:r>
      <w:r>
        <w:t xml:space="preserve">Kassis T, Agarwal V, He Y, Patel D, Brueckner AM.</w:t>
      </w:r>
      <w:r>
        <w:t xml:space="preserve"> </w:t>
      </w:r>
      <w:r>
        <w:t xml:space="preserve">Scientific Agent Skills: A Library of Procedural Knowledge for Research Agents</w:t>
      </w:r>
      <w:r>
        <w:t xml:space="preserve">. arXiv:2609.00065; 2026. doi:</w:t>
      </w:r>
      <w:hyperlink r:id="rId101">
        <w:r>
          <w:rPr>
            <w:rStyle w:val="Hyperlink"/>
          </w:rPr>
          <w:t xml:space="preserve">10.48550/arXiv.2609.00065</w:t>
        </w:r>
      </w:hyperlink>
    </w:p>
    <w:bookmarkEnd w:id="102"/>
    <w:bookmarkEnd w:id="103"/>
    <w:bookmarkEnd w:id="104"/>
    <w:sectPr>
      <w:footerReference w:type="default" r:id="rIdPlosFooter"/>
      <w:lnNumType w:countBy="1" w:restart="continuous"/>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_plos.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48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hyperlink" Id="rId93" Target="https://data.gov.sg/datasets/d_b09aeaf8eb591c4bfe347b66148c6b53/view" TargetMode="External" /><Relationship Type="http://schemas.openxmlformats.org/officeDocument/2006/relationships/hyperlink" Id="rId78" Target="https://data.gov.sg/datasets/d_f174679381e9085e32869c32bdb01b87/view" TargetMode="External" /><Relationship Type="http://schemas.openxmlformats.org/officeDocument/2006/relationships/hyperlink" Id="rId68" Target="https://doi.org/10.1001/jama.2012.144878" TargetMode="External" /><Relationship Type="http://schemas.openxmlformats.org/officeDocument/2006/relationships/hyperlink" Id="rId62" Target="https://doi.org/10.1002/hep.22375" TargetMode="External" /><Relationship Type="http://schemas.openxmlformats.org/officeDocument/2006/relationships/hyperlink" Id="rId66" Target="https://doi.org/10.1002/hep.27095" TargetMode="External" /><Relationship Type="http://schemas.openxmlformats.org/officeDocument/2006/relationships/hyperlink" Id="rId74" Target="https://doi.org/10.1002/hep.30988" TargetMode="External" /><Relationship Type="http://schemas.openxmlformats.org/officeDocument/2006/relationships/hyperlink" Id="rId91" Target="https://doi.org/10.1002/jgh3.12139" TargetMode="External" /><Relationship Type="http://schemas.openxmlformats.org/officeDocument/2006/relationships/hyperlink" Id="rId56" Target="https://doi.org/10.1016/j.hbpd.2018.12.002" TargetMode="External" /><Relationship Type="http://schemas.openxmlformats.org/officeDocument/2006/relationships/hyperlink" Id="rId58" Target="https://doi.org/10.1016/j.jhep.2020.08.018" TargetMode="External" /><Relationship Type="http://schemas.openxmlformats.org/officeDocument/2006/relationships/hyperlink" Id="rId72" Target="https://doi.org/10.1053/j.gastro.2024.08.018" TargetMode="External" /><Relationship Type="http://schemas.openxmlformats.org/officeDocument/2006/relationships/hyperlink" Id="rId64" Target="https://doi.org/10.1093/ije/dyx270" TargetMode="External" /><Relationship Type="http://schemas.openxmlformats.org/officeDocument/2006/relationships/hyperlink" Id="rId76" Target="https://doi.org/10.1097/QAD.0000000000000450" TargetMode="External" /><Relationship Type="http://schemas.openxmlformats.org/officeDocument/2006/relationships/hyperlink" Id="rId52" Target="https://doi.org/10.1111/j.1365-2893.2005.00651.x" TargetMode="External" /><Relationship Type="http://schemas.openxmlformats.org/officeDocument/2006/relationships/hyperlink" Id="rId60" Target="https://doi.org/10.1111/jvh.70078" TargetMode="External" /><Relationship Type="http://schemas.openxmlformats.org/officeDocument/2006/relationships/hyperlink" Id="rId80" Target="https://doi.org/10.1136/sextrans-2018-053747" TargetMode="External" /><Relationship Type="http://schemas.openxmlformats.org/officeDocument/2006/relationships/hyperlink" Id="rId84" Target="https://doi.org/10.1214/20-BA1221" TargetMode="External" /><Relationship Type="http://schemas.openxmlformats.org/officeDocument/2006/relationships/hyperlink" Id="rId50" Target="https://doi.org/10.1371/journal.pone.0100749" TargetMode="External" /><Relationship Type="http://schemas.openxmlformats.org/officeDocument/2006/relationships/hyperlink" Id="rId99" Target="https://doi.org/10.18637/jss.v040.i08" TargetMode="External" /><Relationship Type="http://schemas.openxmlformats.org/officeDocument/2006/relationships/hyperlink" Id="rId88" Target="https://doi.org/10.21105/joss.02505" TargetMode="External" /><Relationship Type="http://schemas.openxmlformats.org/officeDocument/2006/relationships/hyperlink" Id="rId82" Target="https://doi.org/10.2307/3318737" TargetMode="External" /><Relationship Type="http://schemas.openxmlformats.org/officeDocument/2006/relationships/hyperlink" Id="rId54" Target="https://doi.org/10.3390/v16111739" TargetMode="External" /><Relationship Type="http://schemas.openxmlformats.org/officeDocument/2006/relationships/hyperlink" Id="rId101" Target="https://doi.org/10.48550/arXiv.2609.00065" TargetMode="External" /><Relationship Type="http://schemas.openxmlformats.org/officeDocument/2006/relationships/hyperlink" Id="rId70" Target="https://doi.org/10.7326/0003-4819-158-5-201303050-00005" TargetMode="External" /><Relationship Type="http://schemas.openxmlformats.org/officeDocument/2006/relationships/hyperlink" Id="rId95" Target="https://www.nhghealth.com.sg/nsc/about-dsc-clinic/dsc-patient-information/dsc-services/clinic-charges/" TargetMode="External" /><Relationship Type="http://schemas.openxmlformats.org/officeDocument/2006/relationships/hyperlink" Id="rId97" Target="https://www.parkwaylabs.com.sg/docs/parkwaylablibraries/test-catalogues/send-out-test-price.pdf" TargetMode="External" /><Relationship Id="rIdPlosFooter" Type="http://schemas.openxmlformats.org/officeDocument/2006/relationships/footer" Target="footer_plos.xml"/></Relationships>
</file>

<file path=word/_rels/footnotes.xml.rels><?xml version="1.0" encoding="UTF-8"?><Relationships xmlns="http://schemas.openxmlformats.org/package/2006/relationships"><Relationship Type="http://schemas.openxmlformats.org/officeDocument/2006/relationships/hyperlink" Id="rId93" Target="https://data.gov.sg/datasets/d_b09aeaf8eb591c4bfe347b66148c6b53/view" TargetMode="External" /><Relationship Type="http://schemas.openxmlformats.org/officeDocument/2006/relationships/hyperlink" Id="rId78" Target="https://data.gov.sg/datasets/d_f174679381e9085e32869c32bdb01b87/view" TargetMode="External" /><Relationship Type="http://schemas.openxmlformats.org/officeDocument/2006/relationships/hyperlink" Id="rId68" Target="https://doi.org/10.1001/jama.2012.144878" TargetMode="External" /><Relationship Type="http://schemas.openxmlformats.org/officeDocument/2006/relationships/hyperlink" Id="rId62" Target="https://doi.org/10.1002/hep.22375" TargetMode="External" /><Relationship Type="http://schemas.openxmlformats.org/officeDocument/2006/relationships/hyperlink" Id="rId66" Target="https://doi.org/10.1002/hep.27095" TargetMode="External" /><Relationship Type="http://schemas.openxmlformats.org/officeDocument/2006/relationships/hyperlink" Id="rId74" Target="https://doi.org/10.1002/hep.30988" TargetMode="External" /><Relationship Type="http://schemas.openxmlformats.org/officeDocument/2006/relationships/hyperlink" Id="rId91" Target="https://doi.org/10.1002/jgh3.12139" TargetMode="External" /><Relationship Type="http://schemas.openxmlformats.org/officeDocument/2006/relationships/hyperlink" Id="rId56" Target="https://doi.org/10.1016/j.hbpd.2018.12.002" TargetMode="External" /><Relationship Type="http://schemas.openxmlformats.org/officeDocument/2006/relationships/hyperlink" Id="rId58" Target="https://doi.org/10.1016/j.jhep.2020.08.018" TargetMode="External" /><Relationship Type="http://schemas.openxmlformats.org/officeDocument/2006/relationships/hyperlink" Id="rId72" Target="https://doi.org/10.1053/j.gastro.2024.08.018" TargetMode="External" /><Relationship Type="http://schemas.openxmlformats.org/officeDocument/2006/relationships/hyperlink" Id="rId64" Target="https://doi.org/10.1093/ije/dyx270" TargetMode="External" /><Relationship Type="http://schemas.openxmlformats.org/officeDocument/2006/relationships/hyperlink" Id="rId76" Target="https://doi.org/10.1097/QAD.0000000000000450" TargetMode="External" /><Relationship Type="http://schemas.openxmlformats.org/officeDocument/2006/relationships/hyperlink" Id="rId52" Target="https://doi.org/10.1111/j.1365-2893.2005.00651.x" TargetMode="External" /><Relationship Type="http://schemas.openxmlformats.org/officeDocument/2006/relationships/hyperlink" Id="rId60" Target="https://doi.org/10.1111/jvh.70078" TargetMode="External" /><Relationship Type="http://schemas.openxmlformats.org/officeDocument/2006/relationships/hyperlink" Id="rId80" Target="https://doi.org/10.1136/sextrans-2018-053747" TargetMode="External" /><Relationship Type="http://schemas.openxmlformats.org/officeDocument/2006/relationships/hyperlink" Id="rId84" Target="https://doi.org/10.1214/20-BA1221" TargetMode="External" /><Relationship Type="http://schemas.openxmlformats.org/officeDocument/2006/relationships/hyperlink" Id="rId50" Target="https://doi.org/10.1371/journal.pone.0100749" TargetMode="External" /><Relationship Type="http://schemas.openxmlformats.org/officeDocument/2006/relationships/hyperlink" Id="rId99" Target="https://doi.org/10.18637/jss.v040.i08" TargetMode="External" /><Relationship Type="http://schemas.openxmlformats.org/officeDocument/2006/relationships/hyperlink" Id="rId88" Target="https://doi.org/10.21105/joss.02505" TargetMode="External" /><Relationship Type="http://schemas.openxmlformats.org/officeDocument/2006/relationships/hyperlink" Id="rId82" Target="https://doi.org/10.2307/3318737" TargetMode="External" /><Relationship Type="http://schemas.openxmlformats.org/officeDocument/2006/relationships/hyperlink" Id="rId54" Target="https://doi.org/10.3390/v16111739" TargetMode="External" /><Relationship Type="http://schemas.openxmlformats.org/officeDocument/2006/relationships/hyperlink" Id="rId101" Target="https://doi.org/10.48550/arXiv.2609.00065" TargetMode="External" /><Relationship Type="http://schemas.openxmlformats.org/officeDocument/2006/relationships/hyperlink" Id="rId70" Target="https://doi.org/10.7326/0003-4819-158-5-201303050-00005" TargetMode="External" /><Relationship Type="http://schemas.openxmlformats.org/officeDocument/2006/relationships/hyperlink" Id="rId95" Target="https://www.nhghealth.com.sg/nsc/about-dsc-clinic/dsc-patient-information/dsc-services/clinic-charges/" TargetMode="External" /><Relationship Type="http://schemas.openxmlformats.org/officeDocument/2006/relationships/hyperlink" Id="rId97" Target="https://www.parkwaylabs.com.sg/docs/parkwaylablibraries/test-catalogues/send-out-test-pri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Text. Technical appendix</dc:title>
  <dc:creator/>
  <cp:keywords/>
  <dcterms:created xsi:type="dcterms:W3CDTF">2026-10-28T05:03:38Z</dcterms:created>
  <dcterms:modified xsi:type="dcterms:W3CDTF">2026-10-28T05:03:38Z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/Users/yichenhe/Documents/Work/HepC-Transimission-Modelling/docs/references.bib</vt:lpwstr>
  </property>
  <property fmtid="{D5CDD505-2E9C-101B-9397-08002B2CF9AE}" pid="3" name="csl">
    <vt:lpwstr>/Users/yichenhe/Documents/Work/HepC-Transimission-Modelling/docs/plos.csl</vt:lpwstr>
  </property>
  <property fmtid="{D5CDD505-2E9C-101B-9397-08002B2CF9AE}" pid="4" name="subtitle">
    <vt:lpwstr>Prison treatment and post-release screening for hepatitis C among people who inject drugs in Singapore: A modelling study</vt:lpwstr>
  </property>
</Properties>
</file>