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43.png" ContentType="image/png"/>
  <Override PartName="/word/media/rId46.png" ContentType="image/png"/>
  <Override PartName="/word/media/rId33.png" ContentType="image/png"/>
  <Override PartName="/word/media/rId30.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Prison treatment and community screening to reduce hepatitis C infections and deaths among people who inject drugs in Singapore: A modelling study</w:t>
      </w:r>
    </w:p>
    <w:p>
      <w:pPr>
        <w:pStyle w:val="FirstParagraph"/>
      </w:pPr>
      <w:r>
        <w:t xml:space="preserve">This document is S1 Text. It gives the technical details behind the main text. Section 1 describes the model. Section 2 covers data and calibration. Section 3 defines the scenarios and costs. Section 4 reports full results. Section 5 describes the uncertainty analysis and software. Section 6 lists further limitations. Section 7 is the CHEERS 2022 checklist.</w:t>
      </w:r>
    </w:p>
    <w:bookmarkStart w:id="14" w:name="model-structure"/>
    <w:p>
      <w:pPr>
        <w:pStyle w:val="Heading1"/>
      </w:pPr>
      <w:r>
        <w:t xml:space="preserve">1. Model structure</w:t>
      </w:r>
    </w:p>
    <w:bookmarkStart w:id="9" w:name="population-groups-and-states"/>
    <w:p>
      <w:pPr>
        <w:pStyle w:val="Heading2"/>
      </w:pPr>
      <w:r>
        <w:t xml:space="preserve">1.1 Population groups and states</w:t>
      </w:r>
    </w:p>
    <w:p>
      <w:pPr>
        <w:pStyle w:val="FirstParagraph"/>
      </w:pPr>
      <w:r>
        <w:t xml:space="preserve">The model is a deterministic system of ordinary differential equations. It has 480 compartments. These come from 4 population groups, 4 liver stages, 5 HCV states and 6 age groups.</w:t>
      </w:r>
    </w:p>
    <w:p>
      <w:pPr>
        <w:pStyle w:val="Compact"/>
        <w:numPr>
          <w:ilvl w:val="0"/>
          <w:numId w:val="1001"/>
        </w:numPr>
      </w:pPr>
      <w:r>
        <w:rPr>
          <w:b/>
          <w:bCs/>
        </w:rPr>
        <w:t xml:space="preserve">Population groups.</w:t>
      </w:r>
      <w:r>
        <w:t xml:space="preserve"> </w:t>
      </w:r>
      <w:r>
        <w:t xml:space="preserve">D: active PWID never imprisoned. J: people in prison. F: people released from prison who still inject. X: people released from prison who have stopped injecting.</w:t>
      </w:r>
    </w:p>
    <w:p>
      <w:pPr>
        <w:pStyle w:val="Compact"/>
        <w:numPr>
          <w:ilvl w:val="0"/>
          <w:numId w:val="1001"/>
        </w:numPr>
      </w:pPr>
      <w:r>
        <w:rPr>
          <w:b/>
          <w:bCs/>
        </w:rPr>
        <w:t xml:space="preserve">Liver stages.</w:t>
      </w:r>
      <w:r>
        <w:t xml:space="preserve"> </w:t>
      </w:r>
      <w:r>
        <w:t xml:space="preserve">Stage 1: no cirrhosis. Stage 2: compensated cirrhosis. Stage 3: decompensated cirrhosis. Stage 4: hepatocellular carcinoma.</w:t>
      </w:r>
    </w:p>
    <w:p>
      <w:pPr>
        <w:pStyle w:val="Compact"/>
        <w:numPr>
          <w:ilvl w:val="0"/>
          <w:numId w:val="1001"/>
        </w:numPr>
      </w:pPr>
      <w:r>
        <w:rPr>
          <w:b/>
          <w:bCs/>
        </w:rPr>
        <w:t xml:space="preserve">HCV states.</w:t>
      </w:r>
      <w:r>
        <w:t xml:space="preserve"> </w:t>
      </w:r>
      <w:r>
        <w:t xml:space="preserve">u: susceptible. a: acute infection. c: chronic infection. t: on treatment. r: recovered after spontaneous clearance or cure.</w:t>
      </w:r>
    </w:p>
    <w:p>
      <w:pPr>
        <w:pStyle w:val="Compact"/>
        <w:numPr>
          <w:ilvl w:val="0"/>
          <w:numId w:val="1001"/>
        </w:numPr>
      </w:pPr>
      <w:r>
        <w:rPr>
          <w:b/>
          <w:bCs/>
        </w:rPr>
        <w:t xml:space="preserve">Age groups.</w:t>
      </w:r>
      <w:r>
        <w:t xml:space="preserve"> </w:t>
      </w:r>
      <w:r>
        <w:t xml:space="preserve">&lt;20, 20–29, 30–39, 40–49, 50–59 and 60+ years.</w:t>
      </w:r>
    </w:p>
    <w:p>
      <w:pPr>
        <w:pStyle w:val="FirstParagraph"/>
      </w:pPr>
      <w:r>
        <w:t xml:space="preserve">People enter D in the susceptible state and stage 1 at an age specific rate</w:t>
      </w:r>
      <w:r>
        <w:t xml:space="preserve"> </w:t>
      </w:r>
      <m:oMath>
        <m:sSub>
          <m:e>
            <m:r>
              <m:t>β</m:t>
            </m:r>
          </m:e>
          <m:sub>
            <m:r>
              <m:t>i</m:t>
            </m:r>
          </m:sub>
        </m:sSub>
        <m:r>
          <m:rPr>
            <m:sty m:val="p"/>
          </m:rPr>
          <m:t>(</m:t>
        </m:r>
        <m:r>
          <m:t>t</m:t>
        </m:r>
        <m:r>
          <m:rPr>
            <m:sty m:val="p"/>
          </m:rPr>
          <m:t>)</m:t>
        </m:r>
      </m:oMath>
      <w:r>
        <w:t xml:space="preserve">. People in D move to J at the first arrest rate</w:t>
      </w:r>
      <w:r>
        <w:t xml:space="preserve"> </w:t>
      </w:r>
      <m:oMath>
        <m:sSubSup>
          <m:e>
            <m:r>
              <m:t>λ</m:t>
            </m:r>
          </m:e>
          <m:sub>
            <m:r>
              <m:t>i</m:t>
            </m:r>
          </m:sub>
          <m:sup>
            <m:r>
              <m:rPr>
                <m:sty m:val="p"/>
              </m:rPr>
              <m:t>(</m:t>
            </m:r>
            <m:r>
              <m:t>1</m:t>
            </m:r>
            <m:r>
              <m:rPr>
                <m:sty m:val="p"/>
              </m:rPr>
              <m:t>)</m:t>
            </m:r>
          </m:sup>
        </m:sSubSup>
        <m:r>
          <m:rPr>
            <m:sty m:val="p"/>
          </m:rPr>
          <m:t>=</m:t>
        </m:r>
        <m:r>
          <m:t>c</m:t>
        </m:r>
        <m:r>
          <m:t> </m:t>
        </m:r>
        <m:sSubSup>
          <m:e>
            <m:r>
              <m:t>λ</m:t>
            </m:r>
          </m:e>
          <m:sub>
            <m:r>
              <m:t>i</m:t>
            </m:r>
          </m:sub>
          <m:sup>
            <m:r>
              <m:rPr>
                <m:sty m:val="p"/>
              </m:rPr>
              <m:t>(</m:t>
            </m:r>
            <m:r>
              <m:t>3</m:t>
            </m:r>
            <m:r>
              <m:rPr>
                <m:sty m:val="p"/>
              </m:rPr>
              <m:t>)</m:t>
            </m:r>
          </m:sup>
        </m:sSubSup>
      </m:oMath>
      <w:r>
        <w:t xml:space="preserve">. People in J are released at rate</w:t>
      </w:r>
      <w:r>
        <w:t xml:space="preserve"> </w:t>
      </w:r>
      <m:oMath>
        <m:sSubSup>
          <m:e>
            <m:r>
              <m:t>λ</m:t>
            </m:r>
          </m:e>
          <m:sub>
            <m:r>
              <m:t>i</m:t>
            </m:r>
          </m:sub>
          <m:sup>
            <m:r>
              <m:rPr>
                <m:sty m:val="p"/>
              </m:rPr>
              <m:t>(</m:t>
            </m:r>
            <m:r>
              <m:t>2</m:t>
            </m:r>
            <m:r>
              <m:rPr>
                <m:sty m:val="p"/>
              </m:rPr>
              <m:t>)</m:t>
            </m:r>
          </m:sup>
        </m:sSubSup>
      </m:oMath>
      <w:r>
        <w:t xml:space="preserve">. A share</w:t>
      </w:r>
      <w:r>
        <w:t xml:space="preserve"> </w:t>
      </w:r>
      <m:oMath>
        <m:r>
          <m:t>π</m:t>
        </m:r>
        <m:r>
          <m:rPr>
            <m:sty m:val="p"/>
          </m:rPr>
          <m:t>=</m:t>
        </m:r>
        <m:r>
          <m:t>0.72</m:t>
        </m:r>
      </m:oMath>
      <w:r>
        <w:t xml:space="preserve"> </w:t>
      </w:r>
      <w:r>
        <w:t xml:space="preserve">return to injecting and enter F. The rest enter X. People in F return to J at the re-arrest rate</w:t>
      </w:r>
      <w:r>
        <w:t xml:space="preserve"> </w:t>
      </w:r>
      <m:oMath>
        <m:sSubSup>
          <m:e>
            <m:r>
              <m:t>λ</m:t>
            </m:r>
          </m:e>
          <m:sub>
            <m:r>
              <m:t>i</m:t>
            </m:r>
          </m:sub>
          <m:sup>
            <m:r>
              <m:rPr>
                <m:sty m:val="p"/>
              </m:rPr>
              <m:t>(</m:t>
            </m:r>
            <m:r>
              <m:t>3</m:t>
            </m:r>
            <m:r>
              <m:rPr>
                <m:sty m:val="p"/>
              </m:rPr>
              <m:t>)</m:t>
            </m:r>
          </m:sup>
        </m:sSubSup>
      </m:oMath>
      <w:r>
        <w:t xml:space="preserve">. People in X stay in X.</w:t>
      </w:r>
    </w:p>
    <w:p>
      <w:pPr>
        <w:pStyle w:val="BodyText"/>
      </w:pPr>
      <w:r>
        <w:t xml:space="preserve">Release and re-arrest rates and</w:t>
      </w:r>
      <w:r>
        <w:t xml:space="preserve"> </w:t>
      </w:r>
      <m:oMath>
        <m:r>
          <m:t>π</m:t>
        </m:r>
      </m:oMath>
      <w:r>
        <w:t xml:space="preserve"> </w:t>
      </w:r>
      <w:r>
        <w:t xml:space="preserve">were fitted with Stan to Singapore Prison Service records of everyone held for drug consumption, as survival models of time to release and of time to re-arrest with a share</w:t>
      </w:r>
      <w:r>
        <w:t xml:space="preserve"> </w:t>
      </w:r>
      <m:oMath>
        <m:r>
          <m:t>π</m:t>
        </m:r>
      </m:oMath>
      <w:r>
        <w:t xml:space="preserve"> </w:t>
      </w:r>
      <w:r>
        <w:t xml:space="preserve">who ever return. The modelled population is the people with a known HCV screening result, who were assumed to be the PWID; their 2015 seroprevalence is the calibration target. The records cannot tell true first offenders apart and never observe people who have not been arrested, so they do not identify the first arrest rate. It was set to</w:t>
      </w:r>
      <w:r>
        <w:t xml:space="preserve"> </w:t>
      </w:r>
      <m:oMath>
        <m:sSubSup>
          <m:e>
            <m:r>
              <m:t>λ</m:t>
            </m:r>
          </m:e>
          <m:sub>
            <m:r>
              <m:t>i</m:t>
            </m:r>
          </m:sub>
          <m:sup>
            <m:r>
              <m:rPr>
                <m:sty m:val="p"/>
              </m:rPr>
              <m:t>(</m:t>
            </m:r>
            <m:r>
              <m:t>1</m:t>
            </m:r>
            <m:r>
              <m:rPr>
                <m:sty m:val="p"/>
              </m:rPr>
              <m:t>)</m:t>
            </m:r>
          </m:sup>
        </m:sSubSup>
        <m:r>
          <m:rPr>
            <m:sty m:val="p"/>
          </m:rPr>
          <m:t>=</m:t>
        </m:r>
        <m:r>
          <m:t>c</m:t>
        </m:r>
        <m:r>
          <m:t> </m:t>
        </m:r>
        <m:sSubSup>
          <m:e>
            <m:r>
              <m:t>λ</m:t>
            </m:r>
          </m:e>
          <m:sub>
            <m:r>
              <m:t>i</m:t>
            </m:r>
          </m:sub>
          <m:sup>
            <m:r>
              <m:rPr>
                <m:sty m:val="p"/>
              </m:rPr>
              <m:t>(</m:t>
            </m:r>
            <m:r>
              <m:t>3</m:t>
            </m:r>
            <m:r>
              <m:rPr>
                <m:sty m:val="p"/>
              </m:rPr>
              <m:t>)</m:t>
            </m:r>
          </m:sup>
        </m:sSubSup>
      </m:oMath>
      <w:r>
        <w:t xml:space="preserve">, with one multiplier</w:t>
      </w:r>
      <w:r>
        <w:t xml:space="preserve"> </w:t>
      </w:r>
      <m:oMath>
        <m:r>
          <m:t>c</m:t>
        </m:r>
        <m:r>
          <m:rPr>
            <m:sty m:val="p"/>
          </m:rPr>
          <m:t>≥</m:t>
        </m:r>
        <m:r>
          <m:t>0.5</m:t>
        </m:r>
      </m:oMath>
      <w:r>
        <w:t xml:space="preserve"> </w:t>
      </w:r>
      <w:r>
        <w:t xml:space="preserve">for all ages, calibrated (Section 2.3).</w:t>
      </w:r>
    </w:p>
    <w:bookmarkEnd w:id="9"/>
    <w:bookmarkStart w:id="10" w:name="transmission"/>
    <w:p>
      <w:pPr>
        <w:pStyle w:val="Heading2"/>
      </w:pPr>
      <w:r>
        <w:t xml:space="preserve">1.2 Transmission</w:t>
      </w:r>
    </w:p>
    <w:p>
      <w:pPr>
        <w:pStyle w:val="FirstParagraph"/>
      </w:pPr>
      <w:r>
        <w:t xml:space="preserve">Transmission occurs only in D and F. The force of infection on age group</w:t>
      </w:r>
      <w:r>
        <w:t xml:space="preserve"> </w:t>
      </w:r>
      <m:oMath>
        <m:r>
          <m:t>i</m:t>
        </m:r>
      </m:oMath>
      <w:r>
        <w:t xml:space="preserve"> </w:t>
      </w:r>
      <w:r>
        <w:t xml:space="preserve">is</w:t>
      </w:r>
    </w:p>
    <w:p>
      <w:pPr>
        <w:pStyle w:val="BodyText"/>
      </w:pPr>
      <m:oMathPara>
        <m:oMathParaPr>
          <m:jc m:val="center"/>
        </m:oMathParaPr>
        <m:oMath>
          <m:sSub>
            <m:e>
              <m:r>
                <m:t>γ</m:t>
              </m:r>
            </m:e>
            <m:sub>
              <m:r>
                <m:t>i</m:t>
              </m:r>
            </m:sub>
          </m:sSub>
          <m:r>
            <m:rPr>
              <m:sty m:val="p"/>
            </m:rPr>
            <m:t>(</m:t>
          </m:r>
          <m:r>
            <m:t>t</m:t>
          </m:r>
          <m:r>
            <m:rPr>
              <m:sty m:val="p"/>
            </m:rPr>
            <m:t>)</m:t>
          </m:r>
          <m:r>
            <m:rPr>
              <m:sty m:val="p"/>
            </m:rPr>
            <m:t>=</m:t>
          </m:r>
          <m:r>
            <m:t>q</m:t>
          </m:r>
          <m:r>
            <m:t> </m:t>
          </m:r>
          <m:r>
            <m:t>m</m:t>
          </m:r>
          <m:r>
            <m:rPr>
              <m:sty m:val="p"/>
            </m:rPr>
            <m:t>(</m:t>
          </m:r>
          <m:r>
            <m:t>t</m:t>
          </m:r>
          <m:r>
            <m:rPr>
              <m:sty m:val="p"/>
            </m:rPr>
            <m:t>)</m:t>
          </m:r>
          <m:nary>
            <m:naryPr>
              <m:chr m:val="∑"/>
              <m:limLoc m:val="undOvr"/>
              <m:subHide m:val="off"/>
              <m:supHide m:val="on"/>
            </m:naryPr>
            <m:sub>
              <m:r>
                <m:t>j</m:t>
              </m:r>
            </m:sub>
            <m:sup>
              <m:r>
                <m:t>​</m:t>
              </m:r>
            </m:sup>
            <m:e>
              <m:sSub>
                <m:e>
                  <m:r>
                    <m:t>C</m:t>
                  </m:r>
                </m:e>
                <m:sub>
                  <m:r>
                    <m:t>i</m:t>
                  </m:r>
                  <m:r>
                    <m:t>j</m:t>
                  </m:r>
                </m:sub>
              </m:sSub>
            </m:e>
          </m:nary>
          <m:f>
            <m:fPr>
              <m:type m:val="bar"/>
            </m:fPr>
            <m:num>
              <m:sSub>
                <m:e>
                  <m:r>
                    <m:t>I</m:t>
                  </m:r>
                </m:e>
                <m:sub>
                  <m:r>
                    <m:t>j</m:t>
                  </m:r>
                </m:sub>
              </m:sSub>
              <m:r>
                <m:rPr>
                  <m:sty m:val="p"/>
                </m:rPr>
                <m:t>(</m:t>
              </m:r>
              <m:r>
                <m:t>t</m:t>
              </m:r>
              <m:r>
                <m:rPr>
                  <m:sty m:val="p"/>
                </m:rPr>
                <m:t>)</m:t>
              </m:r>
            </m:num>
            <m:den>
              <m:sSub>
                <m:e>
                  <m:r>
                    <m:t>N</m:t>
                  </m:r>
                </m:e>
                <m:sub>
                  <m:r>
                    <m:t>j</m:t>
                  </m:r>
                </m:sub>
              </m:sSub>
              <m:r>
                <m:rPr>
                  <m:sty m:val="p"/>
                </m:rPr>
                <m:t>(</m:t>
              </m:r>
              <m:r>
                <m:t>t</m:t>
              </m:r>
              <m:r>
                <m:rPr>
                  <m:sty m:val="p"/>
                </m:rPr>
                <m:t>)</m:t>
              </m:r>
            </m:den>
          </m:f>
        </m:oMath>
      </m:oMathPara>
    </w:p>
    <w:p>
      <w:pPr>
        <w:pStyle w:val="FirstParagraph"/>
      </w:pPr>
      <w:r>
        <w:t xml:space="preserve">where</w:t>
      </w:r>
      <w:r>
        <w:t xml:space="preserve"> </w:t>
      </w:r>
      <m:oMath>
        <m:r>
          <m:t>q</m:t>
        </m:r>
      </m:oMath>
      <w:r>
        <w:t xml:space="preserve"> </w:t>
      </w:r>
      <w:r>
        <w:t xml:space="preserve">is the per event transmission probability</w:t>
      </w:r>
      <w:r>
        <w:t xml:space="preserve"> </w:t>
      </w:r>
      <w:r>
        <w:t xml:space="preserve">[1]</w:t>
      </w:r>
      <w:r>
        <w:t xml:space="preserve">,</w:t>
      </w:r>
      <w:r>
        <w:t xml:space="preserve"> </w:t>
      </w:r>
      <m:oMath>
        <m:sSub>
          <m:e>
            <m:r>
              <m:t>C</m:t>
            </m:r>
          </m:e>
          <m:sub>
            <m:r>
              <m:t>i</m:t>
            </m:r>
            <m:r>
              <m:t>j</m:t>
            </m:r>
          </m:sub>
        </m:sSub>
      </m:oMath>
      <w:r>
        <w:t xml:space="preserve"> </w:t>
      </w:r>
      <w:r>
        <w:t xml:space="preserve">is the calibrated contact matrix,</w:t>
      </w:r>
      <w:r>
        <w:t xml:space="preserve"> </w:t>
      </w:r>
      <m:oMath>
        <m:sSub>
          <m:e>
            <m:r>
              <m:t>I</m:t>
            </m:r>
          </m:e>
          <m:sub>
            <m:r>
              <m:t>j</m:t>
            </m:r>
          </m:sub>
        </m:sSub>
      </m:oMath>
      <w:r>
        <w:t xml:space="preserve"> </w:t>
      </w:r>
      <w:r>
        <w:t xml:space="preserve">is the number of people in states a and c in D and F of age</w:t>
      </w:r>
      <w:r>
        <w:t xml:space="preserve"> </w:t>
      </w:r>
      <m:oMath>
        <m:r>
          <m:t>j</m:t>
        </m:r>
      </m:oMath>
      <w:r>
        <w:t xml:space="preserve">, and</w:t>
      </w:r>
      <w:r>
        <w:t xml:space="preserve"> </w:t>
      </w:r>
      <m:oMath>
        <m:sSub>
          <m:e>
            <m:r>
              <m:t>N</m:t>
            </m:r>
          </m:e>
          <m:sub>
            <m:r>
              <m:t>j</m:t>
            </m:r>
          </m:sub>
        </m:sSub>
      </m:oMath>
      <w:r>
        <w:t xml:space="preserve"> </w:t>
      </w:r>
      <w:r>
        <w:t xml:space="preserve">is the number of people in D and F of age</w:t>
      </w:r>
      <w:r>
        <w:t xml:space="preserve"> </w:t>
      </w:r>
      <m:oMath>
        <m:r>
          <m:t>j</m:t>
        </m:r>
      </m:oMath>
      <w:r>
        <w:t xml:space="preserve">. The time multiplier</w:t>
      </w:r>
      <w:r>
        <w:t xml:space="preserve"> </w:t>
      </w:r>
      <m:oMath>
        <m:r>
          <m:t>m</m:t>
        </m:r>
        <m:r>
          <m:rPr>
            <m:sty m:val="p"/>
          </m:rPr>
          <m:t>(</m:t>
        </m:r>
        <m:r>
          <m:t>t</m:t>
        </m:r>
        <m:r>
          <m:rPr>
            <m:sty m:val="p"/>
          </m:rPr>
          <m:t>)</m:t>
        </m:r>
      </m:oMath>
      <w:r>
        <w:t xml:space="preserve"> </w:t>
      </w:r>
      <w:r>
        <w:t xml:space="preserve">was fixed at 1. People on treatment are not infectious. Susceptible and recovered people in D and F are infected at rate</w:t>
      </w:r>
      <w:r>
        <w:t xml:space="preserve"> </w:t>
      </w:r>
      <m:oMath>
        <m:sSub>
          <m:e>
            <m:r>
              <m:t>γ</m:t>
            </m:r>
          </m:e>
          <m:sub>
            <m:r>
              <m:t>i</m:t>
            </m:r>
          </m:sub>
        </m:sSub>
        <m:r>
          <m:rPr>
            <m:sty m:val="p"/>
          </m:rPr>
          <m:t>(</m:t>
        </m:r>
        <m:r>
          <m:t>t</m:t>
        </m:r>
        <m:r>
          <m:rPr>
            <m:sty m:val="p"/>
          </m:rPr>
          <m:t>)</m:t>
        </m:r>
      </m:oMath>
      <w:r>
        <w:t xml:space="preserve">. People in J and X are not exposed.</w:t>
      </w:r>
    </w:p>
    <w:bookmarkEnd w:id="10"/>
    <w:bookmarkStart w:id="11" w:name="natural-history-and-treatment"/>
    <w:p>
      <w:pPr>
        <w:pStyle w:val="Heading2"/>
      </w:pPr>
      <w:r>
        <w:t xml:space="preserve">1.3 Natural history and treatment</w:t>
      </w:r>
    </w:p>
    <w:p>
      <w:pPr>
        <w:pStyle w:val="FirstParagraph"/>
      </w:pPr>
      <w:r>
        <w:t xml:space="preserve">Acute infection lasts on average</w:t>
      </w:r>
      <w:r>
        <w:t xml:space="preserve"> </w:t>
      </w:r>
      <m:oMath>
        <m:sSub>
          <m:e>
            <m:r>
              <m:t>ι</m:t>
            </m:r>
          </m:e>
          <m:sub>
            <m:r>
              <m:t>1</m:t>
            </m:r>
          </m:sub>
        </m:sSub>
        <m:r>
          <m:rPr>
            <m:sty m:val="p"/>
          </m:rPr>
          <m:t>=</m:t>
        </m:r>
        <m:r>
          <m:t>180</m:t>
        </m:r>
      </m:oMath>
      <w:r>
        <w:t xml:space="preserve"> </w:t>
      </w:r>
      <w:r>
        <w:t xml:space="preserve">days</w:t>
      </w:r>
      <w:r>
        <w:t xml:space="preserve"> </w:t>
      </w:r>
      <w:r>
        <w:t xml:space="preserve">[2,3]</w:t>
      </w:r>
      <w:r>
        <w:t xml:space="preserve">. A share</w:t>
      </w:r>
      <w:r>
        <w:t xml:space="preserve"> </w:t>
      </w:r>
      <m:oMath>
        <m:r>
          <m:t>κ</m:t>
        </m:r>
        <m:r>
          <m:rPr>
            <m:sty m:val="p"/>
          </m:rPr>
          <m:t>=</m:t>
        </m:r>
        <m:r>
          <m:t>0.26</m:t>
        </m:r>
      </m:oMath>
      <w:r>
        <w:t xml:space="preserve"> </w:t>
      </w:r>
      <w:r>
        <w:t xml:space="preserve">clears infection spontaneously</w:t>
      </w:r>
      <w:r>
        <w:t xml:space="preserve"> </w:t>
      </w:r>
      <w:r>
        <w:t xml:space="preserve">[4]</w:t>
      </w:r>
      <w:r>
        <w:t xml:space="preserve">. The rest become chronically infected. Chronic infection progresses through the four liver stages. Progression rates are weighted by genotype, with 78% genotype 3</w:t>
      </w:r>
      <w:r>
        <w:t xml:space="preserve"> </w:t>
      </w:r>
      <w:r>
        <w:t xml:space="preserve">[5]</w:t>
      </w:r>
      <w:r>
        <w:t xml:space="preserve">. Genotype 3 has higher progression rates</w:t>
      </w:r>
      <w:r>
        <w:t xml:space="preserve"> </w:t>
      </w:r>
      <w:r>
        <w:t xml:space="preserve">[6]</w:t>
      </w:r>
      <w:r>
        <w:t xml:space="preserve">. The effective rate for transition</w:t>
      </w:r>
      <w:r>
        <w:t xml:space="preserve"> </w:t>
      </w:r>
      <m:oMath>
        <m:r>
          <m:t>A</m:t>
        </m:r>
        <m:r>
          <m:rPr>
            <m:sty m:val="p"/>
          </m:rPr>
          <m:t>→</m:t>
        </m:r>
        <m:r>
          <m:t>B</m:t>
        </m:r>
      </m:oMath>
      <w:r>
        <w:t xml:space="preserve"> </w:t>
      </w:r>
      <w:r>
        <w:t xml:space="preserve">is</w:t>
      </w:r>
    </w:p>
    <w:p>
      <w:pPr>
        <w:pStyle w:val="BodyText"/>
      </w:pPr>
      <m:oMathPara>
        <m:oMathParaPr>
          <m:jc m:val="center"/>
        </m:oMathParaPr>
        <m:oMath>
          <m:sSub>
            <m:e>
              <m:acc>
                <m:accPr>
                  <m:chr m:val="̃"/>
                </m:accPr>
                <m:e>
                  <m:r>
                    <m:t>p</m:t>
                  </m:r>
                </m:e>
              </m:acc>
            </m:e>
            <m:sub>
              <m:r>
                <m:t>A</m:t>
              </m:r>
              <m:r>
                <m:rPr>
                  <m:sty m:val="p"/>
                </m:rPr>
                <m:t>→</m:t>
              </m:r>
              <m:r>
                <m:t>B</m:t>
              </m:r>
            </m:sub>
          </m:sSub>
          <m:r>
            <m:rPr>
              <m:sty m:val="p"/>
            </m:rPr>
            <m:t>=</m:t>
          </m:r>
          <m:r>
            <m:t>ρ</m:t>
          </m:r>
          <m:r>
            <m:t> </m:t>
          </m:r>
          <m:sSubSup>
            <m:e>
              <m:r>
                <m:t>r</m:t>
              </m:r>
            </m:e>
            <m:sub>
              <m:r>
                <m:t>3</m:t>
              </m:r>
            </m:sub>
            <m:sup>
              <m:r>
                <m:t>A</m:t>
              </m:r>
              <m:r>
                <m:rPr>
                  <m:sty m:val="p"/>
                </m:rPr>
                <m:t>→</m:t>
              </m:r>
              <m:r>
                <m:t>B</m:t>
              </m:r>
            </m:sup>
          </m:sSubSup>
          <m:sSup>
            <m:e>
              <m:r>
                <m:t>p</m:t>
              </m:r>
            </m:e>
            <m:sup>
              <m:r>
                <m:t>A</m:t>
              </m:r>
              <m:r>
                <m:rPr>
                  <m:sty m:val="p"/>
                </m:rPr>
                <m:t>→</m:t>
              </m:r>
              <m:r>
                <m:t>B</m:t>
              </m:r>
            </m:sup>
          </m:sSup>
          <m:r>
            <m:rPr>
              <m:sty m:val="p"/>
            </m:rPr>
            <m:t>+</m:t>
          </m:r>
          <m:r>
            <m:rPr>
              <m:sty m:val="p"/>
            </m:rPr>
            <m:t>(</m:t>
          </m:r>
          <m:r>
            <m:t>1</m:t>
          </m:r>
          <m:r>
            <m:rPr>
              <m:sty m:val="p"/>
            </m:rPr>
            <m:t>−</m:t>
          </m:r>
          <m:r>
            <m:t>ρ</m:t>
          </m:r>
          <m:r>
            <m:rPr>
              <m:sty m:val="p"/>
            </m:rPr>
            <m:t>)</m:t>
          </m:r>
          <m:r>
            <m:t> </m:t>
          </m:r>
          <m:sSup>
            <m:e>
              <m:r>
                <m:t>p</m:t>
              </m:r>
            </m:e>
            <m:sup>
              <m:r>
                <m:t>A</m:t>
              </m:r>
              <m:r>
                <m:rPr>
                  <m:sty m:val="p"/>
                </m:rPr>
                <m:t>→</m:t>
              </m:r>
              <m:r>
                <m:t>B</m:t>
              </m:r>
            </m:sup>
          </m:sSup>
          <m:r>
            <m:rPr>
              <m:sty m:val="p"/>
            </m:rPr>
            <m:t>.</m:t>
          </m:r>
        </m:oMath>
      </m:oMathPara>
    </w:p>
    <w:p>
      <w:pPr>
        <w:pStyle w:val="FirstParagraph"/>
      </w:pPr>
      <w:r>
        <w:t xml:space="preserve">Treatment is sofosbuvir and velpatasvir for</w:t>
      </w:r>
      <w:r>
        <w:t xml:space="preserve"> </w:t>
      </w:r>
      <m:oMath>
        <m:sSub>
          <m:e>
            <m:r>
              <m:t>ι</m:t>
            </m:r>
          </m:e>
          <m:sub>
            <m:r>
              <m:t>2</m:t>
            </m:r>
          </m:sub>
        </m:sSub>
        <m:r>
          <m:rPr>
            <m:sty m:val="p"/>
          </m:rPr>
          <m:t>=</m:t>
        </m:r>
        <m:r>
          <m:t>84</m:t>
        </m:r>
      </m:oMath>
      <w:r>
        <w:t xml:space="preserve"> </w:t>
      </w:r>
      <w:r>
        <w:t xml:space="preserve">days. People on treatment are cured with probability</w:t>
      </w:r>
      <w:r>
        <w:t xml:space="preserve"> </w:t>
      </w:r>
      <m:oMath>
        <m:sSub>
          <m:e>
            <m:acc>
              <m:accPr>
                <m:chr m:val="‾"/>
              </m:accPr>
              <m:e>
                <m:r>
                  <m:t>α</m:t>
                </m:r>
              </m:e>
            </m:acc>
          </m:e>
          <m:sub>
            <m:r>
              <m:t>k</m:t>
            </m:r>
          </m:sub>
        </m:sSub>
      </m:oMath>
      <w:r>
        <w:t xml:space="preserve"> </w:t>
      </w:r>
      <w:r>
        <w:t xml:space="preserve">and return to state c otherwise. In the scenarios, decompensated cirrhosis used the cure rate without ribavirin, to match the costed regimen. After cure, people in stage 1 do not progress. People in stage 2 progress at reduced rates</w:t>
      </w:r>
      <w:r>
        <w:t xml:space="preserve"> </w:t>
      </w:r>
      <w:r>
        <w:t xml:space="preserve">[7,8]</w:t>
      </w:r>
      <w:r>
        <w:t xml:space="preserve">. People in stage 3 keep the same risk of liver cancer. Treatment lowers excess mortality in stages 3 and 4 by factors</w:t>
      </w:r>
      <w:r>
        <w:t xml:space="preserve"> </w:t>
      </w:r>
      <m:oMath>
        <m:sSup>
          <m:e>
            <m:r>
              <m:t>ψ</m:t>
            </m:r>
          </m:e>
          <m:sup>
            <m:r>
              <m:t>D</m:t>
            </m:r>
            <m:r>
              <m:t>C</m:t>
            </m:r>
          </m:sup>
        </m:sSup>
      </m:oMath>
      <w:r>
        <w:t xml:space="preserve"> </w:t>
      </w:r>
      <w:r>
        <w:t xml:space="preserve">and</w:t>
      </w:r>
      <w:r>
        <w:t xml:space="preserve"> </w:t>
      </w:r>
      <m:oMath>
        <m:sSup>
          <m:e>
            <m:r>
              <m:t>ψ</m:t>
            </m:r>
          </m:e>
          <m:sup>
            <m:r>
              <m:t>H</m:t>
            </m:r>
            <m:r>
              <m:t>C</m:t>
            </m:r>
            <m:r>
              <m:t>C</m:t>
            </m:r>
          </m:sup>
        </m:sSup>
      </m:oMath>
      <w:r>
        <w:t xml:space="preserve"> </w:t>
      </w:r>
      <w:r>
        <w:t xml:space="preserve">[9,10]</w:t>
      </w:r>
      <w:r>
        <w:t xml:space="preserve">. Background mortality varies by age and is multiplied by a standardised mortality ratio for people who use drugs that depends on viraemic status</w:t>
      </w:r>
      <w:r>
        <w:t xml:space="preserve"> </w:t>
      </w:r>
      <w:r>
        <w:t xml:space="preserve">[11]</w:t>
      </w:r>
      <w:r>
        <w:t xml:space="preserve">. Excess mortality applies in stages 3 and 4</w:t>
      </w:r>
      <w:r>
        <w:t xml:space="preserve"> </w:t>
      </w:r>
      <w:r>
        <w:t xml:space="preserve">[12]</w:t>
      </w:r>
      <w:r>
        <w:t xml:space="preserve">.</w:t>
      </w:r>
    </w:p>
    <w:p>
      <w:pPr>
        <w:pStyle w:val="BodyText"/>
      </w:pPr>
      <w:r>
        <w:t xml:space="preserve">The state transitions within each group, stage and age are</w:t>
      </w:r>
    </w:p>
    <w:p>
      <w:pPr>
        <w:pStyle w:val="BodyText"/>
      </w:pPr>
      <m:oMathPara>
        <m:oMathParaPr>
          <m:jc m:val="center"/>
        </m:oMathParaPr>
        <m:oMath>
          <m:r>
            <m:t>a</m:t>
          </m:r>
          <m:limUpp>
            <m:e>
              <m:r>
                <m:rPr>
                  <m:sty m:val="p"/>
                </m:rPr>
                <m:t>→</m:t>
              </m:r>
            </m:e>
            <m:lim>
              <m:r>
                <m:t>κ</m:t>
              </m:r>
              <m:r>
                <m:rPr>
                  <m:sty m:val="p"/>
                </m:rPr>
                <m:t>/</m:t>
              </m:r>
              <m:sSub>
                <m:e>
                  <m:r>
                    <m:t>ι</m:t>
                  </m:r>
                </m:e>
                <m:sub>
                  <m:r>
                    <m:t>1</m:t>
                  </m:r>
                </m:sub>
              </m:sSub>
            </m:lim>
          </m:limUpp>
          <m:r>
            <m:t>r</m:t>
          </m:r>
          <m:r>
            <m:rPr>
              <m:sty m:val="p"/>
            </m:rPr>
            <m:t>,</m:t>
          </m:r>
          <m:r>
            <m:t> </m:t>
          </m:r>
          <m:r>
            <m:t>a</m:t>
          </m:r>
          <m:limUpp>
            <m:e>
              <m:r>
                <m:rPr>
                  <m:sty m:val="p"/>
                </m:rPr>
                <m:t>→</m:t>
              </m:r>
            </m:e>
            <m:lim>
              <m:r>
                <m:rPr>
                  <m:sty m:val="p"/>
                </m:rPr>
                <m:t>(</m:t>
              </m:r>
              <m:r>
                <m:t>1</m:t>
              </m:r>
              <m:r>
                <m:rPr>
                  <m:sty m:val="p"/>
                </m:rPr>
                <m:t>−</m:t>
              </m:r>
              <m:r>
                <m:t>κ</m:t>
              </m:r>
              <m:r>
                <m:rPr>
                  <m:sty m:val="p"/>
                </m:rPr>
                <m:t>)</m:t>
              </m:r>
              <m:r>
                <m:rPr>
                  <m:sty m:val="p"/>
                </m:rPr>
                <m:t>/</m:t>
              </m:r>
              <m:sSub>
                <m:e>
                  <m:r>
                    <m:t>ι</m:t>
                  </m:r>
                </m:e>
                <m:sub>
                  <m:r>
                    <m:t>1</m:t>
                  </m:r>
                </m:sub>
              </m:sSub>
            </m:lim>
          </m:limUpp>
          <m:r>
            <m:t>c</m:t>
          </m:r>
          <m:r>
            <m:rPr>
              <m:sty m:val="p"/>
            </m:rPr>
            <m:t>,</m:t>
          </m:r>
          <m:r>
            <m:t> </m:t>
          </m:r>
          <m:r>
            <m:t>c</m:t>
          </m:r>
          <m:limUpp>
            <m:e>
              <m:r>
                <m:rPr>
                  <m:sty m:val="p"/>
                </m:rPr>
                <m:t>→</m:t>
              </m:r>
            </m:e>
            <m:lim>
              <m:r>
                <m:t>τ</m:t>
              </m:r>
            </m:lim>
          </m:limUpp>
          <m:r>
            <m:t>t</m:t>
          </m:r>
          <m:r>
            <m:rPr>
              <m:sty m:val="p"/>
            </m:rPr>
            <m:t>,</m:t>
          </m:r>
          <m:r>
            <m:t> </m:t>
          </m:r>
          <m:r>
            <m:t>t</m:t>
          </m:r>
          <m:limUpp>
            <m:e>
              <m:r>
                <m:rPr>
                  <m:sty m:val="p"/>
                </m:rPr>
                <m:t>→</m:t>
              </m:r>
            </m:e>
            <m:lim>
              <m:acc>
                <m:accPr>
                  <m:chr m:val="‾"/>
                </m:accPr>
                <m:e>
                  <m:r>
                    <m:t>α</m:t>
                  </m:r>
                </m:e>
              </m:acc>
              <m:r>
                <m:rPr>
                  <m:sty m:val="p"/>
                </m:rPr>
                <m:t>/</m:t>
              </m:r>
              <m:sSub>
                <m:e>
                  <m:r>
                    <m:t>ι</m:t>
                  </m:r>
                </m:e>
                <m:sub>
                  <m:r>
                    <m:t>2</m:t>
                  </m:r>
                </m:sub>
              </m:sSub>
            </m:lim>
          </m:limUpp>
          <m:r>
            <m:t>r</m:t>
          </m:r>
          <m:r>
            <m:rPr>
              <m:sty m:val="p"/>
            </m:rPr>
            <m:t>,</m:t>
          </m:r>
          <m:r>
            <m:t> </m:t>
          </m:r>
          <m:r>
            <m:t>t</m:t>
          </m:r>
          <m:limUpp>
            <m:e>
              <m:r>
                <m:rPr>
                  <m:sty m:val="p"/>
                </m:rPr>
                <m:t>→</m:t>
              </m:r>
            </m:e>
            <m:lim>
              <m:r>
                <m:rPr>
                  <m:sty m:val="p"/>
                </m:rPr>
                <m:t>(</m:t>
              </m:r>
              <m:r>
                <m:t>1</m:t>
              </m:r>
              <m:r>
                <m:rPr>
                  <m:sty m:val="p"/>
                </m:rPr>
                <m:t>−</m:t>
              </m:r>
              <m:acc>
                <m:accPr>
                  <m:chr m:val="‾"/>
                </m:accPr>
                <m:e>
                  <m:r>
                    <m:t>α</m:t>
                  </m:r>
                </m:e>
              </m:acc>
              <m:r>
                <m:rPr>
                  <m:sty m:val="p"/>
                </m:rPr>
                <m:t>)</m:t>
              </m:r>
              <m:r>
                <m:rPr>
                  <m:sty m:val="p"/>
                </m:rPr>
                <m:t>/</m:t>
              </m:r>
              <m:sSub>
                <m:e>
                  <m:r>
                    <m:t>ι</m:t>
                  </m:r>
                </m:e>
                <m:sub>
                  <m:r>
                    <m:t>2</m:t>
                  </m:r>
                </m:sub>
              </m:sSub>
            </m:lim>
          </m:limUpp>
          <m:r>
            <m:t>c</m:t>
          </m:r>
          <m:r>
            <m:rPr>
              <m:sty m:val="p"/>
            </m:rPr>
            <m:t>,</m:t>
          </m:r>
          <m:r>
            <m:t> </m:t>
          </m:r>
          <m:r>
            <m:t>u</m:t>
          </m:r>
          <m:r>
            <m:rPr>
              <m:sty m:val="p"/>
            </m:rPr>
            <m:t>,</m:t>
          </m:r>
          <m:r>
            <m:t>r</m:t>
          </m:r>
          <m:limUpp>
            <m:e>
              <m:r>
                <m:rPr>
                  <m:sty m:val="p"/>
                </m:rPr>
                <m:t>→</m:t>
              </m:r>
            </m:e>
            <m:lim>
              <m:sSub>
                <m:e>
                  <m:r>
                    <m:t>γ</m:t>
                  </m:r>
                </m:e>
                <m:sub>
                  <m:r>
                    <m:t>i</m:t>
                  </m:r>
                </m:sub>
              </m:sSub>
              <m:r>
                <m:rPr>
                  <m:sty m:val="p"/>
                </m:rPr>
                <m:t>(</m:t>
              </m:r>
              <m:r>
                <m:t>t</m:t>
              </m:r>
              <m:r>
                <m:rPr>
                  <m:sty m:val="p"/>
                </m:rPr>
                <m:t>)</m:t>
              </m:r>
            </m:lim>
          </m:limUpp>
          <m:r>
            <m:t>a</m:t>
          </m:r>
        </m:oMath>
      </m:oMathPara>
    </w:p>
    <w:p>
      <w:pPr>
        <w:pStyle w:val="FirstParagraph"/>
      </w:pPr>
      <w:r>
        <w:t xml:space="preserve">As an example, the equation for chronic infection in group F, stage 1, age</w:t>
      </w:r>
      <w:r>
        <w:t xml:space="preserve"> </w:t>
      </w:r>
      <m:oMath>
        <m:r>
          <m:t>i</m:t>
        </m:r>
      </m:oMath>
      <w:r>
        <w:t xml:space="preserve"> </w:t>
      </w:r>
      <w:r>
        <w:t xml:space="preserve">is</w:t>
      </w:r>
    </w:p>
    <w:p>
      <w:pPr>
        <w:pStyle w:val="BodyText"/>
      </w:pPr>
      <m:oMathPara>
        <m:oMathParaPr>
          <m:jc m:val="center"/>
        </m:oMathParaPr>
        <m:oMath>
          <m:f>
            <m:fPr>
              <m:type m:val="bar"/>
            </m:fPr>
            <m:num>
              <m:r>
                <m:t>d</m:t>
              </m:r>
              <m:sSub>
                <m:e>
                  <m:r>
                    <m:t>F</m:t>
                  </m:r>
                </m:e>
                <m:sub>
                  <m:r>
                    <m:t>c</m:t>
                  </m:r>
                  <m:r>
                    <m:rPr>
                      <m:sty m:val="p"/>
                    </m:rPr>
                    <m:t>,</m:t>
                  </m:r>
                  <m:r>
                    <m:t>1</m:t>
                  </m:r>
                  <m:r>
                    <m:rPr>
                      <m:sty m:val="p"/>
                    </m:rPr>
                    <m:t>,</m:t>
                  </m:r>
                  <m:r>
                    <m:t>i</m:t>
                  </m:r>
                </m:sub>
              </m:sSub>
            </m:num>
            <m:den>
              <m:r>
                <m:t>d</m:t>
              </m:r>
              <m:r>
                <m:t>t</m:t>
              </m:r>
            </m:den>
          </m:f>
          <m:r>
            <m:rPr>
              <m:sty m:val="p"/>
            </m:rPr>
            <m:t>=</m:t>
          </m:r>
          <m:r>
            <m:t>π</m:t>
          </m:r>
          <m:sSubSup>
            <m:e>
              <m:r>
                <m:t>λ</m:t>
              </m:r>
            </m:e>
            <m:sub>
              <m:r>
                <m:t>i</m:t>
              </m:r>
            </m:sub>
            <m:sup>
              <m:r>
                <m:rPr>
                  <m:sty m:val="p"/>
                </m:rPr>
                <m:t>(</m:t>
              </m:r>
              <m:r>
                <m:t>2</m:t>
              </m:r>
              <m:r>
                <m:rPr>
                  <m:sty m:val="p"/>
                </m:rPr>
                <m:t>)</m:t>
              </m:r>
            </m:sup>
          </m:sSubSup>
          <m:sSub>
            <m:e>
              <m:r>
                <m:t>J</m:t>
              </m:r>
            </m:e>
            <m:sub>
              <m:r>
                <m:t>c</m:t>
              </m:r>
              <m:r>
                <m:rPr>
                  <m:sty m:val="p"/>
                </m:rPr>
                <m:t>,</m:t>
              </m:r>
              <m:r>
                <m:t>1</m:t>
              </m:r>
              <m:r>
                <m:rPr>
                  <m:sty m:val="p"/>
                </m:rPr>
                <m:t>,</m:t>
              </m:r>
              <m:r>
                <m:t>i</m:t>
              </m:r>
            </m:sub>
          </m:sSub>
          <m:r>
            <m:rPr>
              <m:sty m:val="p"/>
            </m:rPr>
            <m:t>+</m:t>
          </m:r>
          <m:f>
            <m:fPr>
              <m:type m:val="bar"/>
            </m:fPr>
            <m:num>
              <m:r>
                <m:t>1</m:t>
              </m:r>
              <m:r>
                <m:rPr>
                  <m:sty m:val="p"/>
                </m:rPr>
                <m:t>−</m:t>
              </m:r>
              <m:r>
                <m:t>κ</m:t>
              </m:r>
            </m:num>
            <m:den>
              <m:sSub>
                <m:e>
                  <m:r>
                    <m:t>ι</m:t>
                  </m:r>
                </m:e>
                <m:sub>
                  <m:r>
                    <m:t>1</m:t>
                  </m:r>
                </m:sub>
              </m:sSub>
            </m:den>
          </m:f>
          <m:sSub>
            <m:e>
              <m:r>
                <m:t>F</m:t>
              </m:r>
            </m:e>
            <m:sub>
              <m:r>
                <m:t>a</m:t>
              </m:r>
              <m:r>
                <m:rPr>
                  <m:sty m:val="p"/>
                </m:rPr>
                <m:t>,</m:t>
              </m:r>
              <m:r>
                <m:t>1</m:t>
              </m:r>
              <m:r>
                <m:rPr>
                  <m:sty m:val="p"/>
                </m:rPr>
                <m:t>,</m:t>
              </m:r>
              <m:r>
                <m:t>i</m:t>
              </m:r>
            </m:sub>
          </m:sSub>
          <m:r>
            <m:rPr>
              <m:sty m:val="p"/>
            </m:rPr>
            <m:t>+</m:t>
          </m:r>
          <m:f>
            <m:fPr>
              <m:type m:val="bar"/>
            </m:fPr>
            <m:num>
              <m:r>
                <m:t>1</m:t>
              </m:r>
              <m:r>
                <m:rPr>
                  <m:sty m:val="p"/>
                </m:rPr>
                <m:t>−</m:t>
              </m:r>
              <m:sSub>
                <m:e>
                  <m:acc>
                    <m:accPr>
                      <m:chr m:val="‾"/>
                    </m:accPr>
                    <m:e>
                      <m:r>
                        <m:t>α</m:t>
                      </m:r>
                    </m:e>
                  </m:acc>
                </m:e>
                <m:sub>
                  <m:r>
                    <m:t>1</m:t>
                  </m:r>
                </m:sub>
              </m:sSub>
            </m:num>
            <m:den>
              <m:sSub>
                <m:e>
                  <m:r>
                    <m:t>ι</m:t>
                  </m:r>
                </m:e>
                <m:sub>
                  <m:r>
                    <m:t>2</m:t>
                  </m:r>
                </m:sub>
              </m:sSub>
            </m:den>
          </m:f>
          <m:sSub>
            <m:e>
              <m:r>
                <m:t>F</m:t>
              </m:r>
            </m:e>
            <m:sub>
              <m:r>
                <m:t>t</m:t>
              </m:r>
              <m:r>
                <m:rPr>
                  <m:sty m:val="p"/>
                </m:rPr>
                <m:t>,</m:t>
              </m:r>
              <m:r>
                <m:t>1</m:t>
              </m:r>
              <m:r>
                <m:rPr>
                  <m:sty m:val="p"/>
                </m:rPr>
                <m:t>,</m:t>
              </m:r>
              <m:r>
                <m:t>i</m:t>
              </m:r>
            </m:sub>
          </m:sSub>
          <m:r>
            <m:rPr>
              <m:sty m:val="p"/>
            </m:rPr>
            <m:t>−</m:t>
          </m:r>
          <m:d>
            <m:dPr>
              <m:begChr m:val="("/>
              <m:sepChr m:val=""/>
              <m:endChr m:val=")"/>
              <m:grow/>
            </m:dPr>
            <m:e>
              <m:sSub>
                <m:e>
                  <m:r>
                    <m:t>τ</m:t>
                  </m:r>
                </m:e>
                <m:sub>
                  <m:r>
                    <m:t>F</m:t>
                  </m:r>
                </m:sub>
              </m:sSub>
              <m:r>
                <m:rPr>
                  <m:sty m:val="p"/>
                </m:rPr>
                <m:t>+</m:t>
              </m:r>
              <m:sSubSup>
                <m:e>
                  <m:r>
                    <m:t>λ</m:t>
                  </m:r>
                </m:e>
                <m:sub>
                  <m:r>
                    <m:t>i</m:t>
                  </m:r>
                </m:sub>
                <m:sup>
                  <m:r>
                    <m:rPr>
                      <m:sty m:val="p"/>
                    </m:rPr>
                    <m:t>(</m:t>
                  </m:r>
                  <m:r>
                    <m:t>3</m:t>
                  </m:r>
                  <m:r>
                    <m:rPr>
                      <m:sty m:val="p"/>
                    </m:rPr>
                    <m:t>)</m:t>
                  </m:r>
                </m:sup>
              </m:sSubSup>
              <m:r>
                <m:rPr>
                  <m:sty m:val="p"/>
                </m:rPr>
                <m:t>+</m:t>
              </m:r>
              <m:sSub>
                <m:e>
                  <m:r>
                    <m:t>s</m:t>
                  </m:r>
                </m:e>
                <m:sub>
                  <m:r>
                    <m:t>v</m:t>
                  </m:r>
                </m:sub>
              </m:sSub>
              <m:sSub>
                <m:e>
                  <m:r>
                    <m:t>μ</m:t>
                  </m:r>
                </m:e>
                <m:sub>
                  <m:r>
                    <m:t>i</m:t>
                  </m:r>
                </m:sub>
              </m:sSub>
              <m:r>
                <m:rPr>
                  <m:sty m:val="p"/>
                </m:rPr>
                <m:t>+</m:t>
              </m:r>
              <m:sSub>
                <m:e>
                  <m:acc>
                    <m:accPr>
                      <m:chr m:val="̃"/>
                    </m:accPr>
                    <m:e>
                      <m:r>
                        <m:t>p</m:t>
                      </m:r>
                    </m:e>
                  </m:acc>
                </m:e>
                <m:sub>
                  <m:r>
                    <m:t>1</m:t>
                  </m:r>
                  <m:r>
                    <m:rPr>
                      <m:sty m:val="p"/>
                    </m:rPr>
                    <m:t>→</m:t>
                  </m:r>
                  <m:r>
                    <m:t>2</m:t>
                  </m:r>
                </m:sub>
              </m:sSub>
            </m:e>
          </m:d>
          <m:sSub>
            <m:e>
              <m:r>
                <m:t>F</m:t>
              </m:r>
            </m:e>
            <m:sub>
              <m:r>
                <m:t>c</m:t>
              </m:r>
              <m:r>
                <m:rPr>
                  <m:sty m:val="p"/>
                </m:rPr>
                <m:t>,</m:t>
              </m:r>
              <m:r>
                <m:t>1</m:t>
              </m:r>
              <m:r>
                <m:rPr>
                  <m:sty m:val="p"/>
                </m:rPr>
                <m:t>,</m:t>
              </m:r>
              <m:r>
                <m:t>i</m:t>
              </m:r>
            </m:sub>
          </m:sSub>
        </m:oMath>
      </m:oMathPara>
    </w:p>
    <w:p>
      <w:pPr>
        <w:pStyle w:val="FirstParagraph"/>
      </w:pPr>
      <w:r>
        <w:t xml:space="preserve">Background mortality is</w:t>
      </w:r>
      <w:r>
        <w:t xml:space="preserve"> </w:t>
      </w:r>
      <m:oMath>
        <m:r>
          <m:t>s</m:t>
        </m:r>
        <m:r>
          <m:t> </m:t>
        </m:r>
        <m:sSub>
          <m:e>
            <m:r>
              <m:t>μ</m:t>
            </m:r>
          </m:e>
          <m:sub>
            <m:r>
              <m:t>i</m:t>
            </m:r>
          </m:sub>
        </m:sSub>
      </m:oMath>
      <w:r>
        <w:t xml:space="preserve">, where</w:t>
      </w:r>
      <w:r>
        <w:t xml:space="preserve"> </w:t>
      </w:r>
      <m:oMath>
        <m:sSub>
          <m:e>
            <m:r>
              <m:t>μ</m:t>
            </m:r>
          </m:e>
          <m:sub>
            <m:r>
              <m:t>i</m:t>
            </m:r>
          </m:sub>
        </m:sSub>
      </m:oMath>
      <w:r>
        <w:t xml:space="preserve"> </w:t>
      </w:r>
      <w:r>
        <w:t xml:space="preserve">is the Singapore resident death rate and</w:t>
      </w:r>
      <w:r>
        <w:t xml:space="preserve"> </w:t>
      </w:r>
      <m:oMath>
        <m:r>
          <m:t>s</m:t>
        </m:r>
      </m:oMath>
      <w:r>
        <w:t xml:space="preserve"> </w:t>
      </w:r>
      <w:r>
        <w:t xml:space="preserve">is an all-cause standardised mortality ratio for people who use drugs against the general population, from the Amsterdam Cohort Studies (1985 to 2012)</w:t>
      </w:r>
      <w:r>
        <w:t xml:space="preserve"> </w:t>
      </w:r>
      <w:r>
        <w:t xml:space="preserve">[11]</w:t>
      </w:r>
      <w:r>
        <w:t xml:space="preserve">. People in the viraemic states (a, c, t) have</w:t>
      </w:r>
      <w:r>
        <w:t xml:space="preserve"> </w:t>
      </w:r>
      <m:oMath>
        <m:sSub>
          <m:e>
            <m:r>
              <m:t>s</m:t>
            </m:r>
          </m:e>
          <m:sub>
            <m:r>
              <m:t>v</m:t>
            </m:r>
          </m:sub>
        </m:sSub>
        <m:r>
          <m:rPr>
            <m:sty m:val="p"/>
          </m:rPr>
          <m:t>=</m:t>
        </m:r>
        <m:r>
          <m:t>9.52</m:t>
        </m:r>
      </m:oMath>
      <w:r>
        <w:t xml:space="preserve"> </w:t>
      </w:r>
      <w:r>
        <w:t xml:space="preserve">(95% CI 8.06 to 11.26; HCV monoinfected). People in states u and r have</w:t>
      </w:r>
      <w:r>
        <w:t xml:space="preserve"> </w:t>
      </w:r>
      <m:oMath>
        <m:sSub>
          <m:e>
            <m:r>
              <m:t>s</m:t>
            </m:r>
          </m:e>
          <m:sub>
            <m:r>
              <m:t>n</m:t>
            </m:r>
          </m:sub>
        </m:sSub>
        <m:r>
          <m:rPr>
            <m:sty m:val="p"/>
          </m:rPr>
          <m:t>=</m:t>
        </m:r>
        <m:r>
          <m:t>4.73</m:t>
        </m:r>
      </m:oMath>
      <w:r>
        <w:t xml:space="preserve"> </w:t>
      </w:r>
      <w:r>
        <w:t xml:space="preserve">(3.47 to 6.45; HCV and HIV uninfected). Recovered people take the uninfected ratio because extrahepatic mortality after loss of viraemia is close to that of uninfected people</w:t>
      </w:r>
      <w:r>
        <w:t xml:space="preserve"> </w:t>
      </w:r>
      <w:r>
        <w:t xml:space="preserve">[13]</w:t>
      </w:r>
      <w:r>
        <w:t xml:space="preserve">. Liver deaths in stages 3 and 4 are added on top. The rate is set by each person’s state, so the viraemic share of the population, and with it average mortality, changes over time and falls with treatment. The non-liver deaths of viraemic people above the non-viraemic rate,</w:t>
      </w:r>
      <w:r>
        <w:t xml:space="preserve"> </w:t>
      </w:r>
      <m:oMath>
        <m:r>
          <m:rPr>
            <m:sty m:val="p"/>
          </m:rPr>
          <m:t>(</m:t>
        </m:r>
        <m:sSub>
          <m:e>
            <m:r>
              <m:t>s</m:t>
            </m:r>
          </m:e>
          <m:sub>
            <m:r>
              <m:t>v</m:t>
            </m:r>
          </m:sub>
        </m:sSub>
        <m:r>
          <m:rPr>
            <m:sty m:val="p"/>
          </m:rPr>
          <m:t>−</m:t>
        </m:r>
        <m:sSub>
          <m:e>
            <m:r>
              <m:t>s</m:t>
            </m:r>
          </m:e>
          <m:sub>
            <m:r>
              <m:t>n</m:t>
            </m:r>
          </m:sub>
        </m:sSub>
        <m:r>
          <m:rPr>
            <m:sty m:val="p"/>
          </m:rPr>
          <m:t>)</m:t>
        </m:r>
        <m:sSub>
          <m:e>
            <m:r>
              <m:t>μ</m:t>
            </m:r>
          </m:e>
          <m:sub>
            <m:r>
              <m:t>i</m:t>
            </m:r>
          </m:sub>
        </m:sSub>
      </m:oMath>
      <w:r>
        <w:t xml:space="preserve">, are counted as HCV deaths together with the liver deaths; the deaths at rate</w:t>
      </w:r>
      <w:r>
        <w:t xml:space="preserve"> </w:t>
      </w:r>
      <m:oMath>
        <m:sSub>
          <m:e>
            <m:r>
              <m:t>s</m:t>
            </m:r>
          </m:e>
          <m:sub>
            <m:r>
              <m:t>n</m:t>
            </m:r>
          </m:sub>
        </m:sSub>
        <m:sSub>
          <m:e>
            <m:r>
              <m:t>μ</m:t>
            </m:r>
          </m:e>
          <m:sub>
            <m:r>
              <m:t>i</m:t>
            </m:r>
          </m:sub>
        </m:sSub>
      </m:oMath>
      <w:r>
        <w:t xml:space="preserve"> </w:t>
      </w:r>
      <w:r>
        <w:t xml:space="preserve">are not.</w:t>
      </w:r>
    </w:p>
    <w:p>
      <w:pPr>
        <w:pStyle w:val="BodyText"/>
      </w:pPr>
      <w:r>
        <w:t xml:space="preserve">The other 479 equations follow the same pattern. The full set is in the project file</w:t>
      </w:r>
      <w:r>
        <w:t xml:space="preserve"> </w:t>
      </w:r>
      <w:r>
        <w:rPr>
          <w:rStyle w:val="VerbatimChar"/>
        </w:rPr>
        <w:t xml:space="preserve">docs/equations.tex</w:t>
      </w:r>
      <w:r>
        <w:t xml:space="preserve"> </w:t>
      </w:r>
      <w:r>
        <w:t xml:space="preserve">and is implemented in</w:t>
      </w:r>
      <w:r>
        <w:t xml:space="preserve"> </w:t>
      </w:r>
      <w:r>
        <w:rPr>
          <w:rStyle w:val="VerbatimChar"/>
        </w:rPr>
        <w:t xml:space="preserve">scripts/model/sim.cpp</w:t>
      </w:r>
      <w:r>
        <w:t xml:space="preserve">.</w:t>
      </w:r>
    </w:p>
    <w:bookmarkEnd w:id="11"/>
    <w:bookmarkStart w:id="12" w:name="parameters"/>
    <w:p>
      <w:pPr>
        <w:pStyle w:val="Heading2"/>
      </w:pPr>
      <w:r>
        <w:t xml:space="preserve">1.4 Parameters</w:t>
      </w:r>
    </w:p>
    <w:p>
      <w:pPr>
        <w:pStyle w:val="FirstParagraph"/>
      </w:pPr>
      <w:r>
        <w:rPr>
          <w:b/>
          <w:bCs/>
        </w:rPr>
        <w:t xml:space="preserve">Table S1. Natural history and treatment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Value</w:t>
            </w:r>
          </w:p>
        </w:tc>
        <w:tc>
          <w:tcPr/>
          <w:p>
            <w:pPr>
              <w:pStyle w:val="Compact"/>
            </w:pPr>
            <w:r>
              <w:t xml:space="preserve">Source</w:t>
            </w:r>
          </w:p>
        </w:tc>
      </w:tr>
      <w:tr>
        <w:tc>
          <w:tcPr/>
          <w:p>
            <w:pPr>
              <w:pStyle w:val="Compact"/>
            </w:pPr>
            <m:oMath>
              <m:r>
                <m:t>q</m:t>
              </m:r>
            </m:oMath>
          </w:p>
        </w:tc>
        <w:tc>
          <w:tcPr/>
          <w:p>
            <w:pPr>
              <w:pStyle w:val="Compact"/>
            </w:pPr>
            <w:r>
              <w:t xml:space="preserve">Transmission probability per sharing event</w:t>
            </w:r>
          </w:p>
        </w:tc>
        <w:tc>
          <w:tcPr/>
          <w:p>
            <w:pPr>
              <w:pStyle w:val="Compact"/>
            </w:pPr>
            <w:r>
              <w:t xml:space="preserve">0.0057</w:t>
            </w:r>
          </w:p>
        </w:tc>
        <w:tc>
          <w:tcPr/>
          <w:p>
            <w:pPr>
              <w:pStyle w:val="Compact"/>
            </w:pPr>
            <w:r>
              <w:t xml:space="preserve">[1]</w:t>
            </w:r>
          </w:p>
        </w:tc>
      </w:tr>
      <w:tr>
        <w:tc>
          <w:tcPr/>
          <w:p>
            <w:pPr>
              <w:pStyle w:val="Compact"/>
            </w:pPr>
            <m:oMath>
              <m:r>
                <m:t>κ</m:t>
              </m:r>
            </m:oMath>
          </w:p>
        </w:tc>
        <w:tc>
          <w:tcPr/>
          <w:p>
            <w:pPr>
              <w:pStyle w:val="Compact"/>
            </w:pPr>
            <w:r>
              <w:t xml:space="preserve">Probability of spontaneous clearance</w:t>
            </w:r>
          </w:p>
        </w:tc>
        <w:tc>
          <w:tcPr/>
          <w:p>
            <w:pPr>
              <w:pStyle w:val="Compact"/>
            </w:pPr>
            <w:r>
              <w:t xml:space="preserve">0.26</w:t>
            </w:r>
          </w:p>
        </w:tc>
        <w:tc>
          <w:tcPr/>
          <w:p>
            <w:pPr>
              <w:pStyle w:val="Compact"/>
            </w:pPr>
            <w:r>
              <w:t xml:space="preserve">[4]</w:t>
            </w:r>
          </w:p>
        </w:tc>
      </w:tr>
      <w:tr>
        <w:tc>
          <w:tcPr/>
          <w:p>
            <w:pPr>
              <w:pStyle w:val="Compact"/>
            </w:pPr>
            <m:oMath>
              <m:sSub>
                <m:e>
                  <m:r>
                    <m:t>ι</m:t>
                  </m:r>
                </m:e>
                <m:sub>
                  <m:r>
                    <m:t>1</m:t>
                  </m:r>
                </m:sub>
              </m:sSub>
            </m:oMath>
          </w:p>
        </w:tc>
        <w:tc>
          <w:tcPr/>
          <w:p>
            <w:pPr>
              <w:pStyle w:val="Compact"/>
            </w:pPr>
            <w:r>
              <w:t xml:space="preserve">Mean duration of acute infection</w:t>
            </w:r>
          </w:p>
        </w:tc>
        <w:tc>
          <w:tcPr/>
          <w:p>
            <w:pPr>
              <w:pStyle w:val="Compact"/>
            </w:pPr>
            <w:r>
              <w:t xml:space="preserve">180 days</w:t>
            </w:r>
          </w:p>
        </w:tc>
        <w:tc>
          <w:tcPr/>
          <w:p>
            <w:pPr>
              <w:pStyle w:val="Compact"/>
            </w:pPr>
            <w:r>
              <w:t xml:space="preserve">[2]</w:t>
            </w:r>
          </w:p>
        </w:tc>
      </w:tr>
      <w:tr>
        <w:tc>
          <w:tcPr/>
          <w:p>
            <w:pPr>
              <w:pStyle w:val="Compact"/>
            </w:pPr>
            <m:oMath>
              <m:sSub>
                <m:e>
                  <m:r>
                    <m:t>ι</m:t>
                  </m:r>
                </m:e>
                <m:sub>
                  <m:r>
                    <m:t>2</m:t>
                  </m:r>
                </m:sub>
              </m:sSub>
            </m:oMath>
          </w:p>
        </w:tc>
        <w:tc>
          <w:tcPr/>
          <w:p>
            <w:pPr>
              <w:pStyle w:val="Compact"/>
            </w:pPr>
            <w:r>
              <w:t xml:space="preserve">Duration of treatment</w:t>
            </w:r>
          </w:p>
        </w:tc>
        <w:tc>
          <w:tcPr/>
          <w:p>
            <w:pPr>
              <w:pStyle w:val="Compact"/>
            </w:pPr>
            <w:r>
              <w:t xml:space="preserve">84 days</w:t>
            </w:r>
          </w:p>
        </w:tc>
        <w:tc>
          <w:tcPr/>
          <w:p>
            <w:pPr>
              <w:pStyle w:val="Compact"/>
            </w:pPr>
            <w:r>
              <w:t xml:space="preserve">[14]</w:t>
            </w:r>
          </w:p>
        </w:tc>
      </w:tr>
      <w:tr>
        <w:tc>
          <w:tcPr/>
          <w:p>
            <w:pPr>
              <w:pStyle w:val="Compact"/>
            </w:pPr>
            <m:oMath>
              <m:r>
                <m:t>ρ</m:t>
              </m:r>
            </m:oMath>
          </w:p>
        </w:tc>
        <w:tc>
          <w:tcPr/>
          <w:p>
            <w:pPr>
              <w:pStyle w:val="Compact"/>
            </w:pPr>
            <w:r>
              <w:t xml:space="preserve">Proportion with genotype 3</w:t>
            </w:r>
          </w:p>
        </w:tc>
        <w:tc>
          <w:tcPr/>
          <w:p>
            <w:pPr>
              <w:pStyle w:val="Compact"/>
            </w:pPr>
            <w:r>
              <w:t xml:space="preserve">0.78</w:t>
            </w:r>
          </w:p>
        </w:tc>
        <w:tc>
          <w:tcPr/>
          <w:p>
            <w:pPr>
              <w:pStyle w:val="Compact"/>
            </w:pPr>
            <w:r>
              <w:t xml:space="preserve">[5]</w:t>
            </w:r>
          </w:p>
        </w:tc>
      </w:tr>
      <w:tr>
        <w:tc>
          <w:tcPr/>
          <w:p>
            <w:pPr>
              <w:pStyle w:val="Compact"/>
            </w:pPr>
            <m:oMath>
              <m:sSub>
                <m:e>
                  <m:acc>
                    <m:accPr>
                      <m:chr m:val="‾"/>
                    </m:accPr>
                    <m:e>
                      <m:r>
                        <m:t>α</m:t>
                      </m:r>
                    </m:e>
                  </m:acc>
                </m:e>
                <m:sub>
                  <m:r>
                    <m:t>1</m:t>
                  </m:r>
                </m:sub>
              </m:sSub>
            </m:oMath>
          </w:p>
        </w:tc>
        <w:tc>
          <w:tcPr/>
          <w:p>
            <w:pPr>
              <w:pStyle w:val="Compact"/>
            </w:pPr>
            <w:r>
              <w:t xml:space="preserve">Cure rate, stages 1 and 2</w:t>
            </w:r>
          </w:p>
        </w:tc>
        <w:tc>
          <w:tcPr/>
          <w:p>
            <w:pPr>
              <w:pStyle w:val="Compact"/>
            </w:pPr>
            <w:r>
              <w:t xml:space="preserve">0.979</w:t>
            </w:r>
          </w:p>
        </w:tc>
        <w:tc>
          <w:tcPr/>
          <w:p>
            <w:pPr>
              <w:pStyle w:val="Compact"/>
            </w:pPr>
            <w:r>
              <w:t xml:space="preserve">[14]</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no ribavirin</w:t>
            </w:r>
          </w:p>
        </w:tc>
        <w:tc>
          <w:tcPr/>
          <w:p>
            <w:pPr>
              <w:pStyle w:val="Compact"/>
            </w:pPr>
            <w:r>
              <w:t xml:space="preserve">0.549</w:t>
            </w:r>
          </w:p>
        </w:tc>
        <w:tc>
          <w:tcPr/>
          <w:p>
            <w:pPr>
              <w:pStyle w:val="Compact"/>
            </w:pPr>
            <w:r>
              <w:t xml:space="preserve">[14,15]</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with ribavirin</w:t>
            </w:r>
          </w:p>
        </w:tc>
        <w:tc>
          <w:tcPr/>
          <w:p>
            <w:pPr>
              <w:pStyle w:val="Compact"/>
            </w:pPr>
            <w:r>
              <w:t xml:space="preserve">0.882</w:t>
            </w:r>
          </w:p>
        </w:tc>
        <w:tc>
          <w:tcPr/>
          <w:p>
            <w:pPr>
              <w:pStyle w:val="Compact"/>
            </w:pPr>
            <w:r>
              <w:t xml:space="preserve">[14,15]</w:t>
            </w:r>
          </w:p>
        </w:tc>
      </w:tr>
      <w:tr>
        <w:tc>
          <w:tcPr/>
          <w:p>
            <w:pPr>
              <w:pStyle w:val="Compact"/>
            </w:pPr>
            <m:oMath>
              <m:sSup>
                <m:e>
                  <m:r>
                    <m:t>p</m:t>
                  </m:r>
                </m:e>
                <m:sup>
                  <m:r>
                    <m:t>N</m:t>
                  </m:r>
                  <m:r>
                    <m:t>C</m:t>
                  </m:r>
                  <m:r>
                    <m:rPr>
                      <m:sty m:val="p"/>
                    </m:rPr>
                    <m:t>→</m:t>
                  </m:r>
                  <m:r>
                    <m:t>C</m:t>
                  </m:r>
                  <m:r>
                    <m:t>C</m:t>
                  </m:r>
                </m:sup>
              </m:sSup>
            </m:oMath>
          </w:p>
        </w:tc>
        <w:tc>
          <w:tcPr/>
          <w:p>
            <w:pPr>
              <w:pStyle w:val="Compact"/>
            </w:pPr>
            <w:r>
              <w:t xml:space="preserve">Progression, no cirrhosis to compensated cirrhosis (per year)</w:t>
            </w:r>
          </w:p>
        </w:tc>
        <w:tc>
          <w:tcPr/>
          <w:p>
            <w:pPr>
              <w:pStyle w:val="Compact"/>
            </w:pPr>
            <w:r>
              <w:t xml:space="preserve">0.027</w:t>
            </w:r>
          </w:p>
        </w:tc>
        <w:tc>
          <w:tcPr/>
          <w:p>
            <w:pPr>
              <w:pStyle w:val="Compact"/>
            </w:pPr>
            <w:r>
              <w:t xml:space="preserve">[16]</w:t>
            </w:r>
          </w:p>
        </w:tc>
      </w:tr>
      <w:tr>
        <w:tc>
          <w:tcPr/>
          <w:p>
            <w:pPr>
              <w:pStyle w:val="Compact"/>
            </w:pPr>
            <m:oMath>
              <m:sSup>
                <m:e>
                  <m:r>
                    <m:t>p</m:t>
                  </m:r>
                </m:e>
                <m:sup>
                  <m:r>
                    <m:t>C</m:t>
                  </m:r>
                  <m:r>
                    <m:t>C</m:t>
                  </m:r>
                  <m:r>
                    <m:rPr>
                      <m:sty m:val="p"/>
                    </m:rPr>
                    <m:t>→</m:t>
                  </m:r>
                  <m:r>
                    <m:t>D</m:t>
                  </m:r>
                  <m:r>
                    <m:t>C</m:t>
                  </m:r>
                </m:sup>
              </m:sSup>
            </m:oMath>
          </w:p>
        </w:tc>
        <w:tc>
          <w:tcPr/>
          <w:p>
            <w:pPr>
              <w:pStyle w:val="Compact"/>
            </w:pPr>
            <w:r>
              <w:t xml:space="preserve">Progression, compensated to decompensated cirrhosis</w:t>
            </w:r>
          </w:p>
        </w:tc>
        <w:tc>
          <w:tcPr/>
          <w:p>
            <w:pPr>
              <w:pStyle w:val="Compact"/>
            </w:pPr>
            <w:r>
              <w:t xml:space="preserve">0.039</w:t>
            </w:r>
          </w:p>
        </w:tc>
        <w:tc>
          <w:tcPr/>
          <w:p>
            <w:pPr>
              <w:pStyle w:val="Compact"/>
            </w:pPr>
            <w:r>
              <w:t xml:space="preserve">[12]</w:t>
            </w:r>
          </w:p>
        </w:tc>
      </w:tr>
      <w:tr>
        <w:tc>
          <w:tcPr/>
          <w:p>
            <w:pPr>
              <w:pStyle w:val="Compact"/>
            </w:pPr>
            <m:oMath>
              <m:sSup>
                <m:e>
                  <m:r>
                    <m:t>p</m:t>
                  </m:r>
                </m:e>
                <m:sup>
                  <m:r>
                    <m:t>C</m:t>
                  </m:r>
                  <m:r>
                    <m:t>C</m:t>
                  </m:r>
                  <m:r>
                    <m:rPr>
                      <m:sty m:val="p"/>
                    </m:rPr>
                    <m:t>→</m:t>
                  </m:r>
                  <m:r>
                    <m:t>H</m:t>
                  </m:r>
                  <m:r>
                    <m:t>C</m:t>
                  </m:r>
                  <m:r>
                    <m:t>C</m:t>
                  </m:r>
                </m:sup>
              </m:sSup>
            </m:oMath>
          </w:p>
        </w:tc>
        <w:tc>
          <w:tcPr/>
          <w:p>
            <w:pPr>
              <w:pStyle w:val="Compact"/>
            </w:pPr>
            <w:r>
              <w:t xml:space="preserve">Progression, compensated cirrhosis to liver cancer</w:t>
            </w:r>
          </w:p>
        </w:tc>
        <w:tc>
          <w:tcPr/>
          <w:p>
            <w:pPr>
              <w:pStyle w:val="Compact"/>
            </w:pPr>
            <w:r>
              <w:t xml:space="preserve">0.014</w:t>
            </w:r>
          </w:p>
        </w:tc>
        <w:tc>
          <w:tcPr/>
          <w:p>
            <w:pPr>
              <w:pStyle w:val="Compact"/>
            </w:pPr>
            <w:r>
              <w:t xml:space="preserve">[12]</w:t>
            </w:r>
          </w:p>
        </w:tc>
      </w:tr>
      <w:tr>
        <w:tc>
          <w:tcPr/>
          <w:p>
            <w:pPr>
              <w:pStyle w:val="Compact"/>
            </w:pPr>
            <m:oMath>
              <m:sSup>
                <m:e>
                  <m:r>
                    <m:t>p</m:t>
                  </m:r>
                </m:e>
                <m:sup>
                  <m:r>
                    <m:t>D</m:t>
                  </m:r>
                  <m:r>
                    <m:t>C</m:t>
                  </m:r>
                  <m:r>
                    <m:rPr>
                      <m:sty m:val="p"/>
                    </m:rPr>
                    <m:t>→</m:t>
                  </m:r>
                  <m:r>
                    <m:t>H</m:t>
                  </m:r>
                  <m:r>
                    <m:t>C</m:t>
                  </m:r>
                  <m:r>
                    <m:t>C</m:t>
                  </m:r>
                </m:sup>
              </m:sSup>
            </m:oMath>
          </w:p>
        </w:tc>
        <w:tc>
          <w:tcPr/>
          <w:p>
            <w:pPr>
              <w:pStyle w:val="Compact"/>
            </w:pPr>
            <w:r>
              <w:t xml:space="preserve">Progression, decompensated cirrhosis to liver cancer</w:t>
            </w:r>
          </w:p>
        </w:tc>
        <w:tc>
          <w:tcPr/>
          <w:p>
            <w:pPr>
              <w:pStyle w:val="Compact"/>
            </w:pPr>
            <w:r>
              <w:t xml:space="preserve">0.014</w:t>
            </w:r>
          </w:p>
        </w:tc>
        <w:tc>
          <w:tcPr/>
          <w:p>
            <w:pPr>
              <w:pStyle w:val="Compact"/>
            </w:pPr>
            <w:r>
              <w:t xml:space="preserve">[12]</w:t>
            </w:r>
          </w:p>
        </w:tc>
      </w:tr>
      <w:tr>
        <w:tc>
          <w:tcPr/>
          <w:p>
            <w:pPr>
              <w:pStyle w:val="Compact"/>
            </w:pPr>
            <m:oMath>
              <m:sSubSup>
                <m:e>
                  <m:r>
                    <m:t>r</m:t>
                  </m:r>
                </m:e>
                <m:sub>
                  <m:r>
                    <m:t>3</m:t>
                  </m:r>
                </m:sub>
                <m:sup>
                  <m:r>
                    <m:t>N</m:t>
                  </m:r>
                  <m:r>
                    <m:t>C</m:t>
                  </m:r>
                  <m:r>
                    <m:rPr>
                      <m:sty m:val="p"/>
                    </m:rPr>
                    <m:t>→</m:t>
                  </m:r>
                  <m:r>
                    <m:t>C</m:t>
                  </m:r>
                  <m:r>
                    <m:t>C</m:t>
                  </m:r>
                </m:sup>
              </m:sSubSup>
              <m:r>
                <m:rPr>
                  <m:sty m:val="p"/>
                </m:rPr>
                <m:t>,</m:t>
              </m:r>
              <m:sSubSup>
                <m:e>
                  <m:r>
                    <m:t>r</m:t>
                  </m:r>
                </m:e>
                <m:sub>
                  <m:r>
                    <m:t>3</m:t>
                  </m:r>
                </m:sub>
                <m:sup>
                  <m:r>
                    <m:t>C</m:t>
                  </m:r>
                  <m:r>
                    <m:t>C</m:t>
                  </m:r>
                  <m:r>
                    <m:rPr>
                      <m:sty m:val="p"/>
                    </m:rPr>
                    <m:t>→</m:t>
                  </m:r>
                  <m:r>
                    <m:t>D</m:t>
                  </m:r>
                  <m:r>
                    <m:t>C</m:t>
                  </m:r>
                </m:sup>
              </m:sSubSup>
            </m:oMath>
          </w:p>
        </w:tc>
        <w:tc>
          <w:tcPr/>
          <w:p>
            <w:pPr>
              <w:pStyle w:val="Compact"/>
            </w:pPr>
            <w:r>
              <w:t xml:space="preserve">Relative risk for genotype 3, fibrosis</w:t>
            </w:r>
          </w:p>
        </w:tc>
        <w:tc>
          <w:tcPr/>
          <w:p>
            <w:pPr>
              <w:pStyle w:val="Compact"/>
            </w:pPr>
            <w:r>
              <w:t xml:space="preserve">1.36</w:t>
            </w:r>
          </w:p>
        </w:tc>
        <w:tc>
          <w:tcPr/>
          <w:p>
            <w:pPr>
              <w:pStyle w:val="Compact"/>
            </w:pPr>
            <w:r>
              <w:t xml:space="preserve">[6]</w:t>
            </w:r>
          </w:p>
        </w:tc>
      </w:tr>
      <w:tr>
        <w:tc>
          <w:tcPr/>
          <w:p>
            <w:pPr>
              <w:pStyle w:val="Compact"/>
            </w:pPr>
            <m:oMath>
              <m:sSubSup>
                <m:e>
                  <m:r>
                    <m:t>r</m:t>
                  </m:r>
                </m:e>
                <m:sub>
                  <m:r>
                    <m:t>3</m:t>
                  </m:r>
                </m:sub>
                <m:sup>
                  <m:r>
                    <m:t>C</m:t>
                  </m:r>
                  <m:r>
                    <m:t>C</m:t>
                  </m:r>
                  <m:r>
                    <m:rPr>
                      <m:sty m:val="p"/>
                    </m:rPr>
                    <m:t>→</m:t>
                  </m:r>
                  <m:r>
                    <m:t>H</m:t>
                  </m:r>
                  <m:r>
                    <m:t>C</m:t>
                  </m:r>
                  <m:r>
                    <m:t>C</m:t>
                  </m:r>
                </m:sup>
              </m:sSubSup>
              <m:r>
                <m:rPr>
                  <m:sty m:val="p"/>
                </m:rPr>
                <m:t>,</m:t>
              </m:r>
              <m:sSubSup>
                <m:e>
                  <m:r>
                    <m:t>r</m:t>
                  </m:r>
                </m:e>
                <m:sub>
                  <m:r>
                    <m:t>3</m:t>
                  </m:r>
                </m:sub>
                <m:sup>
                  <m:r>
                    <m:t>D</m:t>
                  </m:r>
                  <m:r>
                    <m:t>C</m:t>
                  </m:r>
                  <m:r>
                    <m:rPr>
                      <m:sty m:val="p"/>
                    </m:rPr>
                    <m:t>→</m:t>
                  </m:r>
                  <m:r>
                    <m:t>H</m:t>
                  </m:r>
                  <m:r>
                    <m:t>C</m:t>
                  </m:r>
                  <m:r>
                    <m:t>C</m:t>
                  </m:r>
                </m:sup>
              </m:sSubSup>
            </m:oMath>
          </w:p>
        </w:tc>
        <w:tc>
          <w:tcPr/>
          <w:p>
            <w:pPr>
              <w:pStyle w:val="Compact"/>
            </w:pPr>
            <w:r>
              <w:t xml:space="preserve">Relative risk for genotype 3, liver cancer</w:t>
            </w:r>
          </w:p>
        </w:tc>
        <w:tc>
          <w:tcPr/>
          <w:p>
            <w:pPr>
              <w:pStyle w:val="Compact"/>
            </w:pPr>
            <w:r>
              <w:t xml:space="preserve">1.93</w:t>
            </w:r>
          </w:p>
        </w:tc>
        <w:tc>
          <w:tcPr/>
          <w:p>
            <w:pPr>
              <w:pStyle w:val="Compact"/>
            </w:pPr>
            <w:r>
              <w:t xml:space="preserve">[6]</w:t>
            </w:r>
          </w:p>
        </w:tc>
      </w:tr>
      <w:tr>
        <w:tc>
          <w:tcPr/>
          <w:p>
            <w:pPr>
              <w:pStyle w:val="Compact"/>
            </w:pPr>
            <m:oMath>
              <m:sSup>
                <m:e>
                  <m:r>
                    <m:t>ϕ</m:t>
                  </m:r>
                </m:e>
                <m:sup>
                  <m:r>
                    <m:t>C</m:t>
                  </m:r>
                  <m:r>
                    <m:t>C</m:t>
                  </m:r>
                  <m:r>
                    <m:rPr>
                      <m:sty m:val="p"/>
                    </m:rPr>
                    <m:t>→</m:t>
                  </m:r>
                  <m:r>
                    <m:t>D</m:t>
                  </m:r>
                  <m:r>
                    <m:t>C</m:t>
                  </m:r>
                </m:sup>
              </m:sSup>
            </m:oMath>
          </w:p>
        </w:tc>
        <w:tc>
          <w:tcPr/>
          <w:p>
            <w:pPr>
              <w:pStyle w:val="Compact"/>
            </w:pPr>
            <w:r>
              <w:t xml:space="preserve">Relative progression after cure, compensated to decompensated</w:t>
            </w:r>
          </w:p>
        </w:tc>
        <w:tc>
          <w:tcPr/>
          <w:p>
            <w:pPr>
              <w:pStyle w:val="Compact"/>
            </w:pPr>
            <w:r>
              <w:t xml:space="preserve">0.07</w:t>
            </w:r>
          </w:p>
        </w:tc>
        <w:tc>
          <w:tcPr/>
          <w:p>
            <w:pPr>
              <w:pStyle w:val="Compact"/>
            </w:pPr>
            <w:r>
              <w:t xml:space="preserve">[7]</w:t>
            </w:r>
          </w:p>
        </w:tc>
      </w:tr>
      <w:tr>
        <w:tc>
          <w:tcPr/>
          <w:p>
            <w:pPr>
              <w:pStyle w:val="Compact"/>
            </w:pPr>
            <m:oMath>
              <m:sSup>
                <m:e>
                  <m:r>
                    <m:t>ϕ</m:t>
                  </m:r>
                </m:e>
                <m:sup>
                  <m:r>
                    <m:t>C</m:t>
                  </m:r>
                  <m:r>
                    <m:t>C</m:t>
                  </m:r>
                  <m:r>
                    <m:rPr>
                      <m:sty m:val="p"/>
                    </m:rPr>
                    <m:t>→</m:t>
                  </m:r>
                  <m:r>
                    <m:t>H</m:t>
                  </m:r>
                  <m:r>
                    <m:t>C</m:t>
                  </m:r>
                  <m:r>
                    <m:t>C</m:t>
                  </m:r>
                </m:sup>
              </m:sSup>
            </m:oMath>
          </w:p>
        </w:tc>
        <w:tc>
          <w:tcPr/>
          <w:p>
            <w:pPr>
              <w:pStyle w:val="Compact"/>
            </w:pPr>
            <w:r>
              <w:t xml:space="preserve">Relative progression after cure, compensated cirrhosis to liver cancer</w:t>
            </w:r>
          </w:p>
        </w:tc>
        <w:tc>
          <w:tcPr/>
          <w:p>
            <w:pPr>
              <w:pStyle w:val="Compact"/>
            </w:pPr>
            <w:r>
              <w:t xml:space="preserve">0.23</w:t>
            </w:r>
          </w:p>
        </w:tc>
        <w:tc>
          <w:tcPr/>
          <w:p>
            <w:pPr>
              <w:pStyle w:val="Compact"/>
            </w:pPr>
            <w:r>
              <w:t xml:space="preserve">[8]</w:t>
            </w:r>
          </w:p>
        </w:tc>
      </w:tr>
      <w:tr>
        <w:tc>
          <w:tcPr/>
          <w:p>
            <w:pPr>
              <w:pStyle w:val="Compact"/>
            </w:pPr>
            <m:oMath>
              <m:sSup>
                <m:e>
                  <m:r>
                    <m:t>ϕ</m:t>
                  </m:r>
                </m:e>
                <m:sup>
                  <m:r>
                    <m:t>D</m:t>
                  </m:r>
                  <m:r>
                    <m:t>C</m:t>
                  </m:r>
                  <m:r>
                    <m:rPr>
                      <m:sty m:val="p"/>
                    </m:rPr>
                    <m:t>→</m:t>
                  </m:r>
                  <m:r>
                    <m:t>H</m:t>
                  </m:r>
                  <m:r>
                    <m:t>C</m:t>
                  </m:r>
                  <m:r>
                    <m:t>C</m:t>
                  </m:r>
                </m:sup>
              </m:sSup>
            </m:oMath>
          </w:p>
        </w:tc>
        <w:tc>
          <w:tcPr/>
          <w:p>
            <w:pPr>
              <w:pStyle w:val="Compact"/>
            </w:pPr>
            <w:r>
              <w:t xml:space="preserve">Relative progression after cure, decompensated cirrhosis to liver cancer</w:t>
            </w:r>
          </w:p>
        </w:tc>
        <w:tc>
          <w:tcPr/>
          <w:p>
            <w:pPr>
              <w:pStyle w:val="Compact"/>
            </w:pPr>
            <w:r>
              <w:t xml:space="preserve">1.00</w:t>
            </w:r>
          </w:p>
        </w:tc>
        <w:tc>
          <w:tcPr/>
          <w:p>
            <w:pPr>
              <w:pStyle w:val="Compact"/>
            </w:pPr>
            <w:r>
              <w:t xml:space="preserve">Assumed</w:t>
            </w:r>
          </w:p>
        </w:tc>
      </w:tr>
      <w:tr>
        <w:tc>
          <w:tcPr/>
          <w:p>
            <w:pPr>
              <w:pStyle w:val="Compact"/>
            </w:pPr>
            <m:oMath>
              <m:sSub>
                <m:e>
                  <m:r>
                    <m:t>s</m:t>
                  </m:r>
                </m:e>
                <m:sub>
                  <m:r>
                    <m:t>v</m:t>
                  </m:r>
                </m:sub>
              </m:sSub>
            </m:oMath>
          </w:p>
        </w:tc>
        <w:tc>
          <w:tcPr/>
          <w:p>
            <w:pPr>
              <w:pStyle w:val="Compact"/>
            </w:pPr>
            <w:r>
              <w:t xml:space="preserve">Standardised mortality ratio, viraemic (a, c, t)</w:t>
            </w:r>
          </w:p>
        </w:tc>
        <w:tc>
          <w:tcPr/>
          <w:p>
            <w:pPr>
              <w:pStyle w:val="Compact"/>
            </w:pPr>
            <w:r>
              <w:t xml:space="preserve">9.52</w:t>
            </w:r>
          </w:p>
        </w:tc>
        <w:tc>
          <w:tcPr/>
          <w:p>
            <w:pPr>
              <w:pStyle w:val="Compact"/>
            </w:pPr>
            <w:r>
              <w:t xml:space="preserve">[11]</w:t>
            </w:r>
          </w:p>
        </w:tc>
      </w:tr>
      <w:tr>
        <w:tc>
          <w:tcPr/>
          <w:p>
            <w:pPr>
              <w:pStyle w:val="Compact"/>
            </w:pPr>
            <m:oMath>
              <m:sSub>
                <m:e>
                  <m:r>
                    <m:t>s</m:t>
                  </m:r>
                </m:e>
                <m:sub>
                  <m:r>
                    <m:t>n</m:t>
                  </m:r>
                </m:sub>
              </m:sSub>
            </m:oMath>
          </w:p>
        </w:tc>
        <w:tc>
          <w:tcPr/>
          <w:p>
            <w:pPr>
              <w:pStyle w:val="Compact"/>
            </w:pPr>
            <w:r>
              <w:t xml:space="preserve">Standardised mortality ratio, non-viraemic (u, r)</w:t>
            </w:r>
          </w:p>
        </w:tc>
        <w:tc>
          <w:tcPr/>
          <w:p>
            <w:pPr>
              <w:pStyle w:val="Compact"/>
            </w:pPr>
            <w:r>
              <w:t xml:space="preserve">4.73</w:t>
            </w:r>
          </w:p>
        </w:tc>
        <w:tc>
          <w:tcPr/>
          <w:p>
            <w:pPr>
              <w:pStyle w:val="Compact"/>
            </w:pPr>
            <w:r>
              <w:t xml:space="preserve">[11]</w:t>
            </w:r>
          </w:p>
        </w:tc>
      </w:tr>
      <w:tr>
        <w:tc>
          <w:tcPr/>
          <w:p>
            <w:pPr>
              <w:pStyle w:val="Compact"/>
            </w:pPr>
            <m:oMath>
              <m:sSup>
                <m:e>
                  <m:r>
                    <m:t>μ</m:t>
                  </m:r>
                </m:e>
                <m:sup>
                  <m:r>
                    <m:t>D</m:t>
                  </m:r>
                  <m:r>
                    <m:t>C</m:t>
                  </m:r>
                </m:sup>
              </m:sSup>
            </m:oMath>
          </w:p>
        </w:tc>
        <w:tc>
          <w:tcPr/>
          <w:p>
            <w:pPr>
              <w:pStyle w:val="Compact"/>
            </w:pPr>
            <w:r>
              <w:t xml:space="preserve">Excess mortality, decompensated cirrhosis (per year)</w:t>
            </w:r>
          </w:p>
        </w:tc>
        <w:tc>
          <w:tcPr/>
          <w:p>
            <w:pPr>
              <w:pStyle w:val="Compact"/>
            </w:pPr>
            <w:r>
              <w:t xml:space="preserve">0.13</w:t>
            </w:r>
          </w:p>
        </w:tc>
        <w:tc>
          <w:tcPr/>
          <w:p>
            <w:pPr>
              <w:pStyle w:val="Compact"/>
            </w:pPr>
            <w:r>
              <w:t xml:space="preserve">[12]</w:t>
            </w:r>
          </w:p>
        </w:tc>
      </w:tr>
      <w:tr>
        <w:tc>
          <w:tcPr/>
          <w:p>
            <w:pPr>
              <w:pStyle w:val="Compact"/>
            </w:pPr>
            <m:oMath>
              <m:sSup>
                <m:e>
                  <m:r>
                    <m:t>μ</m:t>
                  </m:r>
                </m:e>
                <m:sup>
                  <m:r>
                    <m:t>H</m:t>
                  </m:r>
                  <m:r>
                    <m:t>C</m:t>
                  </m:r>
                  <m:r>
                    <m:t>C</m:t>
                  </m:r>
                </m:sup>
              </m:sSup>
            </m:oMath>
          </w:p>
        </w:tc>
        <w:tc>
          <w:tcPr/>
          <w:p>
            <w:pPr>
              <w:pStyle w:val="Compact"/>
            </w:pPr>
            <w:r>
              <w:t xml:space="preserve">Excess mortality, liver cancer (per year)</w:t>
            </w:r>
          </w:p>
        </w:tc>
        <w:tc>
          <w:tcPr/>
          <w:p>
            <w:pPr>
              <w:pStyle w:val="Compact"/>
            </w:pPr>
            <w:r>
              <w:t xml:space="preserve">0.43</w:t>
            </w:r>
          </w:p>
        </w:tc>
        <w:tc>
          <w:tcPr/>
          <w:p>
            <w:pPr>
              <w:pStyle w:val="Compact"/>
            </w:pPr>
            <w:r>
              <w:t xml:space="preserve">[12]</w:t>
            </w:r>
          </w:p>
        </w:tc>
      </w:tr>
      <w:tr>
        <w:tc>
          <w:tcPr/>
          <w:p>
            <w:pPr>
              <w:pStyle w:val="Compact"/>
            </w:pPr>
            <m:oMath>
              <m:sSup>
                <m:e>
                  <m:r>
                    <m:t>ψ</m:t>
                  </m:r>
                </m:e>
                <m:sup>
                  <m:r>
                    <m:t>D</m:t>
                  </m:r>
                  <m:r>
                    <m:t>C</m:t>
                  </m:r>
                </m:sup>
              </m:sSup>
            </m:oMath>
          </w:p>
        </w:tc>
        <w:tc>
          <w:tcPr/>
          <w:p>
            <w:pPr>
              <w:pStyle w:val="Compact"/>
            </w:pPr>
            <w:r>
              <w:t xml:space="preserve">Relative excess mortality after treatment, stage 3</w:t>
            </w:r>
          </w:p>
        </w:tc>
        <w:tc>
          <w:tcPr/>
          <w:p>
            <w:pPr>
              <w:pStyle w:val="Compact"/>
            </w:pPr>
            <w:r>
              <w:t xml:space="preserve">0.50</w:t>
            </w:r>
          </w:p>
        </w:tc>
        <w:tc>
          <w:tcPr/>
          <w:p>
            <w:pPr>
              <w:pStyle w:val="Compact"/>
            </w:pPr>
            <w:r>
              <w:t xml:space="preserve">[9]</w:t>
            </w:r>
          </w:p>
        </w:tc>
      </w:tr>
      <w:tr>
        <w:tc>
          <w:tcPr/>
          <w:p>
            <w:pPr>
              <w:pStyle w:val="Compact"/>
            </w:pPr>
            <m:oMath>
              <m:sSup>
                <m:e>
                  <m:r>
                    <m:t>ψ</m:t>
                  </m:r>
                </m:e>
                <m:sup>
                  <m:r>
                    <m:t>H</m:t>
                  </m:r>
                  <m:r>
                    <m:t>C</m:t>
                  </m:r>
                  <m:r>
                    <m:t>C</m:t>
                  </m:r>
                </m:sup>
              </m:sSup>
            </m:oMath>
          </w:p>
        </w:tc>
        <w:tc>
          <w:tcPr/>
          <w:p>
            <w:pPr>
              <w:pStyle w:val="Compact"/>
            </w:pPr>
            <w:r>
              <w:t xml:space="preserve">Relative excess mortality after treatment, stage 4</w:t>
            </w:r>
          </w:p>
        </w:tc>
        <w:tc>
          <w:tcPr/>
          <w:p>
            <w:pPr>
              <w:pStyle w:val="Compact"/>
            </w:pPr>
            <w:r>
              <w:t xml:space="preserve">0.37</w:t>
            </w:r>
          </w:p>
        </w:tc>
        <w:tc>
          <w:tcPr/>
          <w:p>
            <w:pPr>
              <w:pStyle w:val="Compact"/>
            </w:pPr>
            <w:r>
              <w:t xml:space="preserve">[10]</w:t>
            </w:r>
          </w:p>
        </w:tc>
      </w:tr>
      <w:tr>
        <w:tc>
          <w:tcPr/>
          <w:p>
            <w:pPr>
              <w:pStyle w:val="Compact"/>
            </w:pPr>
            <m:oMath>
              <m:r>
                <m:t>π</m:t>
              </m:r>
            </m:oMath>
          </w:p>
        </w:tc>
        <w:tc>
          <w:tcPr/>
          <w:p>
            <w:pPr>
              <w:pStyle w:val="Compact"/>
            </w:pPr>
            <w:r>
              <w:t xml:space="preserve">Share returning to injecting after release</w:t>
            </w:r>
          </w:p>
        </w:tc>
        <w:tc>
          <w:tcPr/>
          <w:p>
            <w:pPr>
              <w:pStyle w:val="Compact"/>
            </w:pPr>
            <w:r>
              <w:t xml:space="preserve">0.72</w:t>
            </w:r>
          </w:p>
        </w:tc>
        <w:tc>
          <w:tcPr/>
          <w:p>
            <w:pPr>
              <w:pStyle w:val="Compact"/>
            </w:pPr>
            <w:r>
              <w:t xml:space="preserve">Fitted to prison records</w:t>
            </w:r>
          </w:p>
        </w:tc>
      </w:tr>
      <w:tr>
        <w:tc>
          <w:tcPr/>
          <w:p>
            <w:pPr>
              <w:pStyle w:val="Compact"/>
            </w:pPr>
            <m:oMath>
              <m:sSubSup>
                <m:e>
                  <m:r>
                    <m:t>λ</m:t>
                  </m:r>
                </m:e>
                <m:sub>
                  <m:r>
                    <m:t>i</m:t>
                  </m:r>
                </m:sub>
                <m:sup>
                  <m:r>
                    <m:rPr>
                      <m:sty m:val="p"/>
                    </m:rPr>
                    <m:t>(</m:t>
                  </m:r>
                  <m:r>
                    <m:t>3</m:t>
                  </m:r>
                  <m:r>
                    <m:rPr>
                      <m:sty m:val="p"/>
                    </m:rPr>
                    <m:t>)</m:t>
                  </m:r>
                </m:sup>
              </m:sSubSup>
            </m:oMath>
          </w:p>
        </w:tc>
        <w:tc>
          <w:tcPr/>
          <w:p>
            <w:pPr>
              <w:pStyle w:val="Compact"/>
            </w:pPr>
            <w:r>
              <w:t xml:space="preserve">Re-arrest rate (per year), by age</w:t>
            </w:r>
          </w:p>
        </w:tc>
        <w:tc>
          <w:tcPr/>
          <w:p>
            <w:pPr>
              <w:pStyle w:val="Compact"/>
            </w:pPr>
            <w:r>
              <w:t xml:space="preserve">0.548, 0.478, 0.469, 0.471, 0.384, 0.265</w:t>
            </w:r>
          </w:p>
        </w:tc>
        <w:tc>
          <w:tcPr/>
          <w:p>
            <w:pPr>
              <w:pStyle w:val="Compact"/>
            </w:pPr>
            <w:r>
              <w:t xml:space="preserve">Fitted to prison records</w:t>
            </w:r>
          </w:p>
        </w:tc>
      </w:tr>
      <w:tr>
        <w:tc>
          <w:tcPr/>
          <w:p>
            <w:pPr>
              <w:pStyle w:val="Compact"/>
            </w:pPr>
            <m:oMath>
              <m:r>
                <m:t>c</m:t>
              </m:r>
            </m:oMath>
          </w:p>
        </w:tc>
        <w:tc>
          <w:tcPr/>
          <w:p>
            <w:pPr>
              <w:pStyle w:val="Compact"/>
            </w:pPr>
            <w:r>
              <w:t xml:space="preserve">First arrest multiplier,</w:t>
            </w:r>
            <w:r>
              <w:t xml:space="preserve"> </w:t>
            </w:r>
            <m:oMath>
              <m:sSubSup>
                <m:e>
                  <m:r>
                    <m:t>λ</m:t>
                  </m:r>
                </m:e>
                <m:sub>
                  <m:r>
                    <m:t>i</m:t>
                  </m:r>
                </m:sub>
                <m:sup>
                  <m:r>
                    <m:rPr>
                      <m:sty m:val="p"/>
                    </m:rPr>
                    <m:t>(</m:t>
                  </m:r>
                  <m:r>
                    <m:t>1</m:t>
                  </m:r>
                  <m:r>
                    <m:rPr>
                      <m:sty m:val="p"/>
                    </m:rPr>
                    <m:t>)</m:t>
                  </m:r>
                </m:sup>
              </m:sSubSup>
              <m:r>
                <m:rPr>
                  <m:sty m:val="p"/>
                </m:rPr>
                <m:t>=</m:t>
              </m:r>
              <m:r>
                <m:t>c</m:t>
              </m:r>
              <m:r>
                <m:t> </m:t>
              </m:r>
              <m:sSubSup>
                <m:e>
                  <m:r>
                    <m:t>λ</m:t>
                  </m:r>
                </m:e>
                <m:sub>
                  <m:r>
                    <m:t>i</m:t>
                  </m:r>
                </m:sub>
                <m:sup>
                  <m:r>
                    <m:rPr>
                      <m:sty m:val="p"/>
                    </m:rPr>
                    <m:t>(</m:t>
                  </m:r>
                  <m:r>
                    <m:t>3</m:t>
                  </m:r>
                  <m:r>
                    <m:rPr>
                      <m:sty m:val="p"/>
                    </m:rPr>
                    <m:t>)</m:t>
                  </m:r>
                </m:sup>
              </m:sSubSup>
            </m:oMath>
          </w:p>
        </w:tc>
        <w:tc>
          <w:tcPr/>
          <w:p>
            <w:pPr>
              <w:pStyle w:val="Compact"/>
            </w:pPr>
            <w:r>
              <w:t xml:space="preserve">1.24 (95% interval 0.57 to 3.13)</w:t>
            </w:r>
          </w:p>
        </w:tc>
        <w:tc>
          <w:tcPr/>
          <w:p>
            <w:pPr>
              <w:pStyle w:val="Compact"/>
            </w:pPr>
            <w:r>
              <w:t xml:space="preserve">Calibrated (θ7)</w:t>
            </w:r>
          </w:p>
        </w:tc>
      </w:tr>
    </w:tbl>
    <w:p>
      <w:pPr>
        <w:pStyle w:val="BodyText"/>
      </w:pPr>
      <w:r>
        <w:t xml:space="preserve">Genotype specific cure rates were 0.976 (genotype 3) and 0.988 (other) in stages 1 and 2. In stage 3 they were 0.45 and 0.90 without ribavirin and 0.87 and 0.92 with ribavirin</w:t>
      </w:r>
      <w:r>
        <w:t xml:space="preserve"> </w:t>
      </w:r>
      <w:r>
        <w:t xml:space="preserve">[14,15]</w:t>
      </w:r>
      <w:r>
        <w:t xml:space="preserve">. Liver cancer used the stage 3 cure rate because no specific trial data exist.</w:t>
      </w:r>
    </w:p>
    <w:bookmarkEnd w:id="12"/>
    <w:bookmarkStart w:id="13" w:name="main-assumptions"/>
    <w:p>
      <w:pPr>
        <w:pStyle w:val="Heading2"/>
      </w:pPr>
      <w:r>
        <w:t xml:space="preserve">1.5 Main assumptions</w:t>
      </w:r>
    </w:p>
    <w:p>
      <w:pPr>
        <w:pStyle w:val="Compact"/>
        <w:numPr>
          <w:ilvl w:val="0"/>
          <w:numId w:val="1002"/>
        </w:numPr>
      </w:pPr>
      <w:r>
        <w:t xml:space="preserve">There is no lasting immunity after clearance or cure. Reinfection follows the same force of infection as first infection</w:t>
      </w:r>
      <w:r>
        <w:t xml:space="preserve"> </w:t>
      </w:r>
      <w:r>
        <w:t xml:space="preserve">[14]</w:t>
      </w:r>
      <w:r>
        <w:t xml:space="preserve">.</w:t>
      </w:r>
    </w:p>
    <w:p>
      <w:pPr>
        <w:pStyle w:val="Compact"/>
        <w:numPr>
          <w:ilvl w:val="0"/>
          <w:numId w:val="1002"/>
        </w:numPr>
      </w:pPr>
      <w:r>
        <w:t xml:space="preserve">Liver disease does not progress during acute infection.</w:t>
      </w:r>
    </w:p>
    <w:p>
      <w:pPr>
        <w:pStyle w:val="Compact"/>
        <w:numPr>
          <w:ilvl w:val="0"/>
          <w:numId w:val="1002"/>
        </w:numPr>
      </w:pPr>
      <w:r>
        <w:t xml:space="preserve">Fibrosis does not regress after cure.</w:t>
      </w:r>
    </w:p>
    <w:p>
      <w:pPr>
        <w:pStyle w:val="Compact"/>
        <w:numPr>
          <w:ilvl w:val="0"/>
          <w:numId w:val="1002"/>
        </w:numPr>
      </w:pPr>
      <w:r>
        <w:t xml:space="preserve">People in X do not relapse to injecting and cannot be reinfected.</w:t>
      </w:r>
    </w:p>
    <w:p>
      <w:pPr>
        <w:pStyle w:val="Compact"/>
        <w:numPr>
          <w:ilvl w:val="0"/>
          <w:numId w:val="1002"/>
        </w:numPr>
      </w:pPr>
      <w:r>
        <w:t xml:space="preserve">People on treatment are not infectious.</w:t>
      </w:r>
    </w:p>
    <w:p>
      <w:pPr>
        <w:pStyle w:val="Compact"/>
        <w:numPr>
          <w:ilvl w:val="0"/>
          <w:numId w:val="1002"/>
        </w:numPr>
      </w:pPr>
      <w:r>
        <w:t xml:space="preserve">The genotype mix is fixed over time.</w:t>
      </w:r>
    </w:p>
    <w:bookmarkEnd w:id="13"/>
    <w:bookmarkEnd w:id="14"/>
    <w:bookmarkStart w:id="24" w:name="data-and-calibration"/>
    <w:p>
      <w:pPr>
        <w:pStyle w:val="Heading1"/>
      </w:pPr>
      <w:r>
        <w:t xml:space="preserve">2. Data and calibration</w:t>
      </w:r>
    </w:p>
    <w:bookmarkStart w:id="15" w:name="targets"/>
    <w:p>
      <w:pPr>
        <w:pStyle w:val="Heading2"/>
      </w:pPr>
      <w:r>
        <w:t xml:space="preserve">2.1 Targets</w:t>
      </w:r>
    </w:p>
    <w:p>
      <w:pPr>
        <w:pStyle w:val="FirstParagraph"/>
      </w:pPr>
      <w:r>
        <w:t xml:space="preserve">The calibration targets were the 2015 HCV seroprevalence among people in prison in six age groups, from Singapore Prison Service screening data. Seroprevalence in the model is the share of people in states a, c, t and r among all people in J. No counts and no population sizes were used. Each observed seroprevalence</w:t>
      </w:r>
      <w:r>
        <w:t xml:space="preserve"> </w:t>
      </w:r>
      <m:oMath>
        <m:sSub>
          <m:e>
            <m:r>
              <m:t>y</m:t>
            </m:r>
          </m:e>
          <m:sub>
            <m:r>
              <m:t>i</m:t>
            </m:r>
          </m:sub>
        </m:sSub>
      </m:oMath>
      <w:r>
        <w:t xml:space="preserve"> </w:t>
      </w:r>
      <w:r>
        <w:t xml:space="preserve">had the likelihood</w:t>
      </w:r>
    </w:p>
    <w:p>
      <w:pPr>
        <w:pStyle w:val="BodyText"/>
      </w:pPr>
      <m:oMathPara>
        <m:oMathParaPr>
          <m:jc m:val="center"/>
        </m:oMathParaPr>
        <m:oMath>
          <m:sSub>
            <m:e>
              <m:r>
                <m:t>y</m:t>
              </m:r>
            </m:e>
            <m:sub>
              <m:r>
                <m:t>i</m:t>
              </m:r>
            </m:sub>
          </m:sSub>
          <m:r>
            <m:rPr>
              <m:sty m:val="p"/>
            </m:rPr>
            <m:t>∼</m:t>
          </m:r>
          <m:r>
            <m:rPr>
              <m:sty m:val="p"/>
            </m:rPr>
            <m:t>B</m:t>
          </m:r>
          <m:r>
            <m:rPr>
              <m:sty m:val="p"/>
            </m:rPr>
            <m:t>e</m:t>
          </m:r>
          <m:r>
            <m:rPr>
              <m:sty m:val="p"/>
            </m:rPr>
            <m:t>t</m:t>
          </m:r>
          <m:r>
            <m:rPr>
              <m:sty m:val="p"/>
            </m:rPr>
            <m:t>a</m:t>
          </m:r>
          <m:d>
            <m:dPr>
              <m:begChr m:val="("/>
              <m:sepChr m:val=""/>
              <m:endChr m:val=")"/>
              <m:grow/>
            </m:dPr>
            <m:e>
              <m:sSub>
                <m:e>
                  <m:r>
                    <m:t>p</m:t>
                  </m:r>
                </m:e>
                <m:sub>
                  <m:r>
                    <m:t>i</m:t>
                  </m:r>
                </m:sub>
              </m:sSub>
              <m:r>
                <m:t>ϕ</m:t>
              </m:r>
              <m:r>
                <m:rPr>
                  <m:sty m:val="p"/>
                </m:rPr>
                <m:t>,</m:t>
              </m:r>
              <m:r>
                <m:t> </m:t>
              </m:r>
              <m:r>
                <m:rPr>
                  <m:sty m:val="p"/>
                </m:rPr>
                <m:t>(</m:t>
              </m:r>
              <m:r>
                <m:t>1</m:t>
              </m:r>
              <m:r>
                <m:rPr>
                  <m:sty m:val="p"/>
                </m:rPr>
                <m:t>−</m:t>
              </m:r>
              <m:sSub>
                <m:e>
                  <m:r>
                    <m:t>p</m:t>
                  </m:r>
                </m:e>
                <m:sub>
                  <m:r>
                    <m:t>i</m:t>
                  </m:r>
                </m:sub>
              </m:sSub>
              <m:r>
                <m:rPr>
                  <m:sty m:val="p"/>
                </m:rPr>
                <m:t>)</m:t>
              </m:r>
              <m:r>
                <m:t>ϕ</m:t>
              </m:r>
            </m:e>
          </m:d>
          <m:r>
            <m:rPr>
              <m:sty m:val="p"/>
            </m:rPr>
            <m:t>,</m:t>
          </m:r>
        </m:oMath>
      </m:oMathPara>
    </w:p>
    <w:p>
      <w:pPr>
        <w:pStyle w:val="FirstParagraph"/>
      </w:pPr>
      <w:r>
        <w:t xml:space="preserve">where</w:t>
      </w:r>
      <w:r>
        <w:t xml:space="preserve"> </w:t>
      </w:r>
      <m:oMath>
        <m:sSub>
          <m:e>
            <m:r>
              <m:t>p</m:t>
            </m:r>
          </m:e>
          <m:sub>
            <m:r>
              <m:t>i</m:t>
            </m:r>
          </m:sub>
        </m:sSub>
      </m:oMath>
      <w:r>
        <w:t xml:space="preserve"> </w:t>
      </w:r>
      <w:r>
        <w:t xml:space="preserve">is the model value and</w:t>
      </w:r>
      <w:r>
        <w:t xml:space="preserve"> </w:t>
      </w:r>
      <m:oMath>
        <m:r>
          <m:t>ϕ</m:t>
        </m:r>
        <m:r>
          <m:rPr>
            <m:sty m:val="p"/>
          </m:rPr>
          <m:t>=</m:t>
        </m:r>
        <m:r>
          <m:t>100</m:t>
        </m:r>
      </m:oMath>
      <w:r>
        <w:t xml:space="preserve"> </w:t>
      </w:r>
      <w:r>
        <w:t xml:space="preserve">is a fixed precision. Its variance is</w:t>
      </w:r>
      <w:r>
        <w:t xml:space="preserve"> </w:t>
      </w:r>
      <m:oMath>
        <m:sSub>
          <m:e>
            <m:r>
              <m:t>p</m:t>
            </m:r>
          </m:e>
          <m:sub>
            <m:r>
              <m:t>i</m:t>
            </m:r>
          </m:sub>
        </m:sSub>
        <m:r>
          <m:rPr>
            <m:sty m:val="p"/>
          </m:rPr>
          <m:t>(</m:t>
        </m:r>
        <m:r>
          <m:t>1</m:t>
        </m:r>
        <m:r>
          <m:rPr>
            <m:sty m:val="p"/>
          </m:rPr>
          <m:t>−</m:t>
        </m:r>
        <m:sSub>
          <m:e>
            <m:r>
              <m:t>p</m:t>
            </m:r>
          </m:e>
          <m:sub>
            <m:r>
              <m:t>i</m:t>
            </m:r>
          </m:sub>
        </m:sSub>
        <m:r>
          <m:rPr>
            <m:sty m:val="p"/>
          </m:rPr>
          <m:t>)</m:t>
        </m:r>
        <m:r>
          <m:rPr>
            <m:sty m:val="p"/>
          </m:rPr>
          <m:t>/</m:t>
        </m:r>
        <m:r>
          <m:rPr>
            <m:sty m:val="p"/>
          </m:rPr>
          <m:t>(</m:t>
        </m:r>
        <m:r>
          <m:t>ϕ</m:t>
        </m:r>
        <m:r>
          <m:rPr>
            <m:sty m:val="p"/>
          </m:rPr>
          <m:t>+</m:t>
        </m:r>
        <m:r>
          <m:t>1</m:t>
        </m:r>
        <m:r>
          <m:rPr>
            <m:sty m:val="p"/>
          </m:rPr>
          <m:t>)</m:t>
        </m:r>
      </m:oMath>
      <w:r>
        <w:t xml:space="preserve">, a standard deviation of about 0.045 at</w:t>
      </w:r>
      <w:r>
        <w:t xml:space="preserve"> </w:t>
      </w:r>
      <m:oMath>
        <m:sSub>
          <m:e>
            <m:r>
              <m:t>p</m:t>
            </m:r>
          </m:e>
          <m:sub>
            <m:r>
              <m:t>i</m:t>
            </m:r>
          </m:sub>
        </m:sSub>
        <m:r>
          <m:rPr>
            <m:sty m:val="p"/>
          </m:rPr>
          <m:t>=</m:t>
        </m:r>
        <m:r>
          <m:t>0.3</m:t>
        </m:r>
      </m:oMath>
      <w:r>
        <w:t xml:space="preserve">. The six terms were independent.</w:t>
      </w:r>
    </w:p>
    <w:bookmarkEnd w:id="15"/>
    <w:bookmarkStart w:id="16" w:name="entry-into-injecting"/>
    <w:p>
      <w:pPr>
        <w:pStyle w:val="Heading2"/>
      </w:pPr>
      <w:r>
        <w:t xml:space="preserve">2.2 Entry into injecting</w:t>
      </w:r>
    </w:p>
    <w:p>
      <w:pPr>
        <w:pStyle w:val="FirstParagraph"/>
      </w:pPr>
      <w:r>
        <w:t xml:space="preserve">Entry into D was the 2015 number of new drug users by age published by the Singapore Department of Statistics</w:t>
      </w:r>
      <w:r>
        <w:t xml:space="preserve"> </w:t>
      </w:r>
      <w:r>
        <w:t xml:space="preserve">[17]</w:t>
      </w:r>
      <w:r>
        <w:t xml:space="preserve"> </w:t>
      </w:r>
      <w:r>
        <w:t xml:space="preserve">(Table S2), without scaling. The same counts set the equilibrium up to 2015 and were held constant from 2016 to 2030, so the projections isolate the effect of treatment and screening. These counts come from law enforcement records and are a proxy for entry into injecting.</w:t>
      </w:r>
    </w:p>
    <w:p>
      <w:pPr>
        <w:pStyle w:val="BodyText"/>
      </w:pPr>
      <w:r>
        <w:rPr>
          <w:b/>
          <w:bCs/>
        </w:rPr>
        <w:t xml:space="preserve">Table S2. New drug users by age group, Singapore, 2015 (entry into D in every model year).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&lt;20</w:t>
            </w:r>
          </w:p>
        </w:tc>
        <w:tc>
          <w:tcPr/>
          <w:p>
            <w:pPr>
              <w:pStyle w:val="Compact"/>
            </w:pPr>
            <w:r>
              <w:t xml:space="preserve">20–29</w:t>
            </w:r>
          </w:p>
        </w:tc>
        <w:tc>
          <w:tcPr/>
          <w:p>
            <w:pPr>
              <w:pStyle w:val="Compact"/>
            </w:pPr>
            <w:r>
              <w:t xml:space="preserve">30–39</w:t>
            </w:r>
          </w:p>
        </w:tc>
        <w:tc>
          <w:tcPr/>
          <w:p>
            <w:pPr>
              <w:pStyle w:val="Compact"/>
            </w:pPr>
            <w:r>
              <w:t xml:space="preserve">40–49</w:t>
            </w:r>
          </w:p>
        </w:tc>
        <w:tc>
          <w:tcPr/>
          <w:p>
            <w:pPr>
              <w:pStyle w:val="Compact"/>
            </w:pPr>
            <w:r>
              <w:t xml:space="preserve">50–59</w:t>
            </w:r>
          </w:p>
        </w:tc>
        <w:tc>
          <w:tcPr/>
          <w:p>
            <w:pPr>
              <w:pStyle w:val="Compact"/>
            </w:pPr>
            <w:r>
              <w:t xml:space="preserve">60+</w:t>
            </w:r>
          </w:p>
        </w:tc>
      </w:tr>
      <w:tr>
        <w:tc>
          <w:tcPr/>
          <w:p>
            <w:pPr>
              <w:pStyle w:val="Compact"/>
            </w:pPr>
            <w:r>
              <w:t xml:space="preserve">2015</w:t>
            </w:r>
          </w:p>
        </w:tc>
        <w:tc>
          <w:tcPr/>
          <w:p>
            <w:pPr>
              <w:pStyle w:val="Compact"/>
            </w:pPr>
            <w:r>
              <w:t xml:space="preserve">257</w:t>
            </w:r>
          </w:p>
        </w:tc>
        <w:tc>
          <w:tcPr/>
          <w:p>
            <w:pPr>
              <w:pStyle w:val="Compact"/>
            </w:pPr>
            <w:r>
              <w:t xml:space="preserve">644</w:t>
            </w:r>
          </w:p>
        </w:tc>
        <w:tc>
          <w:tcPr/>
          <w:p>
            <w:pPr>
              <w:pStyle w:val="Compact"/>
            </w:pPr>
            <w:r>
              <w:t xml:space="preserve">292</w:t>
            </w:r>
          </w:p>
        </w:tc>
        <w:tc>
          <w:tcPr/>
          <w:p>
            <w:pPr>
              <w:pStyle w:val="Compact"/>
            </w:pPr>
            <w:r>
              <w:t xml:space="preserve">94</w:t>
            </w:r>
          </w:p>
        </w:tc>
        <w:tc>
          <w:tcPr/>
          <w:p>
            <w:pPr>
              <w:pStyle w:val="Compact"/>
            </w:pPr>
            <w:r>
              <w:t xml:space="preserve">21</w:t>
            </w:r>
          </w:p>
        </w:tc>
        <w:tc>
          <w:tcPr/>
          <w:p>
            <w:pPr>
              <w:pStyle w:val="Compact"/>
            </w:pPr>
            <w:r>
              <w:t xml:space="preserve">1</w:t>
            </w:r>
          </w:p>
        </w:tc>
      </w:tr>
    </w:tbl>
    <w:bookmarkEnd w:id="16"/>
    <w:bookmarkStart w:id="17" w:name="calibrated-parameters-and-priors"/>
    <w:p>
      <w:pPr>
        <w:pStyle w:val="Heading2"/>
      </w:pPr>
      <w:r>
        <w:t xml:space="preserve">2.3 Calibrated parameters and priors</w:t>
      </w:r>
    </w:p>
    <w:p>
      <w:pPr>
        <w:pStyle w:val="FirstParagraph"/>
      </w:pPr>
      <w:r>
        <w:t xml:space="preserve">We estimated 7 parameters on the log scale. Parameters θ1 to θ6 multiply the contact rates of the six age groups relative to the contact matrix in the model code. Parameter θ7 is</w:t>
      </w:r>
      <w:r>
        <w:t xml:space="preserve"> </w:t>
      </w:r>
      <m:oMath>
        <m:r>
          <m:rPr>
            <m:sty m:val="p"/>
          </m:rPr>
          <m:t>log</m:t>
        </m:r>
        <m:r>
          <m:t>c</m:t>
        </m:r>
      </m:oMath>
      <w:r>
        <w:t xml:space="preserve">, the first arrest multiplier. Entry into age group</w:t>
      </w:r>
      <w:r>
        <w:t xml:space="preserve"> </w:t>
      </w:r>
      <m:oMath>
        <m:r>
          <m:t>i</m:t>
        </m:r>
      </m:oMath>
      <w:r>
        <w:t xml:space="preserve"> </w:t>
      </w:r>
      <w:r>
        <w:t xml:space="preserve">was the official count of new drug users,</w:t>
      </w:r>
      <w:r>
        <w:t xml:space="preserve"> </w:t>
      </w:r>
      <m:oMath>
        <m:sSub>
          <m:e>
            <m:r>
              <m:t>β</m:t>
            </m:r>
          </m:e>
          <m:sub>
            <m:r>
              <m:t>i</m:t>
            </m:r>
          </m:sub>
        </m:sSub>
      </m:oMath>
      <w:r>
        <w:t xml:space="preserve">, without a scale. The prior was fixed before fitting and did not use the data: θ1 to θ6 were each normal with mean 0 and standard deviation 1.5 (a 95% range of 0.05 to 19 times the contact rate), and θ7 was normal with mean 0 and standard deviation 0.5, centred on equal first and re-arrest rates. The prior was truncated to the bounds: contact scales 0.01 to 1,000 and</w:t>
      </w:r>
      <w:r>
        <w:t xml:space="preserve"> </w:t>
      </w:r>
      <m:oMath>
        <m:r>
          <m:t>c</m:t>
        </m:r>
      </m:oMath>
      <w:r>
        <w:t xml:space="preserve"> </w:t>
      </w:r>
      <w:r>
        <w:t xml:space="preserve">0.5 to 100. A deterministic Nelder Mead search with 8 starts found the posterior mode. The starts were θ = 0 and 7 random perturbations of it (standard deviation 0.9 on the log scale). Each start ran for up to 3,000 iterations and was then restarted from its own solution, up to 5 times, while the objective still fell by more than 0.001. All starts reached the same mode (negative log posterior -7.83, prevalence root mean square error 0.0130). Every model evaluation ran from model year 0 to 150. The last ten years had to be at equilibrium.</w:t>
      </w:r>
    </w:p>
    <w:p>
      <w:pPr>
        <w:pStyle w:val="BodyText"/>
      </w:pPr>
      <w:r>
        <w:t xml:space="preserve">With the standardised mortality ratios at the bounds of their 95% confidence intervals, the fit and</w:t>
      </w:r>
      <w:r>
        <w:t xml:space="preserve"> </w:t>
      </w:r>
      <m:oMath>
        <m:r>
          <m:t>c</m:t>
        </m:r>
      </m:oMath>
      <w:r>
        <w:t xml:space="preserve"> </w:t>
      </w:r>
      <w:r>
        <w:t xml:space="preserve">barely changed:</w:t>
      </w:r>
      <w:r>
        <w:t xml:space="preserve"> </w:t>
      </w:r>
      <m:oMath>
        <m:r>
          <m:t>c</m:t>
        </m:r>
      </m:oMath>
      <w:r>
        <w:t xml:space="preserve"> </w:t>
      </w:r>
      <w:r>
        <w:t xml:space="preserve">was 1.100 at the lower bounds and 1.097 at the upper bounds, with root mean square errors of 0.0119 and 0.0148 (3 starts each).</w:t>
      </w:r>
    </w:p>
    <w:bookmarkEnd w:id="17"/>
    <w:bookmarkStart w:id="18" w:name="posterior-sampling"/>
    <w:p>
      <w:pPr>
        <w:pStyle w:val="Heading2"/>
      </w:pPr>
      <w:r>
        <w:t xml:space="preserve">2.4 Posterior sampling</w:t>
      </w:r>
    </w:p>
    <w:p>
      <w:pPr>
        <w:pStyle w:val="FirstParagraph"/>
      </w:pPr>
      <w:r>
        <w:t xml:space="preserve">The posterior combined the prior and the beta likelihood for the six seroprevalences. Parameter sets outside the bounds or whose simulation failed the equilibrium check had zero posterior density. We sampled it with adaptive random walk Metropolis</w:t>
      </w:r>
      <w:r>
        <w:t xml:space="preserve"> </w:t>
      </w:r>
      <w:r>
        <w:t xml:space="preserve">[18]</w:t>
      </w:r>
      <w:r>
        <w:t xml:space="preserve">. Four chains started from independent prior draws. The initial proposal covariance was 0.01 times the prior variance. Adaptation began after 5,000 proposals, was refreshed every 50 proposals and was frozen after warmup. A 5% share of proposals always used the initial covariance. Each chain ran 50,000 model evaluations, of which 10,000 were warmup, giving 159,996 retained iterations. Every 10th iteration was stored (16,000 draws), and diagnostics used all retained iterations. Acceptance was 0.18 to 0.22. All parameters met the convergence checks (Table S3)</w:t>
      </w:r>
      <w:r>
        <w:t xml:space="preserve"> </w:t>
      </w:r>
      <w:r>
        <w:t xml:space="preserve">[19]</w:t>
      </w:r>
      <w:r>
        <w:t xml:space="preserve">.</w:t>
      </w:r>
    </w:p>
    <w:p>
      <w:pPr>
        <w:pStyle w:val="BodyText"/>
      </w:pPr>
      <w:r>
        <w:rPr>
          <w:b/>
          <w:bCs/>
        </w:rPr>
        <w:t xml:space="preserve">Table S3. Convergence diagnostics of the MCMC posterior.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Rank normalised R-hat</w:t>
            </w:r>
          </w:p>
        </w:tc>
        <w:tc>
          <w:tcPr/>
          <w:p>
            <w:pPr>
              <w:pStyle w:val="Compact"/>
            </w:pPr>
            <w:r>
              <w:t xml:space="preserve">Bulk ESS</w:t>
            </w:r>
          </w:p>
        </w:tc>
        <w:tc>
          <w:tcPr/>
          <w:p>
            <w:pPr>
              <w:pStyle w:val="Compact"/>
            </w:pPr>
            <w:r>
              <w:t xml:space="preserve">Tail ESS</w:t>
            </w:r>
          </w:p>
        </w:tc>
        <w:tc>
          <w:tcPr/>
          <w:p>
            <w:pPr>
              <w:pStyle w:val="Compact"/>
            </w:pPr>
            <w:r>
              <w:t xml:space="preserve">MCSE of mean / posterior SD</w:t>
            </w:r>
          </w:p>
        </w:tc>
      </w:tr>
      <w:tr>
        <w:tc>
          <w:tcPr/>
          <w:p>
            <w:pPr>
              <w:pStyle w:val="Compact"/>
            </w:pPr>
            <w:r>
              <w:t xml:space="preserve">θ1</w:t>
            </w:r>
          </w:p>
        </w:tc>
        <w:tc>
          <w:tcPr/>
          <w:p>
            <w:pPr>
              <w:pStyle w:val="Compact"/>
            </w:pPr>
            <w:r>
              <w:t xml:space="preserve">1.0012</w:t>
            </w:r>
          </w:p>
        </w:tc>
        <w:tc>
          <w:tcPr/>
          <w:p>
            <w:pPr>
              <w:pStyle w:val="Compact"/>
            </w:pPr>
            <w:r>
              <w:t xml:space="preserve">4,645</w:t>
            </w:r>
          </w:p>
        </w:tc>
        <w:tc>
          <w:tcPr/>
          <w:p>
            <w:pPr>
              <w:pStyle w:val="Compact"/>
            </w:pPr>
            <w:r>
              <w:t xml:space="preserve">5,825</w:t>
            </w:r>
          </w:p>
        </w:tc>
        <w:tc>
          <w:tcPr/>
          <w:p>
            <w:pPr>
              <w:pStyle w:val="Compact"/>
            </w:pPr>
            <w:r>
              <w:t xml:space="preserve">0.015</w:t>
            </w:r>
          </w:p>
        </w:tc>
      </w:tr>
      <w:tr>
        <w:tc>
          <w:tcPr/>
          <w:p>
            <w:pPr>
              <w:pStyle w:val="Compact"/>
            </w:pPr>
            <w:r>
              <w:t xml:space="preserve">θ2</w:t>
            </w:r>
          </w:p>
        </w:tc>
        <w:tc>
          <w:tcPr/>
          <w:p>
            <w:pPr>
              <w:pStyle w:val="Compact"/>
            </w:pPr>
            <w:r>
              <w:t xml:space="preserve">1.0017</w:t>
            </w:r>
          </w:p>
        </w:tc>
        <w:tc>
          <w:tcPr/>
          <w:p>
            <w:pPr>
              <w:pStyle w:val="Compact"/>
            </w:pPr>
            <w:r>
              <w:t xml:space="preserve">3,483</w:t>
            </w:r>
          </w:p>
        </w:tc>
        <w:tc>
          <w:tcPr/>
          <w:p>
            <w:pPr>
              <w:pStyle w:val="Compact"/>
            </w:pPr>
            <w:r>
              <w:t xml:space="preserve">3,831</w:t>
            </w:r>
          </w:p>
        </w:tc>
        <w:tc>
          <w:tcPr/>
          <w:p>
            <w:pPr>
              <w:pStyle w:val="Compact"/>
            </w:pPr>
            <w:r>
              <w:t xml:space="preserve">0.017</w:t>
            </w:r>
          </w:p>
        </w:tc>
      </w:tr>
      <w:tr>
        <w:tc>
          <w:tcPr/>
          <w:p>
            <w:pPr>
              <w:pStyle w:val="Compact"/>
            </w:pPr>
            <w:r>
              <w:t xml:space="preserve">θ3</w:t>
            </w:r>
          </w:p>
        </w:tc>
        <w:tc>
          <w:tcPr/>
          <w:p>
            <w:pPr>
              <w:pStyle w:val="Compact"/>
            </w:pPr>
            <w:r>
              <w:t xml:space="preserve">1.0013</w:t>
            </w:r>
          </w:p>
        </w:tc>
        <w:tc>
          <w:tcPr/>
          <w:p>
            <w:pPr>
              <w:pStyle w:val="Compact"/>
            </w:pPr>
            <w:r>
              <w:t xml:space="preserve">3,428</w:t>
            </w:r>
          </w:p>
        </w:tc>
        <w:tc>
          <w:tcPr/>
          <w:p>
            <w:pPr>
              <w:pStyle w:val="Compact"/>
            </w:pPr>
            <w:r>
              <w:t xml:space="preserve">4,190</w:t>
            </w:r>
          </w:p>
        </w:tc>
        <w:tc>
          <w:tcPr/>
          <w:p>
            <w:pPr>
              <w:pStyle w:val="Compact"/>
            </w:pPr>
            <w:r>
              <w:t xml:space="preserve">0.017</w:t>
            </w:r>
          </w:p>
        </w:tc>
      </w:tr>
      <w:tr>
        <w:tc>
          <w:tcPr/>
          <w:p>
            <w:pPr>
              <w:pStyle w:val="Compact"/>
            </w:pPr>
            <w:r>
              <w:t xml:space="preserve">θ4</w:t>
            </w:r>
          </w:p>
        </w:tc>
        <w:tc>
          <w:tcPr/>
          <w:p>
            <w:pPr>
              <w:pStyle w:val="Compact"/>
            </w:pPr>
            <w:r>
              <w:t xml:space="preserve">1.0012</w:t>
            </w:r>
          </w:p>
        </w:tc>
        <w:tc>
          <w:tcPr/>
          <w:p>
            <w:pPr>
              <w:pStyle w:val="Compact"/>
            </w:pPr>
            <w:r>
              <w:t xml:space="preserve">3,250</w:t>
            </w:r>
          </w:p>
        </w:tc>
        <w:tc>
          <w:tcPr/>
          <w:p>
            <w:pPr>
              <w:pStyle w:val="Compact"/>
            </w:pPr>
            <w:r>
              <w:t xml:space="preserve">3,487</w:t>
            </w:r>
          </w:p>
        </w:tc>
        <w:tc>
          <w:tcPr/>
          <w:p>
            <w:pPr>
              <w:pStyle w:val="Compact"/>
            </w:pPr>
            <w:r>
              <w:t xml:space="preserve">0.019</w:t>
            </w:r>
          </w:p>
        </w:tc>
      </w:tr>
      <w:tr>
        <w:tc>
          <w:tcPr/>
          <w:p>
            <w:pPr>
              <w:pStyle w:val="Compact"/>
            </w:pPr>
            <w:r>
              <w:t xml:space="preserve">θ5</w:t>
            </w:r>
          </w:p>
        </w:tc>
        <w:tc>
          <w:tcPr/>
          <w:p>
            <w:pPr>
              <w:pStyle w:val="Compact"/>
            </w:pPr>
            <w:r>
              <w:t xml:space="preserve">1.0019</w:t>
            </w:r>
          </w:p>
        </w:tc>
        <w:tc>
          <w:tcPr/>
          <w:p>
            <w:pPr>
              <w:pStyle w:val="Compact"/>
            </w:pPr>
            <w:r>
              <w:t xml:space="preserve">3,815</w:t>
            </w:r>
          </w:p>
        </w:tc>
        <w:tc>
          <w:tcPr/>
          <w:p>
            <w:pPr>
              <w:pStyle w:val="Compact"/>
            </w:pPr>
            <w:r>
              <w:t xml:space="preserve">5,520</w:t>
            </w:r>
          </w:p>
        </w:tc>
        <w:tc>
          <w:tcPr/>
          <w:p>
            <w:pPr>
              <w:pStyle w:val="Compact"/>
            </w:pPr>
            <w:r>
              <w:t xml:space="preserve">0.016</w:t>
            </w:r>
          </w:p>
        </w:tc>
      </w:tr>
      <w:tr>
        <w:tc>
          <w:tcPr/>
          <w:p>
            <w:pPr>
              <w:pStyle w:val="Compact"/>
            </w:pPr>
            <w:r>
              <w:t xml:space="preserve">θ6</w:t>
            </w:r>
          </w:p>
        </w:tc>
        <w:tc>
          <w:tcPr/>
          <w:p>
            <w:pPr>
              <w:pStyle w:val="Compact"/>
            </w:pPr>
            <w:r>
              <w:t xml:space="preserve">1.0015</w:t>
            </w:r>
          </w:p>
        </w:tc>
        <w:tc>
          <w:tcPr/>
          <w:p>
            <w:pPr>
              <w:pStyle w:val="Compact"/>
            </w:pPr>
            <w:r>
              <w:t xml:space="preserve">4,618</w:t>
            </w:r>
          </w:p>
        </w:tc>
        <w:tc>
          <w:tcPr/>
          <w:p>
            <w:pPr>
              <w:pStyle w:val="Compact"/>
            </w:pPr>
            <w:r>
              <w:t xml:space="preserve">6,990</w:t>
            </w:r>
          </w:p>
        </w:tc>
        <w:tc>
          <w:tcPr/>
          <w:p>
            <w:pPr>
              <w:pStyle w:val="Compact"/>
            </w:pPr>
            <w:r>
              <w:t xml:space="preserve">0.015</w:t>
            </w:r>
          </w:p>
        </w:tc>
      </w:tr>
      <w:tr>
        <w:tc>
          <w:tcPr/>
          <w:p>
            <w:pPr>
              <w:pStyle w:val="Compact"/>
            </w:pPr>
            <w:r>
              <w:t xml:space="preserve">θ7</w:t>
            </w:r>
          </w:p>
        </w:tc>
        <w:tc>
          <w:tcPr/>
          <w:p>
            <w:pPr>
              <w:pStyle w:val="Compact"/>
            </w:pPr>
            <w:r>
              <w:t xml:space="preserve">1.0007</w:t>
            </w:r>
          </w:p>
        </w:tc>
        <w:tc>
          <w:tcPr/>
          <w:p>
            <w:pPr>
              <w:pStyle w:val="Compact"/>
            </w:pPr>
            <w:r>
              <w:t xml:space="preserve">4,102</w:t>
            </w:r>
          </w:p>
        </w:tc>
        <w:tc>
          <w:tcPr/>
          <w:p>
            <w:pPr>
              <w:pStyle w:val="Compact"/>
            </w:pPr>
            <w:r>
              <w:t xml:space="preserve">5,841</w:t>
            </w:r>
          </w:p>
        </w:tc>
        <w:tc>
          <w:tcPr/>
          <w:p>
            <w:pPr>
              <w:pStyle w:val="Compact"/>
            </w:pPr>
            <w:r>
              <w:t xml:space="preserve">0.016</w:t>
            </w:r>
          </w:p>
        </w:tc>
      </w:tr>
    </w:tbl>
    <w:bookmarkEnd w:id="18"/>
    <w:bookmarkStart w:id="19" w:name="X716270ea85265bdd2a06f5bb2cf57a20f754157"/>
    <w:p>
      <w:pPr>
        <w:pStyle w:val="Heading2"/>
      </w:pPr>
      <w:r>
        <w:t xml:space="preserve">2.5 Comparison with neural posterior estimation</w:t>
      </w:r>
    </w:p>
    <w:p>
      <w:pPr>
        <w:pStyle w:val="FirstParagraph"/>
      </w:pPr>
      <w:r>
        <w:t xml:space="preserve">We checked the MCMC posterior against single round neural posterior estimation (NPE)</w:t>
      </w:r>
      <w:r>
        <w:t xml:space="preserve"> </w:t>
      </w:r>
      <w:r>
        <w:t xml:space="preserve">[20]</w:t>
      </w:r>
      <w:r>
        <w:t xml:space="preserve">, implemented in the sbi package</w:t>
      </w:r>
      <w:r>
        <w:t xml:space="preserve"> </w:t>
      </w:r>
      <w:r>
        <w:t xml:space="preserve">[21]</w:t>
      </w:r>
      <w:r>
        <w:t xml:space="preserve">. Both methods used the same prior, likelihood, solver and equilibrium restriction. We drew 50,000 parameter sets from the truncated prior by Latin hypercube sampling. Of these, 49,945 simulations were valid. Exclusions were 0 draws outside the bounds, 43 equilibrium failures and 12 non-finite simulations; excluded draws are dropped, not replaced. Beta observation noise with the same precision was added to each simulated seroprevalence. The estimator was an equal weight ensemble of 5 masked autoregressive flows, each with 50 hidden features and 5 transforms</w:t>
      </w:r>
      <w:r>
        <w:t xml:space="preserve"> </w:t>
      </w:r>
      <w:r>
        <w:t xml:space="preserve">[22]</w:t>
      </w:r>
      <w:r>
        <w:t xml:space="preserve">, trained in one round with the standard loss from different random seeds. Posterior draws outside the bounds were rejected.</w:t>
      </w:r>
    </w:p>
    <w:p>
      <w:pPr>
        <w:pStyle w:val="BodyText"/>
      </w:pPr>
      <w:r>
        <w:t xml:space="preserve">Simulation based calibration</w:t>
      </w:r>
      <w:r>
        <w:t xml:space="preserve"> </w:t>
      </w:r>
      <w:r>
        <w:t xml:space="preserve">[23]</w:t>
      </w:r>
      <w:r>
        <w:t xml:space="preserve"> </w:t>
      </w:r>
      <w:r>
        <w:t xml:space="preserve">on 998 datasets simulated from independent prior draws showed a well calibrated neural posterior on average: for each parameter, 95% interval coverage was 0.933 to 0.960 and 90% coverage 0.872 to 0.911. No rank histogram showed systematic skew. As a smaller direct check, we reran the MCMC on 8 of these simulated datasets, with one chain of 30,000 evaluations each. Pooled 95% coverage was 0.96 and 90% coverage 0.89 over 56 ranks; this guards only against gross miscalibration.</w:t>
      </w:r>
    </w:p>
    <w:p>
      <w:pPr>
        <w:pStyle w:val="BodyText"/>
      </w:pPr>
      <w:r>
        <w:t xml:space="preserve">At the observed data, however, the neural posterior did not match the MCMC posterior (Table S4). Of 4,000 random neural posterior draws, 1,329 (33%) failed the equilibrium check, which the MCMC treats as impossible; they were dropped before the comparison. Its 95% intervals were on average 28% wider than the MCMC intervals, and no parameter passed all three checks. Calibration on average across prior datasets does not guarantee accuracy at one dataset; with six noisy summaries and a wide prior, the network spends its capacity over the whole prior range. The policy medians were less sensitive: they differed from the MCMC results by at most 0.3%, although the share of draws meeting both targets at 5,000 tests a year with 25% to F differed by 11 percentage points. We used the MCMC posterior for all results. The full comparison is in the project repository (</w:t>
      </w:r>
      <w:r>
        <w:rPr>
          <w:rStyle w:val="VerbatimChar"/>
        </w:rPr>
        <w:t xml:space="preserve">output/calibration/npe_vs_mcmc/report.md</w:t>
      </w:r>
      <w:r>
        <w:t xml:space="preserve">).</w:t>
      </w:r>
    </w:p>
    <w:p>
      <w:pPr>
        <w:pStyle w:val="BodyText"/>
      </w:pPr>
      <w:r>
        <w:rPr>
          <w:b/>
          <w:bCs/>
        </w:rPr>
        <w:t xml:space="preserve">Table S4. Single round NPE compared with the MCMC posterior.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Prior simulations (valid)</w:t>
            </w:r>
          </w:p>
        </w:tc>
        <w:tc>
          <w:tcPr/>
          <w:p>
            <w:pPr>
              <w:pStyle w:val="Compact"/>
            </w:pPr>
            <w:r>
              <w:t xml:space="preserve">Worst absolute mean difference (posterior SD)</w:t>
            </w:r>
          </w:p>
        </w:tc>
        <w:tc>
          <w:tcPr/>
          <w:p>
            <w:pPr>
              <w:pStyle w:val="Compact"/>
            </w:pPr>
            <w:r>
              <w:t xml:space="preserve">Worst 95% endpoint difference (posterior SD)</w:t>
            </w:r>
          </w:p>
        </w:tc>
        <w:tc>
          <w:tcPr/>
          <w:p>
            <w:pPr>
              <w:pStyle w:val="Compact"/>
            </w:pPr>
            <w:r>
              <w:t xml:space="preserve">95% interval width ratio, mean (range)</w:t>
            </w:r>
          </w:p>
        </w:tc>
        <w:tc>
          <w:tcPr/>
          <w:p>
            <w:pPr>
              <w:pStyle w:val="Compact"/>
            </w:pPr>
            <w:r>
              <w:t xml:space="preserve">Parameters passing all checks</w:t>
            </w:r>
          </w:p>
        </w:tc>
        <w:tc>
          <w:tcPr/>
          <w:p>
            <w:pPr>
              <w:pStyle w:val="Compact"/>
            </w:pPr>
            <w:r>
              <w:t xml:space="preserve">Worst policy error</w:t>
            </w:r>
          </w:p>
        </w:tc>
        <w:tc>
          <w:tcPr/>
          <w:p>
            <w:pPr>
              <w:pStyle w:val="Compact"/>
            </w:pPr>
            <w:r>
              <w:t xml:space="preserve">Worst joint pass probability error (percentage points)</w:t>
            </w:r>
          </w:p>
        </w:tc>
      </w:tr>
      <w:tr>
        <w:tc>
          <w:tcPr/>
          <w:p>
            <w:pPr>
              <w:pStyle w:val="Compact"/>
            </w:pPr>
            <w:r>
              <w:t xml:space="preserve">Single round NPE, 5 network ensemble, Latin hypercube sampling</w:t>
            </w:r>
          </w:p>
        </w:tc>
        <w:tc>
          <w:tcPr/>
          <w:p>
            <w:pPr>
              <w:pStyle w:val="Compact"/>
            </w:pPr>
            <w:r>
              <w:t xml:space="preserve">50,000 (49,945)</w:t>
            </w:r>
          </w:p>
        </w:tc>
        <w:tc>
          <w:tcPr/>
          <w:p>
            <w:pPr>
              <w:pStyle w:val="Compact"/>
            </w:pPr>
            <w:r>
              <w:t xml:space="preserve">0.56</w:t>
            </w:r>
          </w:p>
        </w:tc>
        <w:tc>
          <w:tcPr/>
          <w:p>
            <w:pPr>
              <w:pStyle w:val="Compact"/>
            </w:pPr>
            <w:r>
              <w:t xml:space="preserve">2.12</w:t>
            </w:r>
          </w:p>
        </w:tc>
        <w:tc>
          <w:tcPr/>
          <w:p>
            <w:pPr>
              <w:pStyle w:val="Compact"/>
            </w:pPr>
            <w:r>
              <w:t xml:space="preserve">1.278 (1.00 to 1.89)</w:t>
            </w:r>
          </w:p>
        </w:tc>
        <w:tc>
          <w:tcPr/>
          <w:p>
            <w:pPr>
              <w:pStyle w:val="Compact"/>
            </w:pPr>
            <w:r>
              <w:t xml:space="preserve">0%</w:t>
            </w:r>
          </w:p>
        </w:tc>
        <w:tc>
          <w:tcPr/>
          <w:p>
            <w:pPr>
              <w:pStyle w:val="Compact"/>
            </w:pPr>
            <w:r>
              <w:t xml:space="preserve">5.8%</w:t>
            </w:r>
          </w:p>
        </w:tc>
        <w:tc>
          <w:tcPr/>
          <w:p>
            <w:pPr>
              <w:pStyle w:val="Compact"/>
            </w:pPr>
            <w:r>
              <w:t xml:space="preserve">10.9</w:t>
            </w:r>
          </w:p>
        </w:tc>
      </w:tr>
    </w:tbl>
    <w:p>
      <w:pPr>
        <w:pStyle w:val="BodyText"/>
      </w:pPr>
      <w:r>
        <w:t xml:space="preserve">Checks: absolute mean difference at most 0.1 SD, 95% interval endpoints within 0.2 SD and width ratio between 0.9 and 1.1. Policy errors compare 1,000 valid neural posterior states (of 1,000) with the 2,000 MCMC states used for the scenarios; the worst policy error is for discounted cost.</w:t>
      </w:r>
    </w:p>
    <w:bookmarkEnd w:id="19"/>
    <w:bookmarkStart w:id="23" w:name="posterior-distribution-and-model-fit"/>
    <w:p>
      <w:pPr>
        <w:pStyle w:val="Heading2"/>
      </w:pPr>
      <w:r>
        <w:t xml:space="preserve">2.6 Posterior distribution and model fit</w:t>
      </w:r>
    </w:p>
    <w:p>
      <w:pPr>
        <w:pStyle w:val="FirstParagraph"/>
      </w:pPr>
      <w:r>
        <w:t xml:space="preserve">Table S5 gives the posterior of each parameter. For θ5, θ6 and θ7 the posterior standard deviation was more than 0.7 times the prior standard deviation, so these parameters remain mostly informed by the prior. This includes</w:t>
      </w:r>
      <w:r>
        <w:t xml:space="preserve"> </w:t>
      </w:r>
      <m:oMath>
        <m:r>
          <m:t>c</m:t>
        </m:r>
      </m:oMath>
      <w:r>
        <w:t xml:space="preserve"> </w:t>
      </w:r>
      <w:r>
        <w:t xml:space="preserve">(θ7).</w:t>
      </w:r>
    </w:p>
    <w:p>
      <w:pPr>
        <w:pStyle w:val="BodyText"/>
      </w:pPr>
      <w:r>
        <w:rPr>
          <w:b/>
          <w:bCs/>
        </w:rPr>
        <w:t xml:space="preserve">Table S5. Nelder Mead posterior mode, prior and posterior median (95% interval) of the log scale parameters.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Posterior mode</w:t>
            </w:r>
          </w:p>
        </w:tc>
        <w:tc>
          <w:tcPr/>
          <w:p>
            <w:pPr>
              <w:pStyle w:val="Compact"/>
            </w:pPr>
            <w:r>
              <w:t xml:space="preserve">Prior</w:t>
            </w:r>
          </w:p>
        </w:tc>
        <w:tc>
          <w:tcPr/>
          <w:p>
            <w:pPr>
              <w:pStyle w:val="Compact"/>
            </w:pPr>
            <w:r>
              <w:t xml:space="preserve">Posterior median (95% interval)</w:t>
            </w:r>
          </w:p>
        </w:tc>
        <w:tc>
          <w:tcPr/>
          <w:p>
            <w:pPr>
              <w:pStyle w:val="Compact"/>
            </w:pPr>
            <w:r>
              <w:t xml:space="preserve">Posterior SD</w:t>
            </w:r>
          </w:p>
        </w:tc>
        <w:tc>
          <w:tcPr/>
          <w:p>
            <w:pPr>
              <w:pStyle w:val="Compact"/>
            </w:pPr>
            <w:r>
              <w:t xml:space="preserve">Posterior SD / prior SD</w:t>
            </w:r>
          </w:p>
        </w:tc>
      </w:tr>
      <w:tr>
        <w:tc>
          <w:tcPr/>
          <w:p>
            <w:pPr>
              <w:pStyle w:val="Compact"/>
            </w:pPr>
            <w:r>
              <w:t xml:space="preserve">θ1</w:t>
            </w:r>
          </w:p>
        </w:tc>
        <w:tc>
          <w:tcPr/>
          <w:p>
            <w:pPr>
              <w:pStyle w:val="Compact"/>
            </w:pPr>
            <w:r>
              <w:t xml:space="preserve">Contact scale, age &lt;20</w:t>
            </w:r>
          </w:p>
        </w:tc>
        <w:tc>
          <w:tcPr/>
          <w:p>
            <w:pPr>
              <w:pStyle w:val="Compact"/>
            </w:pPr>
            <w:r>
              <w:t xml:space="preserve">1.626</w:t>
            </w:r>
          </w:p>
        </w:tc>
        <w:tc>
          <w:tcPr/>
          <w:p>
            <w:pPr>
              <w:pStyle w:val="Compact"/>
            </w:pPr>
            <w:r>
              <w:t xml:space="preserve">N(0, 1.5)</w:t>
            </w:r>
          </w:p>
        </w:tc>
        <w:tc>
          <w:tcPr/>
          <w:p>
            <w:pPr>
              <w:pStyle w:val="Compact"/>
            </w:pPr>
            <w:r>
              <w:t xml:space="preserve">1.593 (0.942 to 2.058)</w:t>
            </w:r>
          </w:p>
        </w:tc>
        <w:tc>
          <w:tcPr/>
          <w:p>
            <w:pPr>
              <w:pStyle w:val="Compact"/>
            </w:pPr>
            <w:r>
              <w:t xml:space="preserve">0.283</w:t>
            </w:r>
          </w:p>
        </w:tc>
        <w:tc>
          <w:tcPr/>
          <w:p>
            <w:pPr>
              <w:pStyle w:val="Compact"/>
            </w:pPr>
            <w:r>
              <w:t xml:space="preserve">0.19</w:t>
            </w:r>
          </w:p>
        </w:tc>
      </w:tr>
      <w:tr>
        <w:tc>
          <w:tcPr/>
          <w:p>
            <w:pPr>
              <w:pStyle w:val="Compact"/>
            </w:pPr>
            <w:r>
              <w:t xml:space="preserve">θ2</w:t>
            </w:r>
          </w:p>
        </w:tc>
        <w:tc>
          <w:tcPr/>
          <w:p>
            <w:pPr>
              <w:pStyle w:val="Compact"/>
            </w:pPr>
            <w:r>
              <w:t xml:space="preserve">Contact scale, age 20–29</w:t>
            </w:r>
          </w:p>
        </w:tc>
        <w:tc>
          <w:tcPr/>
          <w:p>
            <w:pPr>
              <w:pStyle w:val="Compact"/>
            </w:pPr>
            <w:r>
              <w:t xml:space="preserve">-2.918</w:t>
            </w:r>
          </w:p>
        </w:tc>
        <w:tc>
          <w:tcPr/>
          <w:p>
            <w:pPr>
              <w:pStyle w:val="Compact"/>
            </w:pPr>
            <w:r>
              <w:t xml:space="preserve">N(0, 1.5)</w:t>
            </w:r>
          </w:p>
        </w:tc>
        <w:tc>
          <w:tcPr/>
          <w:p>
            <w:pPr>
              <w:pStyle w:val="Compact"/>
            </w:pPr>
            <w:r>
              <w:t xml:space="preserve">-2.910 (-3.487 to -2.454)</w:t>
            </w:r>
          </w:p>
        </w:tc>
        <w:tc>
          <w:tcPr/>
          <w:p>
            <w:pPr>
              <w:pStyle w:val="Compact"/>
            </w:pPr>
            <w:r>
              <w:t xml:space="preserve">0.261</w:t>
            </w:r>
          </w:p>
        </w:tc>
        <w:tc>
          <w:tcPr/>
          <w:p>
            <w:pPr>
              <w:pStyle w:val="Compact"/>
            </w:pPr>
            <w:r>
              <w:t xml:space="preserve">0.17</w:t>
            </w:r>
          </w:p>
        </w:tc>
      </w:tr>
      <w:tr>
        <w:tc>
          <w:tcPr/>
          <w:p>
            <w:pPr>
              <w:pStyle w:val="Compact"/>
            </w:pPr>
            <w:r>
              <w:t xml:space="preserve">θ3</w:t>
            </w:r>
          </w:p>
        </w:tc>
        <w:tc>
          <w:tcPr/>
          <w:p>
            <w:pPr>
              <w:pStyle w:val="Compact"/>
            </w:pPr>
            <w:r>
              <w:t xml:space="preserve">Contact scale, age 30–39</w:t>
            </w:r>
          </w:p>
        </w:tc>
        <w:tc>
          <w:tcPr/>
          <w:p>
            <w:pPr>
              <w:pStyle w:val="Compact"/>
            </w:pPr>
            <w:r>
              <w:t xml:space="preserve">-3.293</w:t>
            </w:r>
          </w:p>
        </w:tc>
        <w:tc>
          <w:tcPr/>
          <w:p>
            <w:pPr>
              <w:pStyle w:val="Compact"/>
            </w:pPr>
            <w:r>
              <w:t xml:space="preserve">N(0, 1.5)</w:t>
            </w:r>
          </w:p>
        </w:tc>
        <w:tc>
          <w:tcPr/>
          <w:p>
            <w:pPr>
              <w:pStyle w:val="Compact"/>
            </w:pPr>
            <w:r>
              <w:t xml:space="preserve">-3.288 (-3.999 to -2.799)</w:t>
            </w:r>
          </w:p>
        </w:tc>
        <w:tc>
          <w:tcPr/>
          <w:p>
            <w:pPr>
              <w:pStyle w:val="Compact"/>
            </w:pPr>
            <w:r>
              <w:t xml:space="preserve">0.307</w:t>
            </w:r>
          </w:p>
        </w:tc>
        <w:tc>
          <w:tcPr/>
          <w:p>
            <w:pPr>
              <w:pStyle w:val="Compact"/>
            </w:pPr>
            <w:r>
              <w:t xml:space="preserve">0.20</w:t>
            </w:r>
          </w:p>
        </w:tc>
      </w:tr>
      <w:tr>
        <w:tc>
          <w:tcPr/>
          <w:p>
            <w:pPr>
              <w:pStyle w:val="Compact"/>
            </w:pPr>
            <w:r>
              <w:t xml:space="preserve">θ4</w:t>
            </w:r>
          </w:p>
        </w:tc>
        <w:tc>
          <w:tcPr/>
          <w:p>
            <w:pPr>
              <w:pStyle w:val="Compact"/>
            </w:pPr>
            <w:r>
              <w:t xml:space="preserve">Contact scale, age 40–49</w:t>
            </w:r>
          </w:p>
        </w:tc>
        <w:tc>
          <w:tcPr/>
          <w:p>
            <w:pPr>
              <w:pStyle w:val="Compact"/>
            </w:pPr>
            <w:r>
              <w:t xml:space="preserve">-0.962</w:t>
            </w:r>
          </w:p>
        </w:tc>
        <w:tc>
          <w:tcPr/>
          <w:p>
            <w:pPr>
              <w:pStyle w:val="Compact"/>
            </w:pPr>
            <w:r>
              <w:t xml:space="preserve">N(0, 1.5)</w:t>
            </w:r>
          </w:p>
        </w:tc>
        <w:tc>
          <w:tcPr/>
          <w:p>
            <w:pPr>
              <w:pStyle w:val="Compact"/>
            </w:pPr>
            <w:r>
              <w:t xml:space="preserve">-0.930 (-1.728 to -0.376)</w:t>
            </w:r>
          </w:p>
        </w:tc>
        <w:tc>
          <w:tcPr/>
          <w:p>
            <w:pPr>
              <w:pStyle w:val="Compact"/>
            </w:pPr>
            <w:r>
              <w:t xml:space="preserve">0.343</w:t>
            </w:r>
          </w:p>
        </w:tc>
        <w:tc>
          <w:tcPr/>
          <w:p>
            <w:pPr>
              <w:pStyle w:val="Compact"/>
            </w:pPr>
            <w:r>
              <w:t xml:space="preserve">0.23</w:t>
            </w:r>
          </w:p>
        </w:tc>
      </w:tr>
      <w:tr>
        <w:tc>
          <w:tcPr/>
          <w:p>
            <w:pPr>
              <w:pStyle w:val="Compact"/>
            </w:pPr>
            <w:r>
              <w:t xml:space="preserve">θ5</w:t>
            </w:r>
          </w:p>
        </w:tc>
        <w:tc>
          <w:tcPr/>
          <w:p>
            <w:pPr>
              <w:pStyle w:val="Compact"/>
            </w:pPr>
            <w:r>
              <w:t xml:space="preserve">Contact scale, age 50–59</w:t>
            </w:r>
          </w:p>
        </w:tc>
        <w:tc>
          <w:tcPr/>
          <w:p>
            <w:pPr>
              <w:pStyle w:val="Compact"/>
            </w:pPr>
            <w:r>
              <w:t xml:space="preserve">0.288</w:t>
            </w:r>
          </w:p>
        </w:tc>
        <w:tc>
          <w:tcPr/>
          <w:p>
            <w:pPr>
              <w:pStyle w:val="Compact"/>
            </w:pPr>
            <w:r>
              <w:t xml:space="preserve">N(0, 1.5)</w:t>
            </w:r>
          </w:p>
        </w:tc>
        <w:tc>
          <w:tcPr/>
          <w:p>
            <w:pPr>
              <w:pStyle w:val="Compact"/>
            </w:pPr>
            <w:r>
              <w:t xml:space="preserve">-0.134 (-2.843 to 1.574)</w:t>
            </w:r>
          </w:p>
        </w:tc>
        <w:tc>
          <w:tcPr/>
          <w:p>
            <w:pPr>
              <w:pStyle w:val="Compact"/>
            </w:pPr>
            <w:r>
              <w:t xml:space="preserve">1.148</w:t>
            </w:r>
          </w:p>
        </w:tc>
        <w:tc>
          <w:tcPr/>
          <w:p>
            <w:pPr>
              <w:pStyle w:val="Compact"/>
            </w:pPr>
            <w:r>
              <w:t xml:space="preserve">0.77</w:t>
            </w:r>
          </w:p>
        </w:tc>
      </w:tr>
      <w:tr>
        <w:tc>
          <w:tcPr/>
          <w:p>
            <w:pPr>
              <w:pStyle w:val="Compact"/>
            </w:pPr>
            <w:r>
              <w:t xml:space="preserve">θ6</w:t>
            </w:r>
          </w:p>
        </w:tc>
        <w:tc>
          <w:tcPr/>
          <w:p>
            <w:pPr>
              <w:pStyle w:val="Compact"/>
            </w:pPr>
            <w:r>
              <w:t xml:space="preserve">Contact scale, age 60+</w:t>
            </w:r>
          </w:p>
        </w:tc>
        <w:tc>
          <w:tcPr/>
          <w:p>
            <w:pPr>
              <w:pStyle w:val="Compact"/>
            </w:pPr>
            <w:r>
              <w:t xml:space="preserve">-0.319</w:t>
            </w:r>
          </w:p>
        </w:tc>
        <w:tc>
          <w:tcPr/>
          <w:p>
            <w:pPr>
              <w:pStyle w:val="Compact"/>
            </w:pPr>
            <w:r>
              <w:t xml:space="preserve">N(0, 1.5)</w:t>
            </w:r>
          </w:p>
        </w:tc>
        <w:tc>
          <w:tcPr/>
          <w:p>
            <w:pPr>
              <w:pStyle w:val="Compact"/>
            </w:pPr>
            <w:r>
              <w:t xml:space="preserve">-0.583 (-3.164 to 1.282)</w:t>
            </w:r>
          </w:p>
        </w:tc>
        <w:tc>
          <w:tcPr/>
          <w:p>
            <w:pPr>
              <w:pStyle w:val="Compact"/>
            </w:pPr>
            <w:r>
              <w:t xml:space="preserve">1.145</w:t>
            </w:r>
          </w:p>
        </w:tc>
        <w:tc>
          <w:tcPr/>
          <w:p>
            <w:pPr>
              <w:pStyle w:val="Compact"/>
            </w:pPr>
            <w:r>
              <w:t xml:space="preserve">0.76</w:t>
            </w:r>
          </w:p>
        </w:tc>
      </w:tr>
      <w:tr>
        <w:tc>
          <w:tcPr/>
          <w:p>
            <w:pPr>
              <w:pStyle w:val="Compact"/>
            </w:pPr>
            <w:r>
              <w:t xml:space="preserve">θ7</w:t>
            </w:r>
          </w:p>
        </w:tc>
        <w:tc>
          <w:tcPr/>
          <w:p>
            <w:pPr>
              <w:pStyle w:val="Compact"/>
            </w:pPr>
            <w:r>
              <w:t xml:space="preserve">First arrest multiplier</w:t>
            </w:r>
            <w:r>
              <w:t xml:space="preserve"> </w:t>
            </w:r>
            <m:oMath>
              <m:r>
                <m:t>c</m:t>
              </m:r>
            </m:oMath>
          </w:p>
        </w:tc>
        <w:tc>
          <w:tcPr/>
          <w:p>
            <w:pPr>
              <w:pStyle w:val="Compact"/>
            </w:pPr>
            <w:r>
              <w:t xml:space="preserve">0.094</w:t>
            </w:r>
          </w:p>
        </w:tc>
        <w:tc>
          <w:tcPr/>
          <w:p>
            <w:pPr>
              <w:pStyle w:val="Compact"/>
            </w:pPr>
            <w:r>
              <w:t xml:space="preserve">N(0, 0.5)</w:t>
            </w:r>
          </w:p>
        </w:tc>
        <w:tc>
          <w:tcPr/>
          <w:p>
            <w:pPr>
              <w:pStyle w:val="Compact"/>
            </w:pPr>
            <w:r>
              <w:t xml:space="preserve">0.214 (-0.553 to 1.149)</w:t>
            </w:r>
          </w:p>
        </w:tc>
        <w:tc>
          <w:tcPr/>
          <w:p>
            <w:pPr>
              <w:pStyle w:val="Compact"/>
            </w:pPr>
            <w:r>
              <w:t xml:space="preserve">0.438</w:t>
            </w:r>
          </w:p>
        </w:tc>
        <w:tc>
          <w:tcPr/>
          <w:p>
            <w:pPr>
              <w:pStyle w:val="Compact"/>
            </w:pPr>
            <w:r>
              <w:t xml:space="preserve">0.88</w:t>
            </w:r>
          </w:p>
        </w:tc>
      </w:tr>
    </w:tbl>
    <w:p>
      <w:pPr>
        <w:pStyle w:val="BodyText"/>
      </w:pPr>
      <w:r>
        <w:t xml:space="preserve">Table S6 compares the targets with the posterior mode and the 95% posterior interval of the model seroprevalence. All 6 posterior intervals overlapped the target intervals. Fig S1 shows the fit.</w:t>
      </w:r>
    </w:p>
    <w:p>
      <w:pPr>
        <w:pStyle w:val="BodyText"/>
      </w:pPr>
      <w:r>
        <w:rPr>
          <w:b/>
          <w:bCs/>
        </w:rPr>
        <w:t xml:space="preserve">Table S6. Calibration targets and model fit, 2015.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Age group</w:t>
            </w:r>
          </w:p>
        </w:tc>
        <w:tc>
          <w:tcPr/>
          <w:p>
            <w:pPr>
              <w:pStyle w:val="Compact"/>
            </w:pPr>
            <w:r>
              <w:t xml:space="preserve">Seroprevalence target (95% range of the beta likelihood)</w:t>
            </w:r>
          </w:p>
        </w:tc>
        <w:tc>
          <w:tcPr/>
          <w:p>
            <w:pPr>
              <w:pStyle w:val="Compact"/>
            </w:pPr>
            <w:r>
              <w:t xml:space="preserve">Posterior mode</w:t>
            </w:r>
          </w:p>
        </w:tc>
        <w:tc>
          <w:tcPr/>
          <w:p>
            <w:pPr>
              <w:pStyle w:val="Compact"/>
            </w:pPr>
            <w:r>
              <w:t xml:space="preserve">Posterior 95% interval</w:t>
            </w:r>
          </w:p>
        </w:tc>
      </w:tr>
      <w:tr>
        <w:tc>
          <w:tcPr/>
          <w:p>
            <w:pPr>
              <w:pStyle w:val="Compact"/>
            </w:pPr>
            <w:r>
              <w:t xml:space="preserve">&lt;20</w:t>
            </w:r>
          </w:p>
        </w:tc>
        <w:tc>
          <w:tcPr/>
          <w:p>
            <w:pPr>
              <w:pStyle w:val="Compact"/>
            </w:pPr>
            <w:r>
              <w:t xml:space="preserve">12.7% (7.0% to 19.9%)</w:t>
            </w:r>
          </w:p>
        </w:tc>
        <w:tc>
          <w:tcPr/>
          <w:p>
            <w:pPr>
              <w:pStyle w:val="Compact"/>
            </w:pPr>
            <w:r>
              <w:t xml:space="preserve">12.4%</w:t>
            </w:r>
          </w:p>
        </w:tc>
        <w:tc>
          <w:tcPr/>
          <w:p>
            <w:pPr>
              <w:pStyle w:val="Compact"/>
            </w:pPr>
            <w:r>
              <w:t xml:space="preserve">6.0% to 18.7%</w:t>
            </w:r>
          </w:p>
        </w:tc>
      </w:tr>
      <w:tr>
        <w:tc>
          <w:tcPr/>
          <w:p>
            <w:pPr>
              <w:pStyle w:val="Compact"/>
            </w:pPr>
            <w:r>
              <w:t xml:space="preserve">20-29</w:t>
            </w:r>
          </w:p>
        </w:tc>
        <w:tc>
          <w:tcPr/>
          <w:p>
            <w:pPr>
              <w:pStyle w:val="Compact"/>
            </w:pPr>
            <w:r>
              <w:t xml:space="preserve">19.2% (12.1% to 27.4%)</w:t>
            </w:r>
          </w:p>
        </w:tc>
        <w:tc>
          <w:tcPr/>
          <w:p>
            <w:pPr>
              <w:pStyle w:val="Compact"/>
            </w:pPr>
            <w:r>
              <w:t xml:space="preserve">20.0%</w:t>
            </w:r>
          </w:p>
        </w:tc>
        <w:tc>
          <w:tcPr/>
          <w:p>
            <w:pPr>
              <w:pStyle w:val="Compact"/>
            </w:pPr>
            <w:r>
              <w:t xml:space="preserve">13.1% to 27.8%</w:t>
            </w:r>
          </w:p>
        </w:tc>
      </w:tr>
      <w:tr>
        <w:tc>
          <w:tcPr/>
          <w:p>
            <w:pPr>
              <w:pStyle w:val="Compact"/>
            </w:pPr>
            <w:r>
              <w:t xml:space="preserve">30-39</w:t>
            </w:r>
          </w:p>
        </w:tc>
        <w:tc>
          <w:tcPr/>
          <w:p>
            <w:pPr>
              <w:pStyle w:val="Compact"/>
            </w:pPr>
            <w:r>
              <w:t xml:space="preserve">30.0% (21.5% to 39.3%)</w:t>
            </w:r>
          </w:p>
        </w:tc>
        <w:tc>
          <w:tcPr/>
          <w:p>
            <w:pPr>
              <w:pStyle w:val="Compact"/>
            </w:pPr>
            <w:r>
              <w:t xml:space="preserve">30.9%</w:t>
            </w:r>
          </w:p>
        </w:tc>
        <w:tc>
          <w:tcPr/>
          <w:p>
            <w:pPr>
              <w:pStyle w:val="Compact"/>
            </w:pPr>
            <w:r>
              <w:t xml:space="preserve">22.5% to 40.0%</w:t>
            </w:r>
          </w:p>
        </w:tc>
      </w:tr>
      <w:tr>
        <w:tc>
          <w:tcPr/>
          <w:p>
            <w:pPr>
              <w:pStyle w:val="Compact"/>
            </w:pPr>
            <w:r>
              <w:t xml:space="preserve">40-49</w:t>
            </w:r>
          </w:p>
        </w:tc>
        <w:tc>
          <w:tcPr/>
          <w:p>
            <w:pPr>
              <w:pStyle w:val="Compact"/>
            </w:pPr>
            <w:r>
              <w:t xml:space="preserve">48.3% (38.6% to 58.0%)</w:t>
            </w:r>
          </w:p>
        </w:tc>
        <w:tc>
          <w:tcPr/>
          <w:p>
            <w:pPr>
              <w:pStyle w:val="Compact"/>
            </w:pPr>
            <w:r>
              <w:t xml:space="preserve">49.5%</w:t>
            </w:r>
          </w:p>
        </w:tc>
        <w:tc>
          <w:tcPr/>
          <w:p>
            <w:pPr>
              <w:pStyle w:val="Compact"/>
            </w:pPr>
            <w:r>
              <w:t xml:space="preserve">41.7% to 56.6%</w:t>
            </w:r>
          </w:p>
        </w:tc>
      </w:tr>
      <w:tr>
        <w:tc>
          <w:tcPr/>
          <w:p>
            <w:pPr>
              <w:pStyle w:val="Compact"/>
            </w:pPr>
            <w:r>
              <w:t xml:space="preserve">50-59</w:t>
            </w:r>
          </w:p>
        </w:tc>
        <w:tc>
          <w:tcPr/>
          <w:p>
            <w:pPr>
              <w:pStyle w:val="Compact"/>
            </w:pPr>
            <w:r>
              <w:t xml:space="preserve">53.1% (43.4% to 62.8%)</w:t>
            </w:r>
          </w:p>
        </w:tc>
        <w:tc>
          <w:tcPr/>
          <w:p>
            <w:pPr>
              <w:pStyle w:val="Compact"/>
            </w:pPr>
            <w:r>
              <w:t xml:space="preserve">50.9%</w:t>
            </w:r>
          </w:p>
        </w:tc>
        <w:tc>
          <w:tcPr/>
          <w:p>
            <w:pPr>
              <w:pStyle w:val="Compact"/>
            </w:pPr>
            <w:r>
              <w:t xml:space="preserve">44.3% to 57.4%</w:t>
            </w:r>
          </w:p>
        </w:tc>
      </w:tr>
      <w:tr>
        <w:tc>
          <w:tcPr/>
          <w:p>
            <w:pPr>
              <w:pStyle w:val="Compact"/>
            </w:pPr>
            <w:r>
              <w:t xml:space="preserve">60+</w:t>
            </w:r>
          </w:p>
        </w:tc>
        <w:tc>
          <w:tcPr/>
          <w:p>
            <w:pPr>
              <w:pStyle w:val="Compact"/>
            </w:pPr>
            <w:r>
              <w:t xml:space="preserve">42.9% (33.4% to 52.6%)</w:t>
            </w:r>
          </w:p>
        </w:tc>
        <w:tc>
          <w:tcPr/>
          <w:p>
            <w:pPr>
              <w:pStyle w:val="Compact"/>
            </w:pPr>
            <w:r>
              <w:t xml:space="preserve">44.2%</w:t>
            </w:r>
          </w:p>
        </w:tc>
        <w:tc>
          <w:tcPr/>
          <w:p>
            <w:pPr>
              <w:pStyle w:val="Compact"/>
            </w:pPr>
            <w:r>
              <w:t xml:space="preserve">37.9% to 51.9%</w:t>
            </w:r>
          </w:p>
        </w:tc>
      </w:tr>
    </w:tbl>
    <w:p>
      <w:pPr>
        <w:pStyle w:val="CaptionedFigure"/>
      </w:pPr>
      <w:r>
        <w:drawing>
          <wp:inline>
            <wp:extent cx="4267200" cy="3071070"/>
            <wp:effectExtent b="0" l="0" r="0" t="0"/>
            <wp:docPr descr="Fig S1. Calibration of age specific seroprevalence in prison, 2015. Target values with the 95% range of the beta likelihood are compared with 95% posterior intervals of the model seroprevalence from the MCMC posterior and, for contrast, single round neural posterior estimation." title="" id="21" name="Picture"/>
            <a:graphic>
              <a:graphicData uri="http://schemas.openxmlformats.org/drawingml/2006/picture">
                <pic:pic>
                  <pic:nvPicPr>
                    <pic:cNvPr descr="/Users/yichenhe/Documents/Work/HepC-Transimission-Modelling/figures/calibration_agepop.png" id="22" name="Picture"/>
                    <pic:cNvPicPr>
                      <a:picLocks noChangeArrowheads="1" noChangeAspect="1"/>
                    </pic:cNvPicPr>
                  </pic:nvPicPr>
                  <pic:blipFill>
                    <a:blip r:embed="rId20"/>
                    <a:stretch>
                      <a:fillRect/>
                    </a:stretch>
                  </pic:blipFill>
                  <pic:spPr bwMode="auto">
                    <a:xfrm>
                      <a:off x="0" y="0"/>
                      <a:ext cx="4267200" cy="3071070"/>
                    </a:xfrm>
                    <a:prstGeom prst="rect">
                      <a:avLst/>
                    </a:prstGeom>
                    <a:noFill/>
                    <a:ln w="9525">
                      <a:noFill/>
                      <a:headEnd/>
                      <a:tailEnd/>
                    </a:ln>
                  </pic:spPr>
                </pic:pic>
              </a:graphicData>
            </a:graphic>
          </wp:inline>
        </w:drawing>
      </w:r>
    </w:p>
    <w:p>
      <w:pPr>
        <w:pStyle w:val="ImageCaption"/>
      </w:pPr>
      <w:r>
        <w:t xml:space="preserve">Fig S1. Calibration of age specific seroprevalence in prison, 2015. Target values with the 95% range of the beta likelihood are compared with 95% posterior intervals of the model seroprevalence from the MCMC posterior and, for contrast, single round neural posterior estimation.</w:t>
      </w:r>
    </w:p>
    <w:p>
      <w:pPr>
        <w:pStyle w:val="BodyText"/>
      </w:pPr>
      <w:r>
        <w:t xml:space="preserve">In 2015 the model estimated 2,178 (95% interval: 839–4,651) people in D, 8,451 (8,283–8,520) in J, 5,857 (5,664–5,947) in F and 33,713 (31,476–35,073) in X. The total was 50,218 (49,496–50,893) people with a history of injecting drugs. Of these, 9,300 (8,084–10,601) were viraemic. These sizes were not fitted; the modelled prison population is much larger than the 3,367 people with a known screening result in prison records.</w:t>
      </w:r>
    </w:p>
    <w:bookmarkEnd w:id="23"/>
    <w:bookmarkEnd w:id="24"/>
    <w:bookmarkStart w:id="29" w:name="scenarios-and-costs"/>
    <w:p>
      <w:pPr>
        <w:pStyle w:val="Heading1"/>
      </w:pPr>
      <w:r>
        <w:t xml:space="preserve">3. Scenarios and costs</w:t>
      </w:r>
    </w:p>
    <w:bookmarkStart w:id="25" w:name="shared-history"/>
    <w:p>
      <w:pPr>
        <w:pStyle w:val="Heading2"/>
      </w:pPr>
      <w:r>
        <w:t xml:space="preserve">3.1 Shared history</w:t>
      </w:r>
    </w:p>
    <w:p>
      <w:pPr>
        <w:pStyle w:val="FirstParagraph"/>
      </w:pPr>
      <w:r>
        <w:t xml:space="preserve">All scenarios start from the same 2015 equilibrium. There was no treatment from 2016 to 2018. From 2019 the chronic infection treatment rate in J was</w:t>
      </w:r>
      <w:r>
        <w:t xml:space="preserve"> </w:t>
      </w:r>
      <m:oMath>
        <m:sSub>
          <m:e>
            <m:r>
              <m:t>τ</m:t>
            </m:r>
          </m:e>
          <m:sub>
            <m:r>
              <m:t>J</m:t>
            </m:r>
          </m:sub>
        </m:sSub>
        <m:r>
          <m:rPr>
            <m:sty m:val="p"/>
          </m:rPr>
          <m:t>=</m:t>
        </m:r>
        <m:r>
          <m:rPr>
            <m:sty m:val="p"/>
          </m:rPr>
          <m:t>−</m:t>
        </m:r>
        <m:r>
          <m:rPr>
            <m:sty m:val="p"/>
          </m:rPr>
          <m:t>ln</m:t>
        </m:r>
        <m:r>
          <m:rPr>
            <m:sty m:val="p"/>
          </m:rPr>
          <m:t>(</m:t>
        </m:r>
        <m:r>
          <m:t>1</m:t>
        </m:r>
        <m:r>
          <m:rPr>
            <m:sty m:val="p"/>
          </m:rPr>
          <m:t>−</m:t>
        </m:r>
        <m:r>
          <m:t>0.99995</m:t>
        </m:r>
        <m:r>
          <m:rPr>
            <m:sty m:val="p"/>
          </m:rPr>
          <m:t>)</m:t>
        </m:r>
      </m:oMath>
      <w:r>
        <w:t xml:space="preserve"> </w:t>
      </w:r>
      <w:r>
        <w:t xml:space="preserve">per year with no annual cap. People already on treatment completed their course. People who failed treatment or were reinfected could start again. No one in D was treated in any scenario. The no treatment counterfactual kept</w:t>
      </w:r>
      <w:r>
        <w:t xml:space="preserve"> </w:t>
      </w:r>
      <m:oMath>
        <m:r>
          <m:t>τ</m:t>
        </m:r>
        <m:r>
          <m:rPr>
            <m:sty m:val="p"/>
          </m:rPr>
          <m:t>=</m:t>
        </m:r>
        <m:r>
          <m:t>0</m:t>
        </m:r>
      </m:oMath>
      <w:r>
        <w:t xml:space="preserve"> </w:t>
      </w:r>
      <w:r>
        <w:t xml:space="preserve">in all groups up to 2030.</w:t>
      </w:r>
    </w:p>
    <w:bookmarkEnd w:id="25"/>
    <w:bookmarkStart w:id="26" w:name="community-screening-quota"/>
    <w:p>
      <w:pPr>
        <w:pStyle w:val="Heading2"/>
      </w:pPr>
      <w:r>
        <w:t xml:space="preserve">3.2 Community screening quota</w:t>
      </w:r>
    </w:p>
    <w:p>
      <w:pPr>
        <w:pStyle w:val="FirstParagraph"/>
      </w:pPr>
      <w:r>
        <w:t xml:space="preserve">From 2026, each year began with a screening plan for F and X. For group</w:t>
      </w:r>
      <w:r>
        <w:t xml:space="preserve"> </w:t>
      </w:r>
      <m:oMath>
        <m:r>
          <m:t>s</m:t>
        </m:r>
      </m:oMath>
      <w:r>
        <w:t xml:space="preserve"> </w:t>
      </w:r>
      <w:r>
        <w:t xml:space="preserve">we computed</w:t>
      </w:r>
      <w:r>
        <w:t xml:space="preserve"> </w:t>
      </w:r>
      <m:oMath>
        <m:sSub>
          <m:e>
            <m:r>
              <m:t>N</m:t>
            </m:r>
          </m:e>
          <m:sub>
            <m:r>
              <m:t>s</m:t>
            </m:r>
          </m:sub>
        </m:sSub>
        <m:r>
          <m:rPr>
            <m:sty m:val="p"/>
          </m:rPr>
          <m:t>=</m:t>
        </m:r>
        <m:r>
          <m:t>u</m:t>
        </m:r>
        <m:r>
          <m:rPr>
            <m:sty m:val="p"/>
          </m:rPr>
          <m:t>+</m:t>
        </m:r>
        <m:r>
          <m:t>a</m:t>
        </m:r>
        <m:r>
          <m:rPr>
            <m:sty m:val="p"/>
          </m:rPr>
          <m:t>+</m:t>
        </m:r>
        <m:r>
          <m:t>c</m:t>
        </m:r>
        <m:r>
          <m:rPr>
            <m:sty m:val="p"/>
          </m:rPr>
          <m:t>+</m:t>
        </m:r>
        <m:r>
          <m:t>r</m:t>
        </m:r>
      </m:oMath>
      <w:r>
        <w:t xml:space="preserve">, which excludes people on treatment. The number screened was</w:t>
      </w:r>
      <w:r>
        <w:t xml:space="preserve"> </w:t>
      </w:r>
      <m:oMath>
        <m:sSub>
          <m:e>
            <m:r>
              <m:t>S</m:t>
            </m:r>
          </m:e>
          <m:sub>
            <m:r>
              <m:t>s</m:t>
            </m:r>
          </m:sub>
        </m:sSub>
        <m:r>
          <m:rPr>
            <m:sty m:val="p"/>
          </m:rPr>
          <m:t>=</m:t>
        </m:r>
        <m:r>
          <m:rPr>
            <m:sty m:val="p"/>
          </m:rPr>
          <m:t>min</m:t>
        </m:r>
        <m:r>
          <m:rPr>
            <m:sty m:val="p"/>
          </m:rPr>
          <m:t>(</m:t>
        </m:r>
        <m:sSub>
          <m:e>
            <m:r>
              <m:t>Q</m:t>
            </m:r>
          </m:e>
          <m:sub>
            <m:r>
              <m:t>s</m:t>
            </m:r>
          </m:sub>
        </m:sSub>
        <m:r>
          <m:rPr>
            <m:sty m:val="p"/>
          </m:rPr>
          <m:t>,</m:t>
        </m:r>
        <m:sSub>
          <m:e>
            <m:r>
              <m:t>N</m:t>
            </m:r>
          </m:e>
          <m:sub>
            <m:r>
              <m:t>s</m:t>
            </m:r>
          </m:sub>
        </m:sSub>
        <m:r>
          <m:rPr>
            <m:sty m:val="p"/>
          </m:rPr>
          <m:t>)</m:t>
        </m:r>
      </m:oMath>
      <w:r>
        <w:t xml:space="preserve">, where</w:t>
      </w:r>
      <w:r>
        <w:t xml:space="preserve"> </w:t>
      </w:r>
      <m:oMath>
        <m:sSub>
          <m:e>
            <m:r>
              <m:t>Q</m:t>
            </m:r>
          </m:e>
          <m:sub>
            <m:r>
              <m:t>s</m:t>
            </m:r>
          </m:sub>
        </m:sSub>
      </m:oMath>
      <w:r>
        <w:t xml:space="preserve"> </w:t>
      </w:r>
      <w:r>
        <w:t xml:space="preserve">is the annual quota. The number of antibody tests was</w:t>
      </w:r>
      <w:r>
        <w:t xml:space="preserve"> </w:t>
      </w:r>
      <m:oMath>
        <m:sSub>
          <m:e>
            <m:r>
              <m:t>S</m:t>
            </m:r>
          </m:e>
          <m:sub>
            <m:r>
              <m:t>s</m:t>
            </m:r>
          </m:sub>
        </m:sSub>
      </m:oMath>
      <w:r>
        <w:t xml:space="preserve">. The number of RNA tests was</w:t>
      </w:r>
      <w:r>
        <w:t xml:space="preserve"> </w:t>
      </w:r>
      <m:oMath>
        <m:sSub>
          <m:e>
            <m:r>
              <m:t>S</m:t>
            </m:r>
          </m:e>
          <m:sub>
            <m:r>
              <m:t>s</m:t>
            </m:r>
          </m:sub>
        </m:sSub>
        <m:r>
          <m:rPr>
            <m:sty m:val="p"/>
          </m:rPr>
          <m:t>(</m:t>
        </m:r>
        <m:r>
          <m:t>a</m:t>
        </m:r>
        <m:r>
          <m:rPr>
            <m:sty m:val="p"/>
          </m:rPr>
          <m:t>+</m:t>
        </m:r>
        <m:r>
          <m:t>c</m:t>
        </m:r>
        <m:r>
          <m:rPr>
            <m:sty m:val="p"/>
          </m:rPr>
          <m:t>+</m:t>
        </m:r>
        <m:r>
          <m:t>r</m:t>
        </m:r>
        <m:r>
          <m:rPr>
            <m:sty m:val="p"/>
          </m:rPr>
          <m:t>)</m:t>
        </m:r>
        <m:r>
          <m:rPr>
            <m:sty m:val="p"/>
          </m:rPr>
          <m:t>/</m:t>
        </m:r>
        <m:sSub>
          <m:e>
            <m:r>
              <m:t>N</m:t>
            </m:r>
          </m:e>
          <m:sub>
            <m:r>
              <m:t>s</m:t>
            </m:r>
          </m:sub>
        </m:sSub>
      </m:oMath>
      <w:r>
        <w:t xml:space="preserve">. The number of people with chronic infection identified was</w:t>
      </w:r>
      <w:r>
        <w:t xml:space="preserve"> </w:t>
      </w:r>
      <m:oMath>
        <m:sSub>
          <m:e>
            <m:r>
              <m:t>K</m:t>
            </m:r>
          </m:e>
          <m:sub>
            <m:r>
              <m:t>s</m:t>
            </m:r>
          </m:sub>
        </m:sSub>
        <m:r>
          <m:rPr>
            <m:sty m:val="p"/>
          </m:rPr>
          <m:t>=</m:t>
        </m:r>
        <m:sSub>
          <m:e>
            <m:r>
              <m:t>S</m:t>
            </m:r>
          </m:e>
          <m:sub>
            <m:r>
              <m:t>s</m:t>
            </m:r>
          </m:sub>
        </m:sSub>
        <m:r>
          <m:t> </m:t>
        </m:r>
        <m:r>
          <m:t>c</m:t>
        </m:r>
        <m:r>
          <m:rPr>
            <m:sty m:val="p"/>
          </m:rPr>
          <m:t>/</m:t>
        </m:r>
        <m:sSub>
          <m:e>
            <m:r>
              <m:t>N</m:t>
            </m:r>
          </m:e>
          <m:sub>
            <m:r>
              <m:t>s</m:t>
            </m:r>
          </m:sub>
        </m:sSub>
      </m:oMath>
      <w:r>
        <w:t xml:space="preserve">.</w:t>
      </w:r>
      <w:r>
        <w:t xml:space="preserve"> </w:t>
      </w:r>
      <m:oMath>
        <m:sSub>
          <m:e>
            <m:r>
              <m:t>K</m:t>
            </m:r>
          </m:e>
          <m:sub>
            <m:r>
              <m:t>s</m:t>
            </m:r>
          </m:sub>
        </m:sSub>
      </m:oMath>
      <w:r>
        <w:t xml:space="preserve"> </w:t>
      </w:r>
      <w:r>
        <w:t xml:space="preserve">was the maximum number of treatment starts in group</w:t>
      </w:r>
      <w:r>
        <w:t xml:space="preserve"> </w:t>
      </w:r>
      <m:oMath>
        <m:r>
          <m:t>s</m:t>
        </m:r>
      </m:oMath>
      <w:r>
        <w:t xml:space="preserve"> </w:t>
      </w:r>
      <w:r>
        <w:t xml:space="preserve">that year. Identified people started treatment at rate</w:t>
      </w:r>
      <w:r>
        <w:t xml:space="preserve"> </w:t>
      </w:r>
      <m:oMath>
        <m:sSub>
          <m:e>
            <m:r>
              <m:t>τ</m:t>
            </m:r>
          </m:e>
          <m:sub>
            <m:r>
              <m:t>F</m:t>
            </m:r>
            <m:r>
              <m:t>X</m:t>
            </m:r>
          </m:sub>
        </m:sSub>
        <m:r>
          <m:rPr>
            <m:sty m:val="p"/>
          </m:rPr>
          <m:t>=</m:t>
        </m:r>
        <m:r>
          <m:rPr>
            <m:sty m:val="p"/>
          </m:rPr>
          <m:t>−</m:t>
        </m:r>
        <m:r>
          <m:rPr>
            <m:sty m:val="p"/>
          </m:rPr>
          <m:t>ln</m:t>
        </m:r>
        <m:r>
          <m:rPr>
            <m:sty m:val="p"/>
          </m:rPr>
          <m:t>(</m:t>
        </m:r>
        <m:r>
          <m:t>1</m:t>
        </m:r>
        <m:r>
          <m:rPr>
            <m:sty m:val="p"/>
          </m:rPr>
          <m:t>−</m:t>
        </m:r>
        <m:r>
          <m:t>0.99</m:t>
        </m:r>
        <m:r>
          <m:rPr>
            <m:sty m:val="p"/>
          </m:rPr>
          <m:t>)</m:t>
        </m:r>
      </m:oMath>
      <w:r>
        <w:t xml:space="preserve"> </w:t>
      </w:r>
      <w:r>
        <w:t xml:space="preserve">per year. The ODE solver tracked cumulative starts and switched off the</w:t>
      </w:r>
      <w:r>
        <w:t xml:space="preserve"> </w:t>
      </w:r>
      <m:oMath>
        <m:r>
          <m:t>c</m:t>
        </m:r>
        <m:r>
          <m:rPr>
            <m:sty m:val="p"/>
          </m:rPr>
          <m:t>→</m:t>
        </m:r>
        <m:r>
          <m:t>t</m:t>
        </m:r>
      </m:oMath>
      <w:r>
        <w:t xml:space="preserve"> </w:t>
      </w:r>
      <w:r>
        <w:t xml:space="preserve">flow in group</w:t>
      </w:r>
      <w:r>
        <w:t xml:space="preserve"> </w:t>
      </w:r>
      <m:oMath>
        <m:r>
          <m:t>s</m:t>
        </m:r>
      </m:oMath>
      <w:r>
        <w:t xml:space="preserve"> </w:t>
      </w:r>
      <w:r>
        <w:t xml:space="preserve">once starts reached</w:t>
      </w:r>
      <w:r>
        <w:t xml:space="preserve"> </w:t>
      </w:r>
      <m:oMath>
        <m:sSub>
          <m:e>
            <m:r>
              <m:t>K</m:t>
            </m:r>
          </m:e>
          <m:sub>
            <m:r>
              <m:t>s</m:t>
            </m:r>
          </m:sub>
        </m:sSub>
      </m:oMath>
      <w:r>
        <w:t xml:space="preserve">. Unused quota was not moved between F and X or carried to the next year. In the ideal reference,</w:t>
      </w:r>
      <w:r>
        <w:t xml:space="preserve"> </w:t>
      </w:r>
      <m:oMath>
        <m:sSub>
          <m:e>
            <m:r>
              <m:t>Q</m:t>
            </m:r>
          </m:e>
          <m:sub>
            <m:r>
              <m:t>s</m:t>
            </m:r>
          </m:sub>
        </m:sSub>
      </m:oMath>
      <w:r>
        <w:t xml:space="preserve"> </w:t>
      </w:r>
      <w:r>
        <w:t xml:space="preserve">was infinite, so everyone eligible was screened once a year.</w:t>
      </w:r>
    </w:p>
    <w:p>
      <w:pPr>
        <w:pStyle w:val="BodyText"/>
      </w:pPr>
      <w:r>
        <w:t xml:space="preserve">This is an aggregate approximation. The model does not track individual screening history. The same person can be counted as screened in more than one year. Acute infections were not treated.</w:t>
      </w:r>
    </w:p>
    <w:p>
      <w:pPr>
        <w:pStyle w:val="BodyText"/>
      </w:pPr>
      <w:r>
        <w:rPr>
          <w:b/>
          <w:bCs/>
        </w:rPr>
        <w:t xml:space="preserve">Table S7. Scenario definitions.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Annual tests</w:t>
            </w:r>
          </w:p>
        </w:tc>
        <w:tc>
          <w:tcPr/>
          <w:p>
            <w:pPr>
              <w:pStyle w:val="Compact"/>
            </w:pPr>
            <w:r>
              <w:t xml:space="preserve">F quota per year</w:t>
            </w:r>
          </w:p>
        </w:tc>
        <w:tc>
          <w:tcPr/>
          <w:p>
            <w:pPr>
              <w:pStyle w:val="Compact"/>
            </w:pPr>
            <w:r>
              <w:t xml:space="preserve">X quota per year</w:t>
            </w:r>
          </w:p>
        </w:tc>
      </w:tr>
      <w:tr>
        <w:tc>
          <w:tcPr/>
          <w:p>
            <w:pPr>
              <w:pStyle w:val="Compact"/>
            </w:pPr>
            <w:r>
              <w:t xml:space="preserve">J only</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J + 600/year, F 25%</w:t>
            </w:r>
          </w:p>
        </w:tc>
        <w:tc>
          <w:tcPr/>
          <w:p>
            <w:pPr>
              <w:pStyle w:val="Compact"/>
            </w:pPr>
            <w:r>
              <w:t xml:space="preserve">600</w:t>
            </w:r>
          </w:p>
        </w:tc>
        <w:tc>
          <w:tcPr/>
          <w:p>
            <w:pPr>
              <w:pStyle w:val="Compact"/>
            </w:pPr>
            <w:r>
              <w:t xml:space="preserve">150</w:t>
            </w:r>
          </w:p>
        </w:tc>
        <w:tc>
          <w:tcPr/>
          <w:p>
            <w:pPr>
              <w:pStyle w:val="Compact"/>
            </w:pPr>
            <w:r>
              <w:t xml:space="preserve">450</w:t>
            </w:r>
          </w:p>
        </w:tc>
      </w:tr>
      <w:tr>
        <w:tc>
          <w:tcPr/>
          <w:p>
            <w:pPr>
              <w:pStyle w:val="Compact"/>
            </w:pPr>
            <w:r>
              <w:t xml:space="preserve">J + 1,000/year, F 25%</w:t>
            </w:r>
          </w:p>
        </w:tc>
        <w:tc>
          <w:tcPr/>
          <w:p>
            <w:pPr>
              <w:pStyle w:val="Compact"/>
            </w:pPr>
            <w:r>
              <w:t xml:space="preserve">1,000</w:t>
            </w:r>
          </w:p>
        </w:tc>
        <w:tc>
          <w:tcPr/>
          <w:p>
            <w:pPr>
              <w:pStyle w:val="Compact"/>
            </w:pPr>
            <w:r>
              <w:t xml:space="preserve">250</w:t>
            </w:r>
          </w:p>
        </w:tc>
        <w:tc>
          <w:tcPr/>
          <w:p>
            <w:pPr>
              <w:pStyle w:val="Compact"/>
            </w:pPr>
            <w:r>
              <w:t xml:space="preserve">750</w:t>
            </w:r>
          </w:p>
        </w:tc>
      </w:tr>
      <w:tr>
        <w:tc>
          <w:tcPr/>
          <w:p>
            <w:pPr>
              <w:pStyle w:val="Compact"/>
            </w:pPr>
            <w:r>
              <w:t xml:space="preserve">J + 2,000/year, F 25%</w:t>
            </w:r>
          </w:p>
        </w:tc>
        <w:tc>
          <w:tcPr/>
          <w:p>
            <w:pPr>
              <w:pStyle w:val="Compact"/>
            </w:pPr>
            <w:r>
              <w:t xml:space="preserve">2,000</w:t>
            </w:r>
          </w:p>
        </w:tc>
        <w:tc>
          <w:tcPr/>
          <w:p>
            <w:pPr>
              <w:pStyle w:val="Compact"/>
            </w:pPr>
            <w:r>
              <w:t xml:space="preserve">500</w:t>
            </w:r>
          </w:p>
        </w:tc>
        <w:tc>
          <w:tcPr/>
          <w:p>
            <w:pPr>
              <w:pStyle w:val="Compact"/>
            </w:pPr>
            <w:r>
              <w:t xml:space="preserve">1,500</w:t>
            </w:r>
          </w:p>
        </w:tc>
      </w:tr>
      <w:tr>
        <w:tc>
          <w:tcPr/>
          <w:p>
            <w:pPr>
              <w:pStyle w:val="Compact"/>
            </w:pPr>
            <w:r>
              <w:t xml:space="preserve">J + 5,000/year, F 25%</w:t>
            </w:r>
          </w:p>
        </w:tc>
        <w:tc>
          <w:tcPr/>
          <w:p>
            <w:pPr>
              <w:pStyle w:val="Compact"/>
            </w:pPr>
            <w:r>
              <w:t xml:space="preserve">5,000</w:t>
            </w:r>
          </w:p>
        </w:tc>
        <w:tc>
          <w:tcPr/>
          <w:p>
            <w:pPr>
              <w:pStyle w:val="Compact"/>
            </w:pPr>
            <w:r>
              <w:t xml:space="preserve">1,250</w:t>
            </w:r>
          </w:p>
        </w:tc>
        <w:tc>
          <w:tcPr/>
          <w:p>
            <w:pPr>
              <w:pStyle w:val="Compact"/>
            </w:pPr>
            <w:r>
              <w:t xml:space="preserve">3,750</w:t>
            </w:r>
          </w:p>
        </w:tc>
      </w:tr>
      <w:tr>
        <w:tc>
          <w:tcPr/>
          <w:p>
            <w:pPr>
              <w:pStyle w:val="Compact"/>
            </w:pPr>
            <w:r>
              <w:t xml:space="preserve">J + 8,000/year, F 25%</w:t>
            </w:r>
          </w:p>
        </w:tc>
        <w:tc>
          <w:tcPr/>
          <w:p>
            <w:pPr>
              <w:pStyle w:val="Compact"/>
            </w:pPr>
            <w:r>
              <w:t xml:space="preserve">8,000</w:t>
            </w:r>
          </w:p>
        </w:tc>
        <w:tc>
          <w:tcPr/>
          <w:p>
            <w:pPr>
              <w:pStyle w:val="Compact"/>
            </w:pPr>
            <w:r>
              <w:t xml:space="preserve">2,000</w:t>
            </w:r>
          </w:p>
        </w:tc>
        <w:tc>
          <w:tcPr/>
          <w:p>
            <w:pPr>
              <w:pStyle w:val="Compact"/>
            </w:pPr>
            <w:r>
              <w:t xml:space="preserve">6,000</w:t>
            </w:r>
          </w:p>
        </w:tc>
      </w:tr>
      <w:tr>
        <w:tc>
          <w:tcPr/>
          <w:p>
            <w:pPr>
              <w:pStyle w:val="Compact"/>
            </w:pPr>
            <w:r>
              <w:t xml:space="preserve">J + 600/year, F 50%</w:t>
            </w:r>
          </w:p>
        </w:tc>
        <w:tc>
          <w:tcPr/>
          <w:p>
            <w:pPr>
              <w:pStyle w:val="Compact"/>
            </w:pPr>
            <w:r>
              <w:t xml:space="preserve">600</w:t>
            </w:r>
          </w:p>
        </w:tc>
        <w:tc>
          <w:tcPr/>
          <w:p>
            <w:pPr>
              <w:pStyle w:val="Compact"/>
            </w:pPr>
            <w:r>
              <w:t xml:space="preserve">300</w:t>
            </w:r>
          </w:p>
        </w:tc>
        <w:tc>
          <w:tcPr/>
          <w:p>
            <w:pPr>
              <w:pStyle w:val="Compact"/>
            </w:pPr>
            <w:r>
              <w:t xml:space="preserve">300</w:t>
            </w:r>
          </w:p>
        </w:tc>
      </w:tr>
      <w:tr>
        <w:tc>
          <w:tcPr/>
          <w:p>
            <w:pPr>
              <w:pStyle w:val="Compact"/>
            </w:pPr>
            <w:r>
              <w:t xml:space="preserve">J + 1,000/year, F 50%</w:t>
            </w:r>
          </w:p>
        </w:tc>
        <w:tc>
          <w:tcPr/>
          <w:p>
            <w:pPr>
              <w:pStyle w:val="Compact"/>
            </w:pPr>
            <w:r>
              <w:t xml:space="preserve">1,000</w:t>
            </w:r>
          </w:p>
        </w:tc>
        <w:tc>
          <w:tcPr/>
          <w:p>
            <w:pPr>
              <w:pStyle w:val="Compact"/>
            </w:pPr>
            <w:r>
              <w:t xml:space="preserve">500</w:t>
            </w:r>
          </w:p>
        </w:tc>
        <w:tc>
          <w:tcPr/>
          <w:p>
            <w:pPr>
              <w:pStyle w:val="Compact"/>
            </w:pPr>
            <w:r>
              <w:t xml:space="preserve">500</w:t>
            </w:r>
          </w:p>
        </w:tc>
      </w:tr>
      <w:tr>
        <w:tc>
          <w:tcPr/>
          <w:p>
            <w:pPr>
              <w:pStyle w:val="Compact"/>
            </w:pPr>
            <w:r>
              <w:t xml:space="preserve">J + 2,000/year, F 50%</w:t>
            </w:r>
          </w:p>
        </w:tc>
        <w:tc>
          <w:tcPr/>
          <w:p>
            <w:pPr>
              <w:pStyle w:val="Compact"/>
            </w:pPr>
            <w:r>
              <w:t xml:space="preserve">2,000</w:t>
            </w:r>
          </w:p>
        </w:tc>
        <w:tc>
          <w:tcPr/>
          <w:p>
            <w:pPr>
              <w:pStyle w:val="Compact"/>
            </w:pPr>
            <w:r>
              <w:t xml:space="preserve">1,000</w:t>
            </w:r>
          </w:p>
        </w:tc>
        <w:tc>
          <w:tcPr/>
          <w:p>
            <w:pPr>
              <w:pStyle w:val="Compact"/>
            </w:pPr>
            <w:r>
              <w:t xml:space="preserve">1,000</w:t>
            </w:r>
          </w:p>
        </w:tc>
      </w:tr>
      <w:tr>
        <w:tc>
          <w:tcPr/>
          <w:p>
            <w:pPr>
              <w:pStyle w:val="Compact"/>
            </w:pPr>
            <w:r>
              <w:t xml:space="preserve">J + 5,000/year, F 50%</w:t>
            </w:r>
          </w:p>
        </w:tc>
        <w:tc>
          <w:tcPr/>
          <w:p>
            <w:pPr>
              <w:pStyle w:val="Compact"/>
            </w:pPr>
            <w:r>
              <w:t xml:space="preserve">5,000</w:t>
            </w:r>
          </w:p>
        </w:tc>
        <w:tc>
          <w:tcPr/>
          <w:p>
            <w:pPr>
              <w:pStyle w:val="Compact"/>
            </w:pPr>
            <w:r>
              <w:t xml:space="preserve">2,500</w:t>
            </w:r>
          </w:p>
        </w:tc>
        <w:tc>
          <w:tcPr/>
          <w:p>
            <w:pPr>
              <w:pStyle w:val="Compact"/>
            </w:pPr>
            <w:r>
              <w:t xml:space="preserve">2,500</w:t>
            </w:r>
          </w:p>
        </w:tc>
      </w:tr>
      <w:tr>
        <w:tc>
          <w:tcPr/>
          <w:p>
            <w:pPr>
              <w:pStyle w:val="Compact"/>
            </w:pPr>
            <w:r>
              <w:t xml:space="preserve">J + 8,000/year, F 50%</w:t>
            </w:r>
          </w:p>
        </w:tc>
        <w:tc>
          <w:tcPr/>
          <w:p>
            <w:pPr>
              <w:pStyle w:val="Compact"/>
            </w:pPr>
            <w:r>
              <w:t xml:space="preserve">8,000</w:t>
            </w:r>
          </w:p>
        </w:tc>
        <w:tc>
          <w:tcPr/>
          <w:p>
            <w:pPr>
              <w:pStyle w:val="Compact"/>
            </w:pPr>
            <w:r>
              <w:t xml:space="preserve">4,000</w:t>
            </w:r>
          </w:p>
        </w:tc>
        <w:tc>
          <w:tcPr/>
          <w:p>
            <w:pPr>
              <w:pStyle w:val="Compact"/>
            </w:pPr>
            <w:r>
              <w:t xml:space="preserve">4,000</w:t>
            </w:r>
          </w:p>
        </w:tc>
      </w:tr>
      <w:tr>
        <w:tc>
          <w:tcPr/>
          <w:p>
            <w:pPr>
              <w:pStyle w:val="Compact"/>
            </w:pPr>
            <w:r>
              <w:t xml:space="preserve">J + 600/year, F 75%</w:t>
            </w:r>
          </w:p>
        </w:tc>
        <w:tc>
          <w:tcPr/>
          <w:p>
            <w:pPr>
              <w:pStyle w:val="Compact"/>
            </w:pPr>
            <w:r>
              <w:t xml:space="preserve">600</w:t>
            </w:r>
          </w:p>
        </w:tc>
        <w:tc>
          <w:tcPr/>
          <w:p>
            <w:pPr>
              <w:pStyle w:val="Compact"/>
            </w:pPr>
            <w:r>
              <w:t xml:space="preserve">450</w:t>
            </w:r>
          </w:p>
        </w:tc>
        <w:tc>
          <w:tcPr/>
          <w:p>
            <w:pPr>
              <w:pStyle w:val="Compact"/>
            </w:pPr>
            <w:r>
              <w:t xml:space="preserve">150</w:t>
            </w:r>
          </w:p>
        </w:tc>
      </w:tr>
      <w:tr>
        <w:tc>
          <w:tcPr/>
          <w:p>
            <w:pPr>
              <w:pStyle w:val="Compact"/>
            </w:pPr>
            <w:r>
              <w:t xml:space="preserve">J + 1,000/year, F 75%</w:t>
            </w:r>
          </w:p>
        </w:tc>
        <w:tc>
          <w:tcPr/>
          <w:p>
            <w:pPr>
              <w:pStyle w:val="Compact"/>
            </w:pPr>
            <w:r>
              <w:t xml:space="preserve">1,000</w:t>
            </w:r>
          </w:p>
        </w:tc>
        <w:tc>
          <w:tcPr/>
          <w:p>
            <w:pPr>
              <w:pStyle w:val="Compact"/>
            </w:pPr>
            <w:r>
              <w:t xml:space="preserve">750</w:t>
            </w:r>
          </w:p>
        </w:tc>
        <w:tc>
          <w:tcPr/>
          <w:p>
            <w:pPr>
              <w:pStyle w:val="Compact"/>
            </w:pPr>
            <w:r>
              <w:t xml:space="preserve">250</w:t>
            </w:r>
          </w:p>
        </w:tc>
      </w:tr>
      <w:tr>
        <w:tc>
          <w:tcPr/>
          <w:p>
            <w:pPr>
              <w:pStyle w:val="Compact"/>
            </w:pPr>
            <w:r>
              <w:t xml:space="preserve">J + 2,000/year, F 75%</w:t>
            </w:r>
          </w:p>
        </w:tc>
        <w:tc>
          <w:tcPr/>
          <w:p>
            <w:pPr>
              <w:pStyle w:val="Compact"/>
            </w:pPr>
            <w:r>
              <w:t xml:space="preserve">2,000</w:t>
            </w:r>
          </w:p>
        </w:tc>
        <w:tc>
          <w:tcPr/>
          <w:p>
            <w:pPr>
              <w:pStyle w:val="Compact"/>
            </w:pPr>
            <w:r>
              <w:t xml:space="preserve">1,500</w:t>
            </w:r>
          </w:p>
        </w:tc>
        <w:tc>
          <w:tcPr/>
          <w:p>
            <w:pPr>
              <w:pStyle w:val="Compact"/>
            </w:pPr>
            <w:r>
              <w:t xml:space="preserve">500</w:t>
            </w:r>
          </w:p>
        </w:tc>
      </w:tr>
      <w:tr>
        <w:tc>
          <w:tcPr/>
          <w:p>
            <w:pPr>
              <w:pStyle w:val="Compact"/>
            </w:pPr>
            <w:r>
              <w:t xml:space="preserve">J + 5,000/year, F 75%</w:t>
            </w:r>
          </w:p>
        </w:tc>
        <w:tc>
          <w:tcPr/>
          <w:p>
            <w:pPr>
              <w:pStyle w:val="Compact"/>
            </w:pPr>
            <w:r>
              <w:t xml:space="preserve">5,000</w:t>
            </w:r>
          </w:p>
        </w:tc>
        <w:tc>
          <w:tcPr/>
          <w:p>
            <w:pPr>
              <w:pStyle w:val="Compact"/>
            </w:pPr>
            <w:r>
              <w:t xml:space="preserve">3,750</w:t>
            </w:r>
          </w:p>
        </w:tc>
        <w:tc>
          <w:tcPr/>
          <w:p>
            <w:pPr>
              <w:pStyle w:val="Compact"/>
            </w:pPr>
            <w:r>
              <w:t xml:space="preserve">1,250</w:t>
            </w:r>
          </w:p>
        </w:tc>
      </w:tr>
      <w:tr>
        <w:tc>
          <w:tcPr/>
          <w:p>
            <w:pPr>
              <w:pStyle w:val="Compact"/>
            </w:pPr>
            <w:r>
              <w:t xml:space="preserve">J + 8,000/year, F 75%</w:t>
            </w:r>
          </w:p>
        </w:tc>
        <w:tc>
          <w:tcPr/>
          <w:p>
            <w:pPr>
              <w:pStyle w:val="Compact"/>
            </w:pPr>
            <w:r>
              <w:t xml:space="preserve">8,000</w:t>
            </w:r>
          </w:p>
        </w:tc>
        <w:tc>
          <w:tcPr/>
          <w:p>
            <w:pPr>
              <w:pStyle w:val="Compact"/>
            </w:pPr>
            <w:r>
              <w:t xml:space="preserve">6,000</w:t>
            </w:r>
          </w:p>
        </w:tc>
        <w:tc>
          <w:tcPr/>
          <w:p>
            <w:pPr>
              <w:pStyle w:val="Compact"/>
            </w:pPr>
            <w:r>
              <w:t xml:space="preserve">2,000</w:t>
            </w:r>
          </w:p>
        </w:tc>
      </w:tr>
      <w:tr>
        <w:tc>
          <w:tcPr/>
          <w:p>
            <w:pPr>
              <w:pStyle w:val="Compact"/>
            </w:pPr>
            <w:r>
              <w:t xml:space="preserve">J + no screening cap</w:t>
            </w:r>
          </w:p>
        </w:tc>
        <w:tc>
          <w:tcPr/>
          <w:p>
            <w:pPr>
              <w:pStyle w:val="Compact"/>
            </w:pPr>
            <w:r>
              <w:t xml:space="preserve">Unlimited</w:t>
            </w:r>
          </w:p>
        </w:tc>
        <w:tc>
          <w:tcPr/>
          <w:p>
            <w:pPr>
              <w:pStyle w:val="Compact"/>
            </w:pPr>
            <w:r>
              <w:t xml:space="preserve">All eligible</w:t>
            </w:r>
          </w:p>
        </w:tc>
        <w:tc>
          <w:tcPr/>
          <w:p>
            <w:pPr>
              <w:pStyle w:val="Compact"/>
            </w:pPr>
            <w:r>
              <w:t xml:space="preserve">All eligible</w:t>
            </w:r>
          </w:p>
        </w:tc>
      </w:tr>
    </w:tbl>
    <w:bookmarkEnd w:id="26"/>
    <w:bookmarkStart w:id="27" w:name="outcomes"/>
    <w:p>
      <w:pPr>
        <w:pStyle w:val="Heading2"/>
      </w:pPr>
      <w:r>
        <w:t xml:space="preserve">3.3 Outcomes</w:t>
      </w:r>
    </w:p>
    <w:p>
      <w:pPr>
        <w:pStyle w:val="FirstParagraph"/>
      </w:pPr>
      <w:r>
        <w:t xml:space="preserve">New infections are the annual flow from states u and r to state a in D and F, evaluated at the end of each calendar year. HCV deaths are the annual excess deaths in stages 3 and 4 plus</w:t>
      </w:r>
      <w:r>
        <w:t xml:space="preserve"> </w:t>
      </w:r>
      <m:oMath>
        <m:r>
          <m:rPr>
            <m:sty m:val="p"/>
          </m:rPr>
          <m:t>(</m:t>
        </m:r>
        <m:sSub>
          <m:e>
            <m:r>
              <m:t>s</m:t>
            </m:r>
          </m:e>
          <m:sub>
            <m:r>
              <m:t>v</m:t>
            </m:r>
          </m:sub>
        </m:sSub>
        <m:r>
          <m:rPr>
            <m:sty m:val="p"/>
          </m:rPr>
          <m:t>−</m:t>
        </m:r>
        <m:sSub>
          <m:e>
            <m:r>
              <m:t>s</m:t>
            </m:r>
          </m:e>
          <m:sub>
            <m:r>
              <m:t>n</m:t>
            </m:r>
          </m:sub>
        </m:sSub>
        <m:r>
          <m:rPr>
            <m:sty m:val="p"/>
          </m:rPr>
          <m:t>)</m:t>
        </m:r>
        <m:sSub>
          <m:e>
            <m:r>
              <m:t>μ</m:t>
            </m:r>
          </m:e>
          <m:sub>
            <m:r>
              <m:t>i</m:t>
            </m:r>
          </m:sub>
        </m:sSub>
      </m:oMath>
      <w:r>
        <w:t xml:space="preserve"> </w:t>
      </w:r>
      <w:r>
        <w:t xml:space="preserve">times the number of viraemic people (states a, c and t) in every group, stage and age. Both are event counts per year. The reduction in 2030 is one minus the ratio of the 2030 value to the 2015 value. We also report these reductions for F and X combined.</w:t>
      </w:r>
    </w:p>
    <w:bookmarkEnd w:id="27"/>
    <w:bookmarkStart w:id="28" w:name="costs"/>
    <w:p>
      <w:pPr>
        <w:pStyle w:val="Heading2"/>
      </w:pPr>
      <w:r>
        <w:t xml:space="preserve">3.4 Costs</w:t>
      </w:r>
    </w:p>
    <w:p>
      <w:pPr>
        <w:pStyle w:val="FirstParagraph"/>
      </w:pPr>
      <w:r>
        <w:t xml:space="preserve">Costs were counted for F, J and X from 2026 to 2030 (Table S8). In F and X, each person screened had one antibody test. Each expected antibody positive person had one RNA test. Each treatment start had one consultation and one full drug course. In J the same rule applied to people entering prison: every entrant not on treatment had one antibody test and every expected antibody positive entrant one RNA test. Each treatment start in J had one consultation and one drug course. Costs were counted in the year they occurred and discounted as</w:t>
      </w:r>
      <w:r>
        <w:t xml:space="preserve"> </w:t>
      </w:r>
      <m:oMath>
        <m:sSub>
          <m:e>
            <m:r>
              <m:t>C</m:t>
            </m:r>
          </m:e>
          <m:sub>
            <m:r>
              <m:t>y</m:t>
            </m:r>
          </m:sub>
        </m:sSub>
        <m:r>
          <m:rPr>
            <m:sty m:val="p"/>
          </m:rPr>
          <m:t>/</m:t>
        </m:r>
        <m:sSup>
          <m:e>
            <m:r>
              <m:t>1.03</m:t>
            </m:r>
          </m:e>
          <m:sup>
            <m:r>
              <m:rPr>
                <m:sty m:val="p"/>
              </m:rPr>
              <m:t>(</m:t>
            </m:r>
            <m:r>
              <m:t>y</m:t>
            </m:r>
            <m:r>
              <m:rPr>
                <m:sty m:val="p"/>
              </m:rPr>
              <m:t>−</m:t>
            </m:r>
            <m:r>
              <m:t>2026</m:t>
            </m:r>
            <m:r>
              <m:rPr>
                <m:sty m:val="p"/>
              </m:rPr>
              <m:t>)</m:t>
            </m:r>
          </m:sup>
        </m:sSup>
      </m:oMath>
      <w:r>
        <w:t xml:space="preserve">.</w:t>
      </w:r>
    </w:p>
    <w:p>
      <w:pPr>
        <w:pStyle w:val="BodyText"/>
      </w:pPr>
      <w:r>
        <w:t xml:space="preserve">The drug price was USD 2,577 per week for 12 weeks</w:t>
      </w:r>
      <w:r>
        <w:t xml:space="preserve"> </w:t>
      </w:r>
      <w:r>
        <w:t xml:space="preserve">[24]</w:t>
      </w:r>
      <w:r>
        <w:t xml:space="preserve">. This is USD 30,924 per course. We converted it at the 2025 average rate of 1.3066 Singapore dollars per US dollar</w:t>
      </w:r>
      <w:r>
        <w:t xml:space="preserve"> </w:t>
      </w:r>
      <w:r>
        <w:t xml:space="preserve">[25]</w:t>
      </w:r>
      <w:r>
        <w:t xml:space="preserve">. Prices were not inflated. These are model prices and not Singapore payer costs. Follow up visits, SVR12 tests, fibrosis assessment and programme staff were not included.</w:t>
      </w:r>
    </w:p>
    <w:p>
      <w:pPr>
        <w:pStyle w:val="BodyText"/>
      </w:pPr>
      <w:r>
        <w:rPr>
          <w:b/>
          <w:bCs/>
        </w:rPr>
        <w:t xml:space="preserve">Table S8. Unit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Unit cost</w:t>
            </w:r>
          </w:p>
        </w:tc>
        <w:tc>
          <w:tcPr/>
          <w:p>
            <w:pPr>
              <w:pStyle w:val="Compact"/>
            </w:pPr>
            <w:r>
              <w:t xml:space="preserve">Unit</w:t>
            </w:r>
          </w:p>
        </w:tc>
        <w:tc>
          <w:tcPr/>
          <w:p>
            <w:pPr>
              <w:pStyle w:val="Compact"/>
            </w:pPr>
            <w:r>
              <w:t xml:space="preserve">Source price</w:t>
            </w:r>
          </w:p>
        </w:tc>
      </w:tr>
      <w:tr>
        <w:tc>
          <w:tcPr/>
          <w:p>
            <w:pPr>
              <w:pStyle w:val="Compact"/>
            </w:pPr>
            <w:r>
              <w:t xml:space="preserve">SOF/VEL 400/100 mg</w:t>
            </w:r>
          </w:p>
        </w:tc>
        <w:tc>
          <w:tcPr/>
          <w:p>
            <w:pPr>
              <w:pStyle w:val="Compact"/>
            </w:pPr>
            <w:r>
              <w:t xml:space="preserve">S$40,405.30</w:t>
            </w:r>
          </w:p>
        </w:tc>
        <w:tc>
          <w:tcPr/>
          <w:p>
            <w:pPr>
              <w:pStyle w:val="Compact"/>
            </w:pPr>
            <w:r>
              <w:t xml:space="preserve">SGD per 12-week course</w:t>
            </w:r>
          </w:p>
        </w:tc>
        <w:tc>
          <w:tcPr/>
          <w:p>
            <w:pPr>
              <w:pStyle w:val="Compact"/>
            </w:pPr>
            <w:r>
              <w:t xml:space="preserve">USD 2577 per week (2019)</w:t>
            </w:r>
          </w:p>
        </w:tc>
      </w:tr>
      <w:tr>
        <w:tc>
          <w:tcPr/>
          <w:p>
            <w:pPr>
              <w:pStyle w:val="Compact"/>
            </w:pPr>
            <w:r>
              <w:t xml:space="preserve">Anti-HCV antibody</w:t>
            </w:r>
          </w:p>
        </w:tc>
        <w:tc>
          <w:tcPr/>
          <w:p>
            <w:pPr>
              <w:pStyle w:val="Compact"/>
            </w:pPr>
            <w:r>
              <w:t xml:space="preserve">S$25.31</w:t>
            </w:r>
          </w:p>
        </w:tc>
        <w:tc>
          <w:tcPr/>
          <w:p>
            <w:pPr>
              <w:pStyle w:val="Compact"/>
            </w:pPr>
            <w:r>
              <w:t xml:space="preserve">SGD per test</w:t>
            </w:r>
          </w:p>
        </w:tc>
        <w:tc>
          <w:tcPr/>
          <w:p>
            <w:pPr>
              <w:pStyle w:val="Compact"/>
            </w:pPr>
            <w:r>
              <w:t xml:space="preserve">SGD 25.31 per test (2026)</w:t>
            </w:r>
          </w:p>
        </w:tc>
      </w:tr>
      <w:tr>
        <w:tc>
          <w:tcPr/>
          <w:p>
            <w:pPr>
              <w:pStyle w:val="Compact"/>
            </w:pPr>
            <w:r>
              <w:t xml:space="preserve">HCV RNA PCR</w:t>
            </w:r>
          </w:p>
        </w:tc>
        <w:tc>
          <w:tcPr/>
          <w:p>
            <w:pPr>
              <w:pStyle w:val="Compact"/>
            </w:pPr>
            <w:r>
              <w:t xml:space="preserve">S$307.00</w:t>
            </w:r>
          </w:p>
        </w:tc>
        <w:tc>
          <w:tcPr/>
          <w:p>
            <w:pPr>
              <w:pStyle w:val="Compact"/>
            </w:pPr>
            <w:r>
              <w:t xml:space="preserve">SGD per test</w:t>
            </w:r>
          </w:p>
        </w:tc>
        <w:tc>
          <w:tcPr/>
          <w:p>
            <w:pPr>
              <w:pStyle w:val="Compact"/>
            </w:pPr>
            <w:r>
              <w:t xml:space="preserve">SGD 307 per test (2025)</w:t>
            </w:r>
          </w:p>
        </w:tc>
      </w:tr>
      <w:tr>
        <w:tc>
          <w:tcPr/>
          <w:p>
            <w:pPr>
              <w:pStyle w:val="Compact"/>
            </w:pPr>
            <w:r>
              <w:t xml:space="preserve">Doctor consultation</w:t>
            </w:r>
          </w:p>
        </w:tc>
        <w:tc>
          <w:tcPr/>
          <w:p>
            <w:pPr>
              <w:pStyle w:val="Compact"/>
            </w:pPr>
            <w:r>
              <w:t xml:space="preserve">S$25.00</w:t>
            </w:r>
          </w:p>
        </w:tc>
        <w:tc>
          <w:tcPr/>
          <w:p>
            <w:pPr>
              <w:pStyle w:val="Compact"/>
            </w:pPr>
            <w:r>
              <w:t xml:space="preserve">SGD per visit</w:t>
            </w:r>
          </w:p>
        </w:tc>
        <w:tc>
          <w:tcPr/>
          <w:p>
            <w:pPr>
              <w:pStyle w:val="Compact"/>
            </w:pPr>
            <w:r>
              <w:t xml:space="preserve">SGD 25 per visit (2026)</w:t>
            </w:r>
          </w:p>
        </w:tc>
      </w:tr>
    </w:tbl>
    <w:p>
      <w:pPr>
        <w:pStyle w:val="BodyText"/>
      </w:pPr>
      <w:r>
        <w:t xml:space="preserve">Sources: drug price</w:t>
      </w:r>
      <w:r>
        <w:t xml:space="preserve"> </w:t>
      </w:r>
      <w:r>
        <w:t xml:space="preserve">[24]</w:t>
      </w:r>
      <w:r>
        <w:t xml:space="preserve">, antibody test and consultation</w:t>
      </w:r>
      <w:r>
        <w:t xml:space="preserve"> </w:t>
      </w:r>
      <w:r>
        <w:t xml:space="preserve">[26]</w:t>
      </w:r>
      <w:r>
        <w:t xml:space="preserve">, RNA test</w:t>
      </w:r>
      <w:r>
        <w:t xml:space="preserve"> </w:t>
      </w:r>
      <w:r>
        <w:t xml:space="preserve">[27]</w:t>
      </w:r>
      <w:r>
        <w:t xml:space="preserve">.</w:t>
      </w:r>
    </w:p>
    <w:bookmarkEnd w:id="28"/>
    <w:bookmarkEnd w:id="29"/>
    <w:bookmarkStart w:id="51" w:name="full-results"/>
    <w:p>
      <w:pPr>
        <w:pStyle w:val="Heading1"/>
      </w:pPr>
      <w:r>
        <w:t xml:space="preserve">4. Full results</w:t>
      </w:r>
    </w:p>
    <w:bookmarkStart w:id="36" w:name="targets-in-all-scenarios"/>
    <w:p>
      <w:pPr>
        <w:pStyle w:val="Heading2"/>
      </w:pPr>
      <w:r>
        <w:t xml:space="preserve">4.1 Targets in all scenarios</w:t>
      </w:r>
    </w:p>
    <w:p>
      <w:pPr>
        <w:pStyle w:val="FirstParagraph"/>
      </w:pPr>
      <w:r>
        <w:rPr>
          <w:b/>
          <w:bCs/>
        </w:rPr>
        <w:t xml:space="preserve">Table S9. Reductions in 2030 compared with 2015, all 17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both targets</w:t>
            </w:r>
          </w:p>
        </w:tc>
        <w:tc>
          <w:tcPr/>
          <w:p>
            <w:pPr>
              <w:pStyle w:val="Compact"/>
            </w:pPr>
            <w:r>
              <w:t xml:space="preserve">F and X incidence reduction</w:t>
            </w:r>
          </w:p>
        </w:tc>
        <w:tc>
          <w:tcPr/>
          <w:p>
            <w:pPr>
              <w:pStyle w:val="Compact"/>
            </w:pPr>
            <w:r>
              <w:t xml:space="preserve">F and X mortality reduction</w:t>
            </w:r>
          </w:p>
        </w:tc>
      </w:tr>
      <w:tr>
        <w:tc>
          <w:tcPr/>
          <w:p>
            <w:pPr>
              <w:pStyle w:val="Compact"/>
            </w:pPr>
            <w:r>
              <w:t xml:space="preserve">Prison treatment only (J only)</w:t>
            </w:r>
          </w:p>
        </w:tc>
        <w:tc>
          <w:tcPr/>
          <w:p>
            <w:pPr>
              <w:pStyle w:val="Compact"/>
            </w:pPr>
            <w:r>
              <w:t xml:space="preserve">84.5% (95% UI: 68.7%–90.5%)</w:t>
            </w:r>
          </w:p>
        </w:tc>
        <w:tc>
          <w:tcPr/>
          <w:p>
            <w:pPr>
              <w:pStyle w:val="Compact"/>
            </w:pPr>
            <w:r>
              <w:t xml:space="preserve">54.9% (95% UI: 52.3%–57.5%)</w:t>
            </w:r>
          </w:p>
        </w:tc>
        <w:tc>
          <w:tcPr/>
          <w:p>
            <w:pPr>
              <w:pStyle w:val="Compact"/>
            </w:pPr>
            <w:r>
              <w:t xml:space="preserve">0%</w:t>
            </w:r>
          </w:p>
        </w:tc>
        <w:tc>
          <w:tcPr/>
          <w:p>
            <w:pPr>
              <w:pStyle w:val="Compact"/>
            </w:pPr>
            <w:r>
              <w:t xml:space="preserve">82.5% (95% UI: 63.6%–89.5%)</w:t>
            </w:r>
          </w:p>
        </w:tc>
        <w:tc>
          <w:tcPr/>
          <w:p>
            <w:pPr>
              <w:pStyle w:val="Compact"/>
            </w:pPr>
            <w:r>
              <w:t xml:space="preserve">46.2% (95% UI: 43.8%–48.8%)</w:t>
            </w:r>
          </w:p>
        </w:tc>
      </w:tr>
      <w:tr>
        <w:tc>
          <w:tcPr/>
          <w:p>
            <w:pPr>
              <w:pStyle w:val="Compact"/>
            </w:pPr>
            <w:r>
              <w:t xml:space="preserve">J + 600/year, F 25%</w:t>
            </w:r>
          </w:p>
        </w:tc>
        <w:tc>
          <w:tcPr/>
          <w:p>
            <w:pPr>
              <w:pStyle w:val="Compact"/>
            </w:pPr>
            <w:r>
              <w:t xml:space="preserve">85.6% (95% UI: 70.1%–91.3%)</w:t>
            </w:r>
          </w:p>
        </w:tc>
        <w:tc>
          <w:tcPr/>
          <w:p>
            <w:pPr>
              <w:pStyle w:val="Compact"/>
            </w:pPr>
            <w:r>
              <w:t xml:space="preserve">56.8% (95% UI: 54.3%–59.4%)</w:t>
            </w:r>
          </w:p>
        </w:tc>
        <w:tc>
          <w:tcPr/>
          <w:p>
            <w:pPr>
              <w:pStyle w:val="Compact"/>
            </w:pPr>
            <w:r>
              <w:t xml:space="preserve">0%</w:t>
            </w:r>
          </w:p>
        </w:tc>
        <w:tc>
          <w:tcPr/>
          <w:p>
            <w:pPr>
              <w:pStyle w:val="Compact"/>
            </w:pPr>
            <w:r>
              <w:t xml:space="preserve">83.8% (95% UI: 65.1%–90.4%)</w:t>
            </w:r>
          </w:p>
        </w:tc>
        <w:tc>
          <w:tcPr/>
          <w:p>
            <w:pPr>
              <w:pStyle w:val="Compact"/>
            </w:pPr>
            <w:r>
              <w:t xml:space="preserve">48.6% (95% UI: 46.3%–51.1%)</w:t>
            </w:r>
          </w:p>
        </w:tc>
      </w:tr>
      <w:tr>
        <w:tc>
          <w:tcPr/>
          <w:p>
            <w:pPr>
              <w:pStyle w:val="Compact"/>
            </w:pPr>
            <w:r>
              <w:t xml:space="preserve">J + 1,000/year, F 25%</w:t>
            </w:r>
          </w:p>
        </w:tc>
        <w:tc>
          <w:tcPr/>
          <w:p>
            <w:pPr>
              <w:pStyle w:val="Compact"/>
            </w:pPr>
            <w:r>
              <w:t xml:space="preserve">86.3% (95% UI: 70.8%–91.8%)</w:t>
            </w:r>
          </w:p>
        </w:tc>
        <w:tc>
          <w:tcPr/>
          <w:p>
            <w:pPr>
              <w:pStyle w:val="Compact"/>
            </w:pPr>
            <w:r>
              <w:t xml:space="preserve">58.1% (95% UI: 55.6%–60.5%)</w:t>
            </w:r>
          </w:p>
        </w:tc>
        <w:tc>
          <w:tcPr/>
          <w:p>
            <w:pPr>
              <w:pStyle w:val="Compact"/>
            </w:pPr>
            <w:r>
              <w:t xml:space="preserve">0%</w:t>
            </w:r>
          </w:p>
        </w:tc>
        <w:tc>
          <w:tcPr/>
          <w:p>
            <w:pPr>
              <w:pStyle w:val="Compact"/>
            </w:pPr>
            <w:r>
              <w:t xml:space="preserve">84.6% (95% UI: 65.9%–91.0%)</w:t>
            </w:r>
          </w:p>
        </w:tc>
        <w:tc>
          <w:tcPr/>
          <w:p>
            <w:pPr>
              <w:pStyle w:val="Compact"/>
            </w:pPr>
            <w:r>
              <w:t xml:space="preserve">50.1% (95% UI: 47.8%–52.5%)</w:t>
            </w:r>
          </w:p>
        </w:tc>
      </w:tr>
      <w:tr>
        <w:tc>
          <w:tcPr/>
          <w:p>
            <w:pPr>
              <w:pStyle w:val="Compact"/>
            </w:pPr>
            <w:r>
              <w:t xml:space="preserve">J + 2,000/year, F 25%</w:t>
            </w:r>
          </w:p>
        </w:tc>
        <w:tc>
          <w:tcPr/>
          <w:p>
            <w:pPr>
              <w:pStyle w:val="Compact"/>
            </w:pPr>
            <w:r>
              <w:t xml:space="preserve">88.0% (95% UI: 72.9%–93.0%)</w:t>
            </w:r>
          </w:p>
        </w:tc>
        <w:tc>
          <w:tcPr/>
          <w:p>
            <w:pPr>
              <w:pStyle w:val="Compact"/>
            </w:pPr>
            <w:r>
              <w:t xml:space="preserve">61.0% (95% UI: 58.6%–63.3%)</w:t>
            </w:r>
          </w:p>
        </w:tc>
        <w:tc>
          <w:tcPr/>
          <w:p>
            <w:pPr>
              <w:pStyle w:val="Compact"/>
            </w:pPr>
            <w:r>
              <w:t xml:space="preserve">0%</w:t>
            </w:r>
          </w:p>
        </w:tc>
        <w:tc>
          <w:tcPr/>
          <w:p>
            <w:pPr>
              <w:pStyle w:val="Compact"/>
            </w:pPr>
            <w:r>
              <w:t xml:space="preserve">86.5% (95% UI: 68.4%–92.3%)</w:t>
            </w:r>
          </w:p>
        </w:tc>
        <w:tc>
          <w:tcPr/>
          <w:p>
            <w:pPr>
              <w:pStyle w:val="Compact"/>
            </w:pPr>
            <w:r>
              <w:t xml:space="preserve">53.7% (95% UI: 51.5%–56.0%)</w:t>
            </w:r>
          </w:p>
        </w:tc>
      </w:tr>
      <w:tr>
        <w:tc>
          <w:tcPr/>
          <w:p>
            <w:pPr>
              <w:pStyle w:val="Compact"/>
            </w:pPr>
            <w:r>
              <w:t xml:space="preserve">J + 5,000/year, F 25%</w:t>
            </w:r>
          </w:p>
        </w:tc>
        <w:tc>
          <w:tcPr/>
          <w:p>
            <w:pPr>
              <w:pStyle w:val="Compact"/>
            </w:pPr>
            <w:r>
              <w:t xml:space="preserve">92.0% (95% UI: 77.4%–95.8%)</w:t>
            </w:r>
          </w:p>
        </w:tc>
        <w:tc>
          <w:tcPr/>
          <w:p>
            <w:pPr>
              <w:pStyle w:val="Compact"/>
            </w:pPr>
            <w:r>
              <w:t xml:space="preserve">68.4% (95% UI: 66.3%–70.2%)</w:t>
            </w:r>
          </w:p>
        </w:tc>
        <w:tc>
          <w:tcPr/>
          <w:p>
            <w:pPr>
              <w:pStyle w:val="Compact"/>
            </w:pPr>
            <w:r>
              <w:t xml:space="preserve">95%</w:t>
            </w:r>
          </w:p>
        </w:tc>
        <w:tc>
          <w:tcPr/>
          <w:p>
            <w:pPr>
              <w:pStyle w:val="Compact"/>
            </w:pPr>
            <w:r>
              <w:t xml:space="preserve">91.0% (95% UI: 73.4%–95.4%)</w:t>
            </w:r>
          </w:p>
        </w:tc>
        <w:tc>
          <w:tcPr/>
          <w:p>
            <w:pPr>
              <w:pStyle w:val="Compact"/>
            </w:pPr>
            <w:r>
              <w:t xml:space="preserve">62.7% (95% UI: 60.7%–64.7%)</w:t>
            </w:r>
          </w:p>
        </w:tc>
      </w:tr>
      <w:tr>
        <w:tc>
          <w:tcPr/>
          <w:p>
            <w:pPr>
              <w:pStyle w:val="Compact"/>
            </w:pPr>
            <w:r>
              <w:t xml:space="preserve">J + 8,000/year, F 25%</w:t>
            </w:r>
          </w:p>
        </w:tc>
        <w:tc>
          <w:tcPr/>
          <w:p>
            <w:pPr>
              <w:pStyle w:val="Compact"/>
            </w:pPr>
            <w:r>
              <w:t xml:space="preserve">94.9% (95% UI: 80.1%–97.6%)</w:t>
            </w:r>
          </w:p>
        </w:tc>
        <w:tc>
          <w:tcPr/>
          <w:p>
            <w:pPr>
              <w:pStyle w:val="Compact"/>
            </w:pPr>
            <w:r>
              <w:t xml:space="preserve">73.9% (95% UI: 72.2%–75.5%)</w:t>
            </w:r>
          </w:p>
        </w:tc>
        <w:tc>
          <w:tcPr/>
          <w:p>
            <w:pPr>
              <w:pStyle w:val="Compact"/>
            </w:pPr>
            <w:r>
              <w:t xml:space="preserve">98%</w:t>
            </w:r>
          </w:p>
        </w:tc>
        <w:tc>
          <w:tcPr/>
          <w:p>
            <w:pPr>
              <w:pStyle w:val="Compact"/>
            </w:pPr>
            <w:r>
              <w:t xml:space="preserve">94.2% (95% UI: 76.6%–97.4%)</w:t>
            </w:r>
          </w:p>
        </w:tc>
        <w:tc>
          <w:tcPr/>
          <w:p>
            <w:pPr>
              <w:pStyle w:val="Compact"/>
            </w:pPr>
            <w:r>
              <w:t xml:space="preserve">69.5% (95% UI: 67.8%–71.3%)</w:t>
            </w:r>
          </w:p>
        </w:tc>
      </w:tr>
      <w:tr>
        <w:tc>
          <w:tcPr/>
          <w:p>
            <w:pPr>
              <w:pStyle w:val="Compact"/>
            </w:pPr>
            <w:r>
              <w:t xml:space="preserve">J + 600/year, F 50%</w:t>
            </w:r>
          </w:p>
        </w:tc>
        <w:tc>
          <w:tcPr/>
          <w:p>
            <w:pPr>
              <w:pStyle w:val="Compact"/>
            </w:pPr>
            <w:r>
              <w:t xml:space="preserve">86.7% (95% UI: 71.4%–92.0%)</w:t>
            </w:r>
          </w:p>
        </w:tc>
        <w:tc>
          <w:tcPr/>
          <w:p>
            <w:pPr>
              <w:pStyle w:val="Compact"/>
            </w:pPr>
            <w:r>
              <w:t xml:space="preserve">56.4% (95% UI: 53.8%–58.9%)</w:t>
            </w:r>
          </w:p>
        </w:tc>
        <w:tc>
          <w:tcPr/>
          <w:p>
            <w:pPr>
              <w:pStyle w:val="Compact"/>
            </w:pPr>
            <w:r>
              <w:t xml:space="preserve">0%</w:t>
            </w:r>
          </w:p>
        </w:tc>
        <w:tc>
          <w:tcPr/>
          <w:p>
            <w:pPr>
              <w:pStyle w:val="Compact"/>
            </w:pPr>
            <w:r>
              <w:t xml:space="preserve">85.0% (95% UI: 66.6%–91.2%)</w:t>
            </w:r>
          </w:p>
        </w:tc>
        <w:tc>
          <w:tcPr/>
          <w:p>
            <w:pPr>
              <w:pStyle w:val="Compact"/>
            </w:pPr>
            <w:r>
              <w:t xml:space="preserve">48.0% (95% UI: 45.6%–50.5%)</w:t>
            </w:r>
          </w:p>
        </w:tc>
      </w:tr>
      <w:tr>
        <w:tc>
          <w:tcPr/>
          <w:p>
            <w:pPr>
              <w:pStyle w:val="Compact"/>
            </w:pPr>
            <w:r>
              <w:t xml:space="preserve">J + 1,000/year, F 50%</w:t>
            </w:r>
          </w:p>
        </w:tc>
        <w:tc>
          <w:tcPr/>
          <w:p>
            <w:pPr>
              <w:pStyle w:val="Compact"/>
            </w:pPr>
            <w:r>
              <w:t xml:space="preserve">88.0% (95% UI: 72.9%–93.0%)</w:t>
            </w:r>
          </w:p>
        </w:tc>
        <w:tc>
          <w:tcPr/>
          <w:p>
            <w:pPr>
              <w:pStyle w:val="Compact"/>
            </w:pPr>
            <w:r>
              <w:t xml:space="preserve">57.3% (95% UI: 54.7%–59.8%)</w:t>
            </w:r>
          </w:p>
        </w:tc>
        <w:tc>
          <w:tcPr/>
          <w:p>
            <w:pPr>
              <w:pStyle w:val="Compact"/>
            </w:pPr>
            <w:r>
              <w:t xml:space="preserve">0%</w:t>
            </w:r>
          </w:p>
        </w:tc>
        <w:tc>
          <w:tcPr/>
          <w:p>
            <w:pPr>
              <w:pStyle w:val="Compact"/>
            </w:pPr>
            <w:r>
              <w:t xml:space="preserve">86.5% (95% UI: 68.4%–92.3%)</w:t>
            </w:r>
          </w:p>
        </w:tc>
        <w:tc>
          <w:tcPr/>
          <w:p>
            <w:pPr>
              <w:pStyle w:val="Compact"/>
            </w:pPr>
            <w:r>
              <w:t xml:space="preserve">49.1% (95% UI: 46.7%–51.6%)</w:t>
            </w:r>
          </w:p>
        </w:tc>
      </w:tr>
      <w:tr>
        <w:tc>
          <w:tcPr/>
          <w:p>
            <w:pPr>
              <w:pStyle w:val="Compact"/>
            </w:pPr>
            <w:r>
              <w:t xml:space="preserve">J + 2,000/year, F 50%</w:t>
            </w:r>
          </w:p>
        </w:tc>
        <w:tc>
          <w:tcPr/>
          <w:p>
            <w:pPr>
              <w:pStyle w:val="Compact"/>
            </w:pPr>
            <w:r>
              <w:t xml:space="preserve">90.9% (95% UI: 75.7%–94.9%)</w:t>
            </w:r>
          </w:p>
        </w:tc>
        <w:tc>
          <w:tcPr/>
          <w:p>
            <w:pPr>
              <w:pStyle w:val="Compact"/>
            </w:pPr>
            <w:r>
              <w:t xml:space="preserve">59.5% (95% UI: 57.0%–62.0%)</w:t>
            </w:r>
          </w:p>
        </w:tc>
        <w:tc>
          <w:tcPr/>
          <w:p>
            <w:pPr>
              <w:pStyle w:val="Compact"/>
            </w:pPr>
            <w:r>
              <w:t xml:space="preserve">0%</w:t>
            </w:r>
          </w:p>
        </w:tc>
        <w:tc>
          <w:tcPr/>
          <w:p>
            <w:pPr>
              <w:pStyle w:val="Compact"/>
            </w:pPr>
            <w:r>
              <w:t xml:space="preserve">89.7% (95% UI: 71.8%–94.5%)</w:t>
            </w:r>
          </w:p>
        </w:tc>
        <w:tc>
          <w:tcPr/>
          <w:p>
            <w:pPr>
              <w:pStyle w:val="Compact"/>
            </w:pPr>
            <w:r>
              <w:t xml:space="preserve">51.8% (95% UI: 49.4%–54.2%)</w:t>
            </w:r>
          </w:p>
        </w:tc>
      </w:tr>
      <w:tr>
        <w:tc>
          <w:tcPr/>
          <w:p>
            <w:pPr>
              <w:pStyle w:val="Compact"/>
            </w:pPr>
            <w:r>
              <w:t xml:space="preserve">J + 5,000/year, F 50%</w:t>
            </w:r>
          </w:p>
        </w:tc>
        <w:tc>
          <w:tcPr/>
          <w:p>
            <w:pPr>
              <w:pStyle w:val="Compact"/>
            </w:pPr>
            <w:r>
              <w:t xml:space="preserve">96.1% (95% UI: 81.5%–98.4%)</w:t>
            </w:r>
          </w:p>
        </w:tc>
        <w:tc>
          <w:tcPr/>
          <w:p>
            <w:pPr>
              <w:pStyle w:val="Compact"/>
            </w:pPr>
            <w:r>
              <w:t xml:space="preserve">65.1% (95% UI: 62.8%–67.3%)</w:t>
            </w:r>
          </w:p>
        </w:tc>
        <w:tc>
          <w:tcPr/>
          <w:p>
            <w:pPr>
              <w:pStyle w:val="Compact"/>
            </w:pPr>
            <w:r>
              <w:t xml:space="preserve">51%</w:t>
            </w:r>
          </w:p>
        </w:tc>
        <w:tc>
          <w:tcPr/>
          <w:p>
            <w:pPr>
              <w:pStyle w:val="Compact"/>
            </w:pPr>
            <w:r>
              <w:t xml:space="preserve">95.6% (95% UI: 78.3%–98.2%)</w:t>
            </w:r>
          </w:p>
        </w:tc>
        <w:tc>
          <w:tcPr/>
          <w:p>
            <w:pPr>
              <w:pStyle w:val="Compact"/>
            </w:pPr>
            <w:r>
              <w:t xml:space="preserve">58.6% (95% UI: 56.4%–60.9%)</w:t>
            </w:r>
          </w:p>
        </w:tc>
      </w:tr>
      <w:tr>
        <w:tc>
          <w:tcPr/>
          <w:p>
            <w:pPr>
              <w:pStyle w:val="Compact"/>
            </w:pPr>
            <w:r>
              <w:t xml:space="preserve">J + 8,000/year, F 50%</w:t>
            </w:r>
          </w:p>
        </w:tc>
        <w:tc>
          <w:tcPr/>
          <w:p>
            <w:pPr>
              <w:pStyle w:val="Compact"/>
            </w:pPr>
            <w:r>
              <w:t xml:space="preserve">98.3% (95% UI: 84.1%–99.6%)</w:t>
            </w:r>
          </w:p>
        </w:tc>
        <w:tc>
          <w:tcPr/>
          <w:p>
            <w:pPr>
              <w:pStyle w:val="Compact"/>
            </w:pPr>
            <w:r>
              <w:t xml:space="preserve">69.6% (95% UI: 67.5%–71.6%)</w:t>
            </w:r>
          </w:p>
        </w:tc>
        <w:tc>
          <w:tcPr/>
          <w:p>
            <w:pPr>
              <w:pStyle w:val="Compact"/>
            </w:pPr>
            <w:r>
              <w:t xml:space="preserve">99%</w:t>
            </w:r>
          </w:p>
        </w:tc>
        <w:tc>
          <w:tcPr/>
          <w:p>
            <w:pPr>
              <w:pStyle w:val="Compact"/>
            </w:pPr>
            <w:r>
              <w:t xml:space="preserve">98.0% (95% UI: 81.4%–99.6%)</w:t>
            </w:r>
          </w:p>
        </w:tc>
        <w:tc>
          <w:tcPr/>
          <w:p>
            <w:pPr>
              <w:pStyle w:val="Compact"/>
            </w:pPr>
            <w:r>
              <w:t xml:space="preserve">64.1% (95% UI: 62.0%–66.2%)</w:t>
            </w:r>
          </w:p>
        </w:tc>
      </w:tr>
      <w:tr>
        <w:tc>
          <w:tcPr/>
          <w:p>
            <w:pPr>
              <w:pStyle w:val="Compact"/>
            </w:pPr>
            <w:r>
              <w:t xml:space="preserve">J + 600/year, F 75%</w:t>
            </w:r>
          </w:p>
        </w:tc>
        <w:tc>
          <w:tcPr/>
          <w:p>
            <w:pPr>
              <w:pStyle w:val="Compact"/>
            </w:pPr>
            <w:r>
              <w:t xml:space="preserve">87.7% (95% UI: 72.6%–92.7%)</w:t>
            </w:r>
          </w:p>
        </w:tc>
        <w:tc>
          <w:tcPr/>
          <w:p>
            <w:pPr>
              <w:pStyle w:val="Compact"/>
            </w:pPr>
            <w:r>
              <w:t xml:space="preserve">55.9% (95% UI: 53.2%–58.5%)</w:t>
            </w:r>
          </w:p>
        </w:tc>
        <w:tc>
          <w:tcPr/>
          <w:p>
            <w:pPr>
              <w:pStyle w:val="Compact"/>
            </w:pPr>
            <w:r>
              <w:t xml:space="preserve">0%</w:t>
            </w:r>
          </w:p>
        </w:tc>
        <w:tc>
          <w:tcPr/>
          <w:p>
            <w:pPr>
              <w:pStyle w:val="Compact"/>
            </w:pPr>
            <w:r>
              <w:t xml:space="preserve">86.1% (95% UI: 67.9%–92.0%)</w:t>
            </w:r>
          </w:p>
        </w:tc>
        <w:tc>
          <w:tcPr/>
          <w:p>
            <w:pPr>
              <w:pStyle w:val="Compact"/>
            </w:pPr>
            <w:r>
              <w:t xml:space="preserve">47.4% (95% UI: 44.9%–49.9%)</w:t>
            </w:r>
          </w:p>
        </w:tc>
      </w:tr>
      <w:tr>
        <w:tc>
          <w:tcPr/>
          <w:p>
            <w:pPr>
              <w:pStyle w:val="Compact"/>
            </w:pPr>
            <w:r>
              <w:t xml:space="preserve">J + 1,000/year, F 75%</w:t>
            </w:r>
          </w:p>
        </w:tc>
        <w:tc>
          <w:tcPr/>
          <w:p>
            <w:pPr>
              <w:pStyle w:val="Compact"/>
            </w:pPr>
            <w:r>
              <w:t xml:space="preserve">89.5% (95% UI: 74.7%–94.0%)</w:t>
            </w:r>
          </w:p>
        </w:tc>
        <w:tc>
          <w:tcPr/>
          <w:p>
            <w:pPr>
              <w:pStyle w:val="Compact"/>
            </w:pPr>
            <w:r>
              <w:t xml:space="preserve">56.4% (95% UI: 53.8%–59.1%)</w:t>
            </w:r>
          </w:p>
        </w:tc>
        <w:tc>
          <w:tcPr/>
          <w:p>
            <w:pPr>
              <w:pStyle w:val="Compact"/>
            </w:pPr>
            <w:r>
              <w:t xml:space="preserve">0%</w:t>
            </w:r>
          </w:p>
        </w:tc>
        <w:tc>
          <w:tcPr/>
          <w:p>
            <w:pPr>
              <w:pStyle w:val="Compact"/>
            </w:pPr>
            <w:r>
              <w:t xml:space="preserve">88.2% (95% UI: 70.4%–93.4%)</w:t>
            </w:r>
          </w:p>
        </w:tc>
        <w:tc>
          <w:tcPr/>
          <w:p>
            <w:pPr>
              <w:pStyle w:val="Compact"/>
            </w:pPr>
            <w:r>
              <w:t xml:space="preserve">48.1% (95% UI: 45.6%–50.6%)</w:t>
            </w:r>
          </w:p>
        </w:tc>
      </w:tr>
      <w:tr>
        <w:tc>
          <w:tcPr/>
          <w:p>
            <w:pPr>
              <w:pStyle w:val="Compact"/>
            </w:pPr>
            <w:r>
              <w:t xml:space="preserve">J + 2,000/year, F 75%</w:t>
            </w:r>
          </w:p>
        </w:tc>
        <w:tc>
          <w:tcPr/>
          <w:p>
            <w:pPr>
              <w:pStyle w:val="Compact"/>
            </w:pPr>
            <w:r>
              <w:t xml:space="preserve">93.1% (95% UI: 78.4%–96.5%)</w:t>
            </w:r>
          </w:p>
        </w:tc>
        <w:tc>
          <w:tcPr/>
          <w:p>
            <w:pPr>
              <w:pStyle w:val="Compact"/>
            </w:pPr>
            <w:r>
              <w:t xml:space="preserve">57.8% (95% UI: 55.1%–60.4%)</w:t>
            </w:r>
          </w:p>
        </w:tc>
        <w:tc>
          <w:tcPr/>
          <w:p>
            <w:pPr>
              <w:pStyle w:val="Compact"/>
            </w:pPr>
            <w:r>
              <w:t xml:space="preserve">0%</w:t>
            </w:r>
          </w:p>
        </w:tc>
        <w:tc>
          <w:tcPr/>
          <w:p>
            <w:pPr>
              <w:pStyle w:val="Compact"/>
            </w:pPr>
            <w:r>
              <w:t xml:space="preserve">92.2% (95% UI: 74.6%–96.1%)</w:t>
            </w:r>
          </w:p>
        </w:tc>
        <w:tc>
          <w:tcPr/>
          <w:p>
            <w:pPr>
              <w:pStyle w:val="Compact"/>
            </w:pPr>
            <w:r>
              <w:t xml:space="preserve">49.6% (95% UI: 47.1%–52.2%)</w:t>
            </w:r>
          </w:p>
        </w:tc>
      </w:tr>
      <w:tr>
        <w:tc>
          <w:tcPr/>
          <w:p>
            <w:pPr>
              <w:pStyle w:val="Compact"/>
            </w:pPr>
            <w:r>
              <w:t xml:space="preserve">J + 5,000/year, F 75%</w:t>
            </w:r>
          </w:p>
        </w:tc>
        <w:tc>
          <w:tcPr/>
          <w:p>
            <w:pPr>
              <w:pStyle w:val="Compact"/>
            </w:pPr>
            <w:r>
              <w:t xml:space="preserve">98.1% (95% UI: 83.8%–99.5%)</w:t>
            </w:r>
          </w:p>
        </w:tc>
        <w:tc>
          <w:tcPr/>
          <w:p>
            <w:pPr>
              <w:pStyle w:val="Compact"/>
            </w:pPr>
            <w:r>
              <w:t xml:space="preserve">61.0% (95% UI: 58.4%–63.6%)</w:t>
            </w:r>
          </w:p>
        </w:tc>
        <w:tc>
          <w:tcPr/>
          <w:p>
            <w:pPr>
              <w:pStyle w:val="Compact"/>
            </w:pPr>
            <w:r>
              <w:t xml:space="preserve">0%</w:t>
            </w:r>
          </w:p>
        </w:tc>
        <w:tc>
          <w:tcPr/>
          <w:p>
            <w:pPr>
              <w:pStyle w:val="Compact"/>
            </w:pPr>
            <w:r>
              <w:t xml:space="preserve">97.8% (95% UI: 80.9%–99.5%)</w:t>
            </w:r>
          </w:p>
        </w:tc>
        <w:tc>
          <w:tcPr/>
          <w:p>
            <w:pPr>
              <w:pStyle w:val="Compact"/>
            </w:pPr>
            <w:r>
              <w:t xml:space="preserve">53.5% (95% UI: 51.1%–56.1%)</w:t>
            </w:r>
          </w:p>
        </w:tc>
      </w:tr>
      <w:tr>
        <w:tc>
          <w:tcPr/>
          <w:p>
            <w:pPr>
              <w:pStyle w:val="Compact"/>
            </w:pPr>
            <w:r>
              <w:t xml:space="preserve">J + 8,000/year, F 75%</w:t>
            </w:r>
          </w:p>
        </w:tc>
        <w:tc>
          <w:tcPr/>
          <w:p>
            <w:pPr>
              <w:pStyle w:val="Compact"/>
            </w:pPr>
            <w:r>
              <w:t xml:space="preserve">99.0% (95% UI: 85.8%–100.0%)</w:t>
            </w:r>
          </w:p>
        </w:tc>
        <w:tc>
          <w:tcPr/>
          <w:p>
            <w:pPr>
              <w:pStyle w:val="Compact"/>
            </w:pPr>
            <w:r>
              <w:t xml:space="preserve">63.7% (95% UI: 61.2%–66.2%)</w:t>
            </w:r>
          </w:p>
        </w:tc>
        <w:tc>
          <w:tcPr/>
          <w:p>
            <w:pPr>
              <w:pStyle w:val="Compact"/>
            </w:pPr>
            <w:r>
              <w:t xml:space="preserve">15%</w:t>
            </w:r>
          </w:p>
        </w:tc>
        <w:tc>
          <w:tcPr/>
          <w:p>
            <w:pPr>
              <w:pStyle w:val="Compact"/>
            </w:pPr>
            <w:r>
              <w:t xml:space="preserve">98.9% (95% UI: 83.2%–100.0%)</w:t>
            </w:r>
          </w:p>
        </w:tc>
        <w:tc>
          <w:tcPr/>
          <w:p>
            <w:pPr>
              <w:pStyle w:val="Compact"/>
            </w:pPr>
            <w:r>
              <w:t xml:space="preserve">56.8% (95% UI: 54.5%–59.3%)</w:t>
            </w:r>
          </w:p>
        </w:tc>
      </w:tr>
      <w:tr>
        <w:tc>
          <w:tcPr/>
          <w:p>
            <w:pPr>
              <w:pStyle w:val="Compact"/>
            </w:pPr>
            <w:r>
              <w:t xml:space="preserve">J + no screening cap</w:t>
            </w:r>
          </w:p>
        </w:tc>
        <w:tc>
          <w:tcPr/>
          <w:p>
            <w:pPr>
              <w:pStyle w:val="Compact"/>
            </w:pPr>
            <w:r>
              <w:t xml:space="preserve">99.0% (95% UI: 85.8%–100.0%)</w:t>
            </w:r>
          </w:p>
        </w:tc>
        <w:tc>
          <w:tcPr/>
          <w:p>
            <w:pPr>
              <w:pStyle w:val="Compact"/>
            </w:pPr>
            <w:r>
              <w:t xml:space="preserve">87.1% (95% UI: 85.8%–88.0%)</w:t>
            </w:r>
          </w:p>
        </w:tc>
        <w:tc>
          <w:tcPr/>
          <w:p>
            <w:pPr>
              <w:pStyle w:val="Compact"/>
            </w:pPr>
            <w:r>
              <w:t xml:space="preserve">100%</w:t>
            </w:r>
          </w:p>
        </w:tc>
        <w:tc>
          <w:tcPr/>
          <w:p>
            <w:pPr>
              <w:pStyle w:val="Compact"/>
            </w:pPr>
            <w:r>
              <w:t xml:space="preserve">98.9% (95% UI: 83.2%–100.0%)</w:t>
            </w:r>
          </w:p>
        </w:tc>
        <w:tc>
          <w:tcPr/>
          <w:p>
            <w:pPr>
              <w:pStyle w:val="Compact"/>
            </w:pPr>
            <w:r>
              <w:t xml:space="preserve">85.7% (95% UI: 84.8%–86.6%)</w:t>
            </w:r>
          </w:p>
        </w:tc>
      </w:tr>
    </w:tbl>
    <w:p>
      <w:pPr>
        <w:pStyle w:val="BodyText"/>
      </w:pPr>
      <w:r>
        <w:t xml:space="preserve">Values are medians (95% UI) across 2,000 posterior draws.</w:t>
      </w:r>
    </w:p>
    <w:p>
      <w:pPr>
        <w:pStyle w:val="CaptionedFigure"/>
      </w:pPr>
      <w:r>
        <w:drawing>
          <wp:inline>
            <wp:extent cx="5334000" cy="6019122"/>
            <wp:effectExtent b="0" l="0" r="0" t="0"/>
            <wp:docPr descr="Fig S2. Trajectories of new infections and HCV deaths relative to 2015 (left) and reductions in 2030 (right) in all 17 scenarios. Medians across posterior draws." title="" id="31" name="Picture"/>
            <a:graphic>
              <a:graphicData uri="http://schemas.openxmlformats.org/drawingml/2006/picture">
                <pic:pic>
                  <pic:nvPicPr>
                    <pic:cNvPr descr="/Users/yichenhe/Documents/Work/HepC-Transimission-Modelling/output/scenarios_2026/scenario_target_trajectories.png" id="32" name="Picture"/>
                    <pic:cNvPicPr>
                      <a:picLocks noChangeArrowheads="1" noChangeAspect="1"/>
                    </pic:cNvPicPr>
                  </pic:nvPicPr>
                  <pic:blipFill>
                    <a:blip r:embed="rId30"/>
                    <a:stretch>
                      <a:fillRect/>
                    </a:stretch>
                  </pic:blipFill>
                  <pic:spPr bwMode="auto">
                    <a:xfrm>
                      <a:off x="0" y="0"/>
                      <a:ext cx="5334000" cy="6019122"/>
                    </a:xfrm>
                    <a:prstGeom prst="rect">
                      <a:avLst/>
                    </a:prstGeom>
                    <a:noFill/>
                    <a:ln w="9525">
                      <a:noFill/>
                      <a:headEnd/>
                      <a:tailEnd/>
                    </a:ln>
                  </pic:spPr>
                </pic:pic>
              </a:graphicData>
            </a:graphic>
          </wp:inline>
        </w:drawing>
      </w:r>
    </w:p>
    <w:p>
      <w:pPr>
        <w:pStyle w:val="ImageCaption"/>
      </w:pPr>
      <w:r>
        <w:t xml:space="preserve">Fig S2. Trajectories of new infections and HCV deaths relative to 2015 (left) and reductions in 2030 (right) in all 17 scenarios. Medians across posterior draws.</w:t>
      </w:r>
    </w:p>
    <w:p>
      <w:pPr>
        <w:pStyle w:val="CaptionedFigure"/>
      </w:pPr>
      <w:r>
        <w:drawing>
          <wp:inline>
            <wp:extent cx="4767724" cy="5416061"/>
            <wp:effectExtent b="0" l="0" r="0" t="0"/>
            <wp:docPr descr="Fig S3. Attainment of the 2030 targets by scenario. Cells show median reductions. Joint status requires both targets." title="" id="34" name="Picture"/>
            <a:graphic>
              <a:graphicData uri="http://schemas.openxmlformats.org/drawingml/2006/picture">
                <pic:pic>
                  <pic:nvPicPr>
                    <pic:cNvPr descr="/Users/yichenhe/Documents/Work/HepC-Transimission-Modelling/output/scenarios_2026/scenario_target_heatmap.png" id="35" name="Picture"/>
                    <pic:cNvPicPr>
                      <a:picLocks noChangeArrowheads="1" noChangeAspect="1"/>
                    </pic:cNvPicPr>
                  </pic:nvPicPr>
                  <pic:blipFill>
                    <a:blip r:embed="rId33"/>
                    <a:stretch>
                      <a:fillRect/>
                    </a:stretch>
                  </pic:blipFill>
                  <pic:spPr bwMode="auto">
                    <a:xfrm>
                      <a:off x="0" y="0"/>
                      <a:ext cx="4767724" cy="5416061"/>
                    </a:xfrm>
                    <a:prstGeom prst="rect">
                      <a:avLst/>
                    </a:prstGeom>
                    <a:noFill/>
                    <a:ln w="9525">
                      <a:noFill/>
                      <a:headEnd/>
                      <a:tailEnd/>
                    </a:ln>
                  </pic:spPr>
                </pic:pic>
              </a:graphicData>
            </a:graphic>
          </wp:inline>
        </w:drawing>
      </w:r>
    </w:p>
    <w:p>
      <w:pPr>
        <w:pStyle w:val="ImageCaption"/>
      </w:pPr>
      <w:r>
        <w:t xml:space="preserve">Fig S3. Attainment of the 2030 targets by scenario. Cells show median reductions. Joint status requires both targets.</w:t>
      </w:r>
    </w:p>
    <w:bookmarkEnd w:id="36"/>
    <w:bookmarkStart w:id="49" w:name="services-and-costs"/>
    <w:p>
      <w:pPr>
        <w:pStyle w:val="Heading2"/>
      </w:pPr>
      <w:r>
        <w:t xml:space="preserve">4.2 Services and costs</w:t>
      </w:r>
    </w:p>
    <w:p>
      <w:pPr>
        <w:pStyle w:val="FirstParagraph"/>
      </w:pPr>
      <w:r>
        <w:rPr>
          <w:b/>
          <w:bCs/>
        </w:rPr>
        <w:t xml:space="preserve">Table S10. Services and discounted costs, 2026 to 2030.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Scenario</w:t>
            </w:r>
          </w:p>
        </w:tc>
        <w:tc>
          <w:tcPr/>
          <w:p>
            <w:pPr>
              <w:pStyle w:val="Compact"/>
            </w:pPr>
            <w:r>
              <w:t xml:space="preserve">F and X people screened</w:t>
            </w:r>
          </w:p>
        </w:tc>
        <w:tc>
          <w:tcPr/>
          <w:p>
            <w:pPr>
              <w:pStyle w:val="Compact"/>
            </w:pPr>
            <w:r>
              <w:t xml:space="preserve">F and X RNA tests</w:t>
            </w:r>
          </w:p>
        </w:tc>
        <w:tc>
          <w:tcPr/>
          <w:p>
            <w:pPr>
              <w:pStyle w:val="Compact"/>
            </w:pPr>
            <w:r>
              <w:t xml:space="preserve">F and X treatment starts</w:t>
            </w:r>
          </w:p>
        </w:tc>
        <w:tc>
          <w:tcPr/>
          <w:p>
            <w:pPr>
              <w:pStyle w:val="Compact"/>
            </w:pPr>
            <w:r>
              <w:t xml:space="preserve">J treatment starts</w:t>
            </w:r>
          </w:p>
        </w:tc>
        <w:tc>
          <w:tcPr/>
          <w:p>
            <w:pPr>
              <w:pStyle w:val="Compact"/>
            </w:pPr>
            <w:r>
              <w:t xml:space="preserve">Total discounted cost</w:t>
            </w:r>
          </w:p>
        </w:tc>
        <w:tc>
          <w:tcPr/>
          <w:p>
            <w:pPr>
              <w:pStyle w:val="Compact"/>
            </w:pPr>
            <w:r>
              <w:t xml:space="preserve">Incremental cost vs J only</w:t>
            </w:r>
          </w:p>
        </w:tc>
      </w:tr>
      <w:tr>
        <w:tc>
          <w:tcPr/>
          <w:p>
            <w:pPr>
              <w:pStyle w:val="Compact"/>
            </w:pPr>
            <w:r>
              <w:t xml:space="preserve">Prison treatment only (J only)</w:t>
            </w:r>
          </w:p>
        </w:tc>
        <w:tc>
          <w:tcPr/>
          <w:p>
            <w:pPr>
              <w:pStyle w:val="Compact"/>
            </w:pPr>
            <w:r>
              <w:t xml:space="preserve">0 (95% UI: 0–0)</w:t>
            </w:r>
          </w:p>
        </w:tc>
        <w:tc>
          <w:tcPr/>
          <w:p>
            <w:pPr>
              <w:pStyle w:val="Compact"/>
            </w:pPr>
            <w:r>
              <w:t xml:space="preserve">0 (95% UI: 0–0)</w:t>
            </w:r>
          </w:p>
        </w:tc>
        <w:tc>
          <w:tcPr/>
          <w:p>
            <w:pPr>
              <w:pStyle w:val="Compact"/>
            </w:pPr>
            <w:r>
              <w:t xml:space="preserve">0 (95% UI: 0–0)</w:t>
            </w:r>
          </w:p>
        </w:tc>
        <w:tc>
          <w:tcPr/>
          <w:p>
            <w:pPr>
              <w:pStyle w:val="Compact"/>
            </w:pPr>
            <w:r>
              <w:t xml:space="preserve">743 (95% UI: 554–1,117)</w:t>
            </w:r>
          </w:p>
        </w:tc>
        <w:tc>
          <w:tcPr/>
          <w:p>
            <w:pPr>
              <w:pStyle w:val="Compact"/>
            </w:pPr>
            <w:r>
              <w:t xml:space="preserve">S$30.3 million (95% UI: S$22.9 million–S$44.7 million)</w:t>
            </w:r>
          </w:p>
        </w:tc>
        <w:tc>
          <w:tcPr/>
          <w:p>
            <w:pPr>
              <w:pStyle w:val="Compact"/>
            </w:pPr>
            <w:r>
              <w:t xml:space="preserve">S$0.0 million (95% UI: S$0.0 million–S$0.0 million)</w:t>
            </w:r>
          </w:p>
        </w:tc>
      </w:tr>
      <w:tr>
        <w:tc>
          <w:tcPr/>
          <w:p>
            <w:pPr>
              <w:pStyle w:val="Compact"/>
            </w:pPr>
            <w:r>
              <w:t xml:space="preserve">J + 600/year, F 25%</w:t>
            </w:r>
          </w:p>
        </w:tc>
        <w:tc>
          <w:tcPr/>
          <w:p>
            <w:pPr>
              <w:pStyle w:val="Compact"/>
            </w:pPr>
            <w:r>
              <w:t xml:space="preserve">3,000 (95% UI: 3,000–3,000)</w:t>
            </w:r>
          </w:p>
        </w:tc>
        <w:tc>
          <w:tcPr/>
          <w:p>
            <w:pPr>
              <w:pStyle w:val="Compact"/>
            </w:pPr>
            <w:r>
              <w:t xml:space="preserve">665 (95% UI: 571–770)</w:t>
            </w:r>
          </w:p>
        </w:tc>
        <w:tc>
          <w:tcPr/>
          <w:p>
            <w:pPr>
              <w:pStyle w:val="Compact"/>
            </w:pPr>
            <w:r>
              <w:t xml:space="preserve">208 (95% UI: 174–247)</w:t>
            </w:r>
          </w:p>
        </w:tc>
        <w:tc>
          <w:tcPr/>
          <w:p>
            <w:pPr>
              <w:pStyle w:val="Compact"/>
            </w:pPr>
            <w:r>
              <w:t xml:space="preserve">713 (95% UI: 531–1,085)</w:t>
            </w:r>
          </w:p>
        </w:tc>
        <w:tc>
          <w:tcPr/>
          <w:p>
            <w:pPr>
              <w:pStyle w:val="Compact"/>
            </w:pPr>
            <w:r>
              <w:t xml:space="preserve">S$37.5 million (95% UI: S$29.5 million–S$52.4 million)</w:t>
            </w:r>
          </w:p>
        </w:tc>
        <w:tc>
          <w:tcPr/>
          <w:p>
            <w:pPr>
              <w:pStyle w:val="Compact"/>
            </w:pPr>
            <w:r>
              <w:t xml:space="preserve">S$7.1 million (95% UI: S$5.9 million–S$8.5 million)</w:t>
            </w:r>
          </w:p>
        </w:tc>
      </w:tr>
      <w:tr>
        <w:tc>
          <w:tcPr/>
          <w:p>
            <w:pPr>
              <w:pStyle w:val="Compact"/>
            </w:pPr>
            <w:r>
              <w:t xml:space="preserve">J + 1,000/year, F 25%</w:t>
            </w:r>
          </w:p>
        </w:tc>
        <w:tc>
          <w:tcPr/>
          <w:p>
            <w:pPr>
              <w:pStyle w:val="Compact"/>
            </w:pPr>
            <w:r>
              <w:t xml:space="preserve">5,000 (95% UI: 5,000–5,000)</w:t>
            </w:r>
          </w:p>
        </w:tc>
        <w:tc>
          <w:tcPr/>
          <w:p>
            <w:pPr>
              <w:pStyle w:val="Compact"/>
            </w:pPr>
            <w:r>
              <w:t xml:space="preserve">1,108 (95% UI: 952–1,284)</w:t>
            </w:r>
          </w:p>
        </w:tc>
        <w:tc>
          <w:tcPr/>
          <w:p>
            <w:pPr>
              <w:pStyle w:val="Compact"/>
            </w:pPr>
            <w:r>
              <w:t xml:space="preserve">341 (95% UI: 285–405)</w:t>
            </w:r>
          </w:p>
        </w:tc>
        <w:tc>
          <w:tcPr/>
          <w:p>
            <w:pPr>
              <w:pStyle w:val="Compact"/>
            </w:pPr>
            <w:r>
              <w:t xml:space="preserve">694 (95% UI: 517–1,062)</w:t>
            </w:r>
          </w:p>
        </w:tc>
        <w:tc>
          <w:tcPr/>
          <w:p>
            <w:pPr>
              <w:pStyle w:val="Compact"/>
            </w:pPr>
            <w:r>
              <w:t xml:space="preserve">S$42.1 million (95% UI: S$33.5 million–S$57.2 million)</w:t>
            </w:r>
          </w:p>
        </w:tc>
        <w:tc>
          <w:tcPr/>
          <w:p>
            <w:pPr>
              <w:pStyle w:val="Compact"/>
            </w:pPr>
            <w:r>
              <w:t xml:space="preserve">S$11.7 million (95% UI: S$9.8 million–S$14.0 million)</w:t>
            </w:r>
          </w:p>
        </w:tc>
      </w:tr>
      <w:tr>
        <w:tc>
          <w:tcPr/>
          <w:p>
            <w:pPr>
              <w:pStyle w:val="Compact"/>
            </w:pPr>
            <w:r>
              <w:t xml:space="preserve">J + 2,000/year, F 25%</w:t>
            </w:r>
          </w:p>
        </w:tc>
        <w:tc>
          <w:tcPr/>
          <w:p>
            <w:pPr>
              <w:pStyle w:val="Compact"/>
            </w:pPr>
            <w:r>
              <w:t xml:space="preserve">10,000 (95% UI: 10,000–10,000)</w:t>
            </w:r>
          </w:p>
        </w:tc>
        <w:tc>
          <w:tcPr/>
          <w:p>
            <w:pPr>
              <w:pStyle w:val="Compact"/>
            </w:pPr>
            <w:r>
              <w:t xml:space="preserve">2,215 (95% UI: 1,903–2,568)</w:t>
            </w:r>
          </w:p>
        </w:tc>
        <w:tc>
          <w:tcPr/>
          <w:p>
            <w:pPr>
              <w:pStyle w:val="Compact"/>
            </w:pPr>
            <w:r>
              <w:t xml:space="preserve">655 (95% UI: 547–776)</w:t>
            </w:r>
          </w:p>
        </w:tc>
        <w:tc>
          <w:tcPr/>
          <w:p>
            <w:pPr>
              <w:pStyle w:val="Compact"/>
            </w:pPr>
            <w:r>
              <w:t xml:space="preserve">647 (95% UI: 478–1,010)</w:t>
            </w:r>
          </w:p>
        </w:tc>
        <w:tc>
          <w:tcPr/>
          <w:p>
            <w:pPr>
              <w:pStyle w:val="Compact"/>
            </w:pPr>
            <w:r>
              <w:t xml:space="preserve">S$53.2 million (95% UI: S$43.0 million–S$68.6 million)</w:t>
            </w:r>
          </w:p>
        </w:tc>
        <w:tc>
          <w:tcPr/>
          <w:p>
            <w:pPr>
              <w:pStyle w:val="Compact"/>
            </w:pPr>
            <w:r>
              <w:t xml:space="preserve">S$22.5 million (95% UI: S$18.8 million–S$26.9 million)</w:t>
            </w:r>
          </w:p>
        </w:tc>
      </w:tr>
      <w:tr>
        <w:tc>
          <w:tcPr/>
          <w:p>
            <w:pPr>
              <w:pStyle w:val="Compact"/>
            </w:pPr>
            <w:r>
              <w:t xml:space="preserve">J + 5,000/year, F 25%</w:t>
            </w:r>
          </w:p>
        </w:tc>
        <w:tc>
          <w:tcPr/>
          <w:p>
            <w:pPr>
              <w:pStyle w:val="Compact"/>
            </w:pPr>
            <w:r>
              <w:t xml:space="preserve">25,000 (95% UI: 25,000–25,000)</w:t>
            </w:r>
          </w:p>
        </w:tc>
        <w:tc>
          <w:tcPr/>
          <w:p>
            <w:pPr>
              <w:pStyle w:val="Compact"/>
            </w:pPr>
            <w:r>
              <w:t xml:space="preserve">5,532 (95% UI: 4,754–6,415)</w:t>
            </w:r>
          </w:p>
        </w:tc>
        <w:tc>
          <w:tcPr/>
          <w:p>
            <w:pPr>
              <w:pStyle w:val="Compact"/>
            </w:pPr>
            <w:r>
              <w:t xml:space="preserve">1,450 (95% UI: 1,214–1,716)</w:t>
            </w:r>
          </w:p>
        </w:tc>
        <w:tc>
          <w:tcPr/>
          <w:p>
            <w:pPr>
              <w:pStyle w:val="Compact"/>
            </w:pPr>
            <w:r>
              <w:t xml:space="preserve">527 (95% UI: 382–877)</w:t>
            </w:r>
          </w:p>
        </w:tc>
        <w:tc>
          <w:tcPr/>
          <w:p>
            <w:pPr>
              <w:pStyle w:val="Compact"/>
            </w:pPr>
            <w:r>
              <w:t xml:space="preserve">S$81.0 million (95% UI: S$67.1 million–S$99.3 million)</w:t>
            </w:r>
          </w:p>
        </w:tc>
        <w:tc>
          <w:tcPr/>
          <w:p>
            <w:pPr>
              <w:pStyle w:val="Compact"/>
            </w:pPr>
            <w:r>
              <w:t xml:space="preserve">S$50.2 million (95% UI: S$41.9 million–S$59.8 million)</w:t>
            </w:r>
          </w:p>
        </w:tc>
      </w:tr>
      <w:tr>
        <w:tc>
          <w:tcPr/>
          <w:p>
            <w:pPr>
              <w:pStyle w:val="Compact"/>
            </w:pPr>
            <w:r>
              <w:t xml:space="preserve">J + 8,000/year, F 25%</w:t>
            </w:r>
          </w:p>
        </w:tc>
        <w:tc>
          <w:tcPr/>
          <w:p>
            <w:pPr>
              <w:pStyle w:val="Compact"/>
            </w:pPr>
            <w:r>
              <w:t xml:space="preserve">40,000 (95% UI: 40,000–40,000)</w:t>
            </w:r>
          </w:p>
        </w:tc>
        <w:tc>
          <w:tcPr/>
          <w:p>
            <w:pPr>
              <w:pStyle w:val="Compact"/>
            </w:pPr>
            <w:r>
              <w:t xml:space="preserve">8,843 (95% UI: 7,595–10,262)</w:t>
            </w:r>
          </w:p>
        </w:tc>
        <w:tc>
          <w:tcPr/>
          <w:p>
            <w:pPr>
              <w:pStyle w:val="Compact"/>
            </w:pPr>
            <w:r>
              <w:t xml:space="preserve">2,058 (95% UI: 1,727–2,433)</w:t>
            </w:r>
          </w:p>
        </w:tc>
        <w:tc>
          <w:tcPr/>
          <w:p>
            <w:pPr>
              <w:pStyle w:val="Compact"/>
            </w:pPr>
            <w:r>
              <w:t xml:space="preserve">432 (95% UI: 307–783)</w:t>
            </w:r>
          </w:p>
        </w:tc>
        <w:tc>
          <w:tcPr/>
          <w:p>
            <w:pPr>
              <w:pStyle w:val="Compact"/>
            </w:pPr>
            <w:r>
              <w:t xml:space="preserve">S$102.7 million (95% UI: S$86.0 million–S$123.4 million)</w:t>
            </w:r>
          </w:p>
        </w:tc>
        <w:tc>
          <w:tcPr/>
          <w:p>
            <w:pPr>
              <w:pStyle w:val="Compact"/>
            </w:pPr>
            <w:r>
              <w:t xml:space="preserve">S$71.9 million (95% UI: S$60.0 million–S$85.3 million)</w:t>
            </w:r>
          </w:p>
        </w:tc>
      </w:tr>
      <w:tr>
        <w:tc>
          <w:tcPr/>
          <w:p>
            <w:pPr>
              <w:pStyle w:val="Compact"/>
            </w:pPr>
            <w:r>
              <w:t xml:space="preserve">J + 600/year, F 50%</w:t>
            </w:r>
          </w:p>
        </w:tc>
        <w:tc>
          <w:tcPr/>
          <w:p>
            <w:pPr>
              <w:pStyle w:val="Compact"/>
            </w:pPr>
            <w:r>
              <w:t xml:space="preserve">3,000 (95% UI: 3,000–3,000)</w:t>
            </w:r>
          </w:p>
        </w:tc>
        <w:tc>
          <w:tcPr/>
          <w:p>
            <w:pPr>
              <w:pStyle w:val="Compact"/>
            </w:pPr>
            <w:r>
              <w:t xml:space="preserve">746 (95% UI: 645–852)</w:t>
            </w:r>
          </w:p>
        </w:tc>
        <w:tc>
          <w:tcPr/>
          <w:p>
            <w:pPr>
              <w:pStyle w:val="Compact"/>
            </w:pPr>
            <w:r>
              <w:t xml:space="preserve">178 (95% UI: 150–214)</w:t>
            </w:r>
          </w:p>
        </w:tc>
        <w:tc>
          <w:tcPr/>
          <w:p>
            <w:pPr>
              <w:pStyle w:val="Compact"/>
            </w:pPr>
            <w:r>
              <w:t xml:space="preserve">684 (95% UI: 509–1,049)</w:t>
            </w:r>
          </w:p>
        </w:tc>
        <w:tc>
          <w:tcPr/>
          <w:p>
            <w:pPr>
              <w:pStyle w:val="Compact"/>
            </w:pPr>
            <w:r>
              <w:t xml:space="preserve">S$35.3 million (95% UI: S$27.5 million–S$50.2 million)</w:t>
            </w:r>
          </w:p>
        </w:tc>
        <w:tc>
          <w:tcPr/>
          <w:p>
            <w:pPr>
              <w:pStyle w:val="Compact"/>
            </w:pPr>
            <w:r>
              <w:t xml:space="preserve">S$5.0 million (95% UI: S$4.2 million–S$6.0 million)</w:t>
            </w:r>
          </w:p>
        </w:tc>
      </w:tr>
      <w:tr>
        <w:tc>
          <w:tcPr/>
          <w:p>
            <w:pPr>
              <w:pStyle w:val="Compact"/>
            </w:pPr>
            <w:r>
              <w:t xml:space="preserve">J + 1,000/year, F 50%</w:t>
            </w:r>
          </w:p>
        </w:tc>
        <w:tc>
          <w:tcPr/>
          <w:p>
            <w:pPr>
              <w:pStyle w:val="Compact"/>
            </w:pPr>
            <w:r>
              <w:t xml:space="preserve">5,000 (95% UI: 5,000–5,000)</w:t>
            </w:r>
          </w:p>
        </w:tc>
        <w:tc>
          <w:tcPr/>
          <w:p>
            <w:pPr>
              <w:pStyle w:val="Compact"/>
            </w:pPr>
            <w:r>
              <w:t xml:space="preserve">1,242 (95% UI: 1,074–1,420)</w:t>
            </w:r>
          </w:p>
        </w:tc>
        <w:tc>
          <w:tcPr/>
          <w:p>
            <w:pPr>
              <w:pStyle w:val="Compact"/>
            </w:pPr>
            <w:r>
              <w:t xml:space="preserve">292 (95% UI: 245–349)</w:t>
            </w:r>
          </w:p>
        </w:tc>
        <w:tc>
          <w:tcPr/>
          <w:p>
            <w:pPr>
              <w:pStyle w:val="Compact"/>
            </w:pPr>
            <w:r>
              <w:t xml:space="preserve">647 (95% UI: 478–1,010)</w:t>
            </w:r>
          </w:p>
        </w:tc>
        <w:tc>
          <w:tcPr/>
          <w:p>
            <w:pPr>
              <w:pStyle w:val="Compact"/>
            </w:pPr>
            <w:r>
              <w:t xml:space="preserve">S$38.5 million (95% UI: S$30.4 million–S$53.5 million)</w:t>
            </w:r>
          </w:p>
        </w:tc>
        <w:tc>
          <w:tcPr/>
          <w:p>
            <w:pPr>
              <w:pStyle w:val="Compact"/>
            </w:pPr>
            <w:r>
              <w:t xml:space="preserve">S$8.2 million (95% UI: S$6.8 million–S$9.8 million)</w:t>
            </w:r>
          </w:p>
        </w:tc>
      </w:tr>
      <w:tr>
        <w:tc>
          <w:tcPr/>
          <w:p>
            <w:pPr>
              <w:pStyle w:val="Compact"/>
            </w:pPr>
            <w:r>
              <w:t xml:space="preserve">J + 2,000/year, F 50%</w:t>
            </w:r>
          </w:p>
        </w:tc>
        <w:tc>
          <w:tcPr/>
          <w:p>
            <w:pPr>
              <w:pStyle w:val="Compact"/>
            </w:pPr>
            <w:r>
              <w:t xml:space="preserve">10,000 (95% UI: 10,000–10,000)</w:t>
            </w:r>
          </w:p>
        </w:tc>
        <w:tc>
          <w:tcPr/>
          <w:p>
            <w:pPr>
              <w:pStyle w:val="Compact"/>
            </w:pPr>
            <w:r>
              <w:t xml:space="preserve">2,476 (95% UI: 2,141–2,832)</w:t>
            </w:r>
          </w:p>
        </w:tc>
        <w:tc>
          <w:tcPr/>
          <w:p>
            <w:pPr>
              <w:pStyle w:val="Compact"/>
            </w:pPr>
            <w:r>
              <w:t xml:space="preserve">554 (95% UI: 465–661)</w:t>
            </w:r>
          </w:p>
        </w:tc>
        <w:tc>
          <w:tcPr/>
          <w:p>
            <w:pPr>
              <w:pStyle w:val="Compact"/>
            </w:pPr>
            <w:r>
              <w:t xml:space="preserve">564 (95% UI: 412–918)</w:t>
            </w:r>
          </w:p>
        </w:tc>
        <w:tc>
          <w:tcPr/>
          <w:p>
            <w:pPr>
              <w:pStyle w:val="Compact"/>
            </w:pPr>
            <w:r>
              <w:t xml:space="preserve">S$46.3 million (95% UI: S$37.1 million–S$62.0 million)</w:t>
            </w:r>
          </w:p>
        </w:tc>
        <w:tc>
          <w:tcPr/>
          <w:p>
            <w:pPr>
              <w:pStyle w:val="Compact"/>
            </w:pPr>
            <w:r>
              <w:t xml:space="preserve">S$15.8 million (95% UI: S$13.1 million–S$18.9 million)</w:t>
            </w:r>
          </w:p>
        </w:tc>
      </w:tr>
      <w:tr>
        <w:tc>
          <w:tcPr/>
          <w:p>
            <w:pPr>
              <w:pStyle w:val="Compact"/>
            </w:pPr>
            <w:r>
              <w:t xml:space="preserve">J + 5,000/year, F 50%</w:t>
            </w:r>
          </w:p>
        </w:tc>
        <w:tc>
          <w:tcPr/>
          <w:p>
            <w:pPr>
              <w:pStyle w:val="Compact"/>
            </w:pPr>
            <w:r>
              <w:t xml:space="preserve">25,000 (95% UI: 25,000–25,000)</w:t>
            </w:r>
          </w:p>
        </w:tc>
        <w:tc>
          <w:tcPr/>
          <w:p>
            <w:pPr>
              <w:pStyle w:val="Compact"/>
            </w:pPr>
            <w:r>
              <w:t xml:space="preserve">6,146 (95% UI: 5,321–7,041)</w:t>
            </w:r>
          </w:p>
        </w:tc>
        <w:tc>
          <w:tcPr/>
          <w:p>
            <w:pPr>
              <w:pStyle w:val="Compact"/>
            </w:pPr>
            <w:r>
              <w:t xml:space="preserve">1,203 (95% UI: 1,014–1,428)</w:t>
            </w:r>
          </w:p>
        </w:tc>
        <w:tc>
          <w:tcPr/>
          <w:p>
            <w:pPr>
              <w:pStyle w:val="Compact"/>
            </w:pPr>
            <w:r>
              <w:t xml:space="preserve">382 (95% UI: 265–730)</w:t>
            </w:r>
          </w:p>
        </w:tc>
        <w:tc>
          <w:tcPr/>
          <w:p>
            <w:pPr>
              <w:pStyle w:val="Compact"/>
            </w:pPr>
            <w:r>
              <w:t xml:space="preserve">S$66.4 million (95% UI: S$54.6 million–S$84.2 million)</w:t>
            </w:r>
          </w:p>
        </w:tc>
        <w:tc>
          <w:tcPr/>
          <w:p>
            <w:pPr>
              <w:pStyle w:val="Compact"/>
            </w:pPr>
            <w:r>
              <w:t xml:space="preserve">S$35.7 million (95% UI: S$29.4 million–S$42.8 million)</w:t>
            </w:r>
          </w:p>
        </w:tc>
      </w:tr>
      <w:tr>
        <w:tc>
          <w:tcPr/>
          <w:p>
            <w:pPr>
              <w:pStyle w:val="Compact"/>
            </w:pPr>
            <w:r>
              <w:t xml:space="preserve">J + 8,000/year, F 50%</w:t>
            </w:r>
          </w:p>
        </w:tc>
        <w:tc>
          <w:tcPr/>
          <w:p>
            <w:pPr>
              <w:pStyle w:val="Compact"/>
            </w:pPr>
            <w:r>
              <w:t xml:space="preserve">40,000 (95% UI: 40,000–40,000)</w:t>
            </w:r>
          </w:p>
        </w:tc>
        <w:tc>
          <w:tcPr/>
          <w:p>
            <w:pPr>
              <w:pStyle w:val="Compact"/>
            </w:pPr>
            <w:r>
              <w:t xml:space="preserve">9,786 (95% UI: 8,479–11,228)</w:t>
            </w:r>
          </w:p>
        </w:tc>
        <w:tc>
          <w:tcPr/>
          <w:p>
            <w:pPr>
              <w:pStyle w:val="Compact"/>
            </w:pPr>
            <w:r>
              <w:t xml:space="preserve">1,699 (95% UI: 1,435–2,011)</w:t>
            </w:r>
          </w:p>
        </w:tc>
        <w:tc>
          <w:tcPr/>
          <w:p>
            <w:pPr>
              <w:pStyle w:val="Compact"/>
            </w:pPr>
            <w:r>
              <w:t xml:space="preserve">271 (95% UI: 175–622)</w:t>
            </w:r>
          </w:p>
        </w:tc>
        <w:tc>
          <w:tcPr/>
          <w:p>
            <w:pPr>
              <w:pStyle w:val="Compact"/>
            </w:pPr>
            <w:r>
              <w:t xml:space="preserve">S$83.0 million (95% UI: S$68.9 million–S$102.7 million)</w:t>
            </w:r>
          </w:p>
        </w:tc>
        <w:tc>
          <w:tcPr/>
          <w:p>
            <w:pPr>
              <w:pStyle w:val="Compact"/>
            </w:pPr>
            <w:r>
              <w:t xml:space="preserve">S$52.3 million (95% UI: S$43.0 million–S$62.7 million)</w:t>
            </w:r>
          </w:p>
        </w:tc>
      </w:tr>
      <w:tr>
        <w:tc>
          <w:tcPr/>
          <w:p>
            <w:pPr>
              <w:pStyle w:val="Compact"/>
            </w:pPr>
            <w:r>
              <w:t xml:space="preserve">J + 600/year, F 75%</w:t>
            </w:r>
          </w:p>
        </w:tc>
        <w:tc>
          <w:tcPr/>
          <w:p>
            <w:pPr>
              <w:pStyle w:val="Compact"/>
            </w:pPr>
            <w:r>
              <w:t xml:space="preserve">3,000 (95% UI: 3,000–3,000)</w:t>
            </w:r>
          </w:p>
        </w:tc>
        <w:tc>
          <w:tcPr/>
          <w:p>
            <w:pPr>
              <w:pStyle w:val="Compact"/>
            </w:pPr>
            <w:r>
              <w:t xml:space="preserve">824 (95% UI: 717–941)</w:t>
            </w:r>
          </w:p>
        </w:tc>
        <w:tc>
          <w:tcPr/>
          <w:p>
            <w:pPr>
              <w:pStyle w:val="Compact"/>
            </w:pPr>
            <w:r>
              <w:t xml:space="preserve">146 (95% UI: 122–181)</w:t>
            </w:r>
          </w:p>
        </w:tc>
        <w:tc>
          <w:tcPr/>
          <w:p>
            <w:pPr>
              <w:pStyle w:val="Compact"/>
            </w:pPr>
            <w:r>
              <w:t xml:space="preserve">656 (95% UI: 485–1,018)</w:t>
            </w:r>
          </w:p>
        </w:tc>
        <w:tc>
          <w:tcPr/>
          <w:p>
            <w:pPr>
              <w:pStyle w:val="Compact"/>
            </w:pPr>
            <w:r>
              <w:t xml:space="preserve">S$33.0 million (95% UI: S$25.4 million–S$48.1 million)</w:t>
            </w:r>
          </w:p>
        </w:tc>
        <w:tc>
          <w:tcPr/>
          <w:p>
            <w:pPr>
              <w:pStyle w:val="Compact"/>
            </w:pPr>
            <w:r>
              <w:t xml:space="preserve">S$2.8 million (95% UI: S$2.3 million–S$3.5 million)</w:t>
            </w:r>
          </w:p>
        </w:tc>
      </w:tr>
      <w:tr>
        <w:tc>
          <w:tcPr/>
          <w:p>
            <w:pPr>
              <w:pStyle w:val="Compact"/>
            </w:pPr>
            <w:r>
              <w:t xml:space="preserve">J + 1,000/year, F 75%</w:t>
            </w:r>
          </w:p>
        </w:tc>
        <w:tc>
          <w:tcPr/>
          <w:p>
            <w:pPr>
              <w:pStyle w:val="Compact"/>
            </w:pPr>
            <w:r>
              <w:t xml:space="preserve">5,000 (95% UI: 5,000–5,000)</w:t>
            </w:r>
          </w:p>
        </w:tc>
        <w:tc>
          <w:tcPr/>
          <w:p>
            <w:pPr>
              <w:pStyle w:val="Compact"/>
            </w:pPr>
            <w:r>
              <w:t xml:space="preserve">1,370 (95% UI: 1,192–1,566)</w:t>
            </w:r>
          </w:p>
        </w:tc>
        <w:tc>
          <w:tcPr/>
          <w:p>
            <w:pPr>
              <w:pStyle w:val="Compact"/>
            </w:pPr>
            <w:r>
              <w:t xml:space="preserve">235 (95% UI: 195–290)</w:t>
            </w:r>
          </w:p>
        </w:tc>
        <w:tc>
          <w:tcPr/>
          <w:p>
            <w:pPr>
              <w:pStyle w:val="Compact"/>
            </w:pPr>
            <w:r>
              <w:t xml:space="preserve">605 (95% UI: 444–964)</w:t>
            </w:r>
          </w:p>
        </w:tc>
        <w:tc>
          <w:tcPr/>
          <w:p>
            <w:pPr>
              <w:pStyle w:val="Compact"/>
            </w:pPr>
            <w:r>
              <w:t xml:space="preserve">S$34.7 million (95% UI: S$27.0 million–S$49.9 million)</w:t>
            </w:r>
          </w:p>
        </w:tc>
        <w:tc>
          <w:tcPr/>
          <w:p>
            <w:pPr>
              <w:pStyle w:val="Compact"/>
            </w:pPr>
            <w:r>
              <w:t xml:space="preserve">S$4.5 million (95% UI: S$3.7 million–S$5.6 million)</w:t>
            </w:r>
          </w:p>
        </w:tc>
      </w:tr>
      <w:tr>
        <w:tc>
          <w:tcPr/>
          <w:p>
            <w:pPr>
              <w:pStyle w:val="Compact"/>
            </w:pPr>
            <w:r>
              <w:t xml:space="preserve">J + 2,000/year, F 75%</w:t>
            </w:r>
          </w:p>
        </w:tc>
        <w:tc>
          <w:tcPr/>
          <w:p>
            <w:pPr>
              <w:pStyle w:val="Compact"/>
            </w:pPr>
            <w:r>
              <w:t xml:space="preserve">10,000 (95% UI: 10,000–10,000)</w:t>
            </w:r>
          </w:p>
        </w:tc>
        <w:tc>
          <w:tcPr/>
          <w:p>
            <w:pPr>
              <w:pStyle w:val="Compact"/>
            </w:pPr>
            <w:r>
              <w:t xml:space="preserve">2,728 (95% UI: 2,374–3,121)</w:t>
            </w:r>
          </w:p>
        </w:tc>
        <w:tc>
          <w:tcPr/>
          <w:p>
            <w:pPr>
              <w:pStyle w:val="Compact"/>
            </w:pPr>
            <w:r>
              <w:t xml:space="preserve">428 (95% UI: 358–525)</w:t>
            </w:r>
          </w:p>
        </w:tc>
        <w:tc>
          <w:tcPr/>
          <w:p>
            <w:pPr>
              <w:pStyle w:val="Compact"/>
            </w:pPr>
            <w:r>
              <w:t xml:space="preserve">493 (95% UI: 355–842)</w:t>
            </w:r>
          </w:p>
        </w:tc>
        <w:tc>
          <w:tcPr/>
          <w:p>
            <w:pPr>
              <w:pStyle w:val="Compact"/>
            </w:pPr>
            <w:r>
              <w:t xml:space="preserve">S$38.7 million (95% UI: S$30.6 million–S$54.6 million)</w:t>
            </w:r>
          </w:p>
        </w:tc>
        <w:tc>
          <w:tcPr/>
          <w:p>
            <w:pPr>
              <w:pStyle w:val="Compact"/>
            </w:pPr>
            <w:r>
              <w:t xml:space="preserve">S$8.4 million (95% UI: S$6.8 million–S$10.7 million)</w:t>
            </w:r>
          </w:p>
        </w:tc>
      </w:tr>
      <w:tr>
        <w:tc>
          <w:tcPr/>
          <w:p>
            <w:pPr>
              <w:pStyle w:val="Compact"/>
            </w:pPr>
            <w:r>
              <w:t xml:space="preserve">J + 5,000/year, F 75%</w:t>
            </w:r>
          </w:p>
        </w:tc>
        <w:tc>
          <w:tcPr/>
          <w:p>
            <w:pPr>
              <w:pStyle w:val="Compact"/>
            </w:pPr>
            <w:r>
              <w:t xml:space="preserve">25,000 (95% UI: 25,000–25,000)</w:t>
            </w:r>
          </w:p>
        </w:tc>
        <w:tc>
          <w:tcPr/>
          <w:p>
            <w:pPr>
              <w:pStyle w:val="Compact"/>
            </w:pPr>
            <w:r>
              <w:t xml:space="preserve">6,730 (95% UI: 5,868–7,736)</w:t>
            </w:r>
          </w:p>
        </w:tc>
        <w:tc>
          <w:tcPr/>
          <w:p>
            <w:pPr>
              <w:pStyle w:val="Compact"/>
            </w:pPr>
            <w:r>
              <w:t xml:space="preserve">854 (95% UI: 717–1,027)</w:t>
            </w:r>
          </w:p>
        </w:tc>
        <w:tc>
          <w:tcPr/>
          <w:p>
            <w:pPr>
              <w:pStyle w:val="Compact"/>
            </w:pPr>
            <w:r>
              <w:t xml:space="preserve">286 (95% UI: 186–639)</w:t>
            </w:r>
          </w:p>
        </w:tc>
        <w:tc>
          <w:tcPr/>
          <w:p>
            <w:pPr>
              <w:pStyle w:val="Compact"/>
            </w:pPr>
            <w:r>
              <w:t xml:space="preserve">S$49.2 million (95% UI: S$40.0 million–S$66.6 million)</w:t>
            </w:r>
          </w:p>
        </w:tc>
        <w:tc>
          <w:tcPr/>
          <w:p>
            <w:pPr>
              <w:pStyle w:val="Compact"/>
            </w:pPr>
            <w:r>
              <w:t xml:space="preserve">S$18.8 million (95% UI: S$14.7 million–S$23.8 million)</w:t>
            </w:r>
          </w:p>
        </w:tc>
      </w:tr>
      <w:tr>
        <w:tc>
          <w:tcPr/>
          <w:p>
            <w:pPr>
              <w:pStyle w:val="Compact"/>
            </w:pPr>
            <w:r>
              <w:t xml:space="preserve">J + 8,000/year, F 75%</w:t>
            </w:r>
          </w:p>
        </w:tc>
        <w:tc>
          <w:tcPr/>
          <w:p>
            <w:pPr>
              <w:pStyle w:val="Compact"/>
            </w:pPr>
            <w:r>
              <w:t xml:space="preserve">40,000 (95% UI: 39,342–40,000)</w:t>
            </w:r>
          </w:p>
        </w:tc>
        <w:tc>
          <w:tcPr/>
          <w:p>
            <w:pPr>
              <w:pStyle w:val="Compact"/>
            </w:pPr>
            <w:r>
              <w:t xml:space="preserve">10,669 (95% UI: 9,296–12,128)</w:t>
            </w:r>
          </w:p>
        </w:tc>
        <w:tc>
          <w:tcPr/>
          <w:p>
            <w:pPr>
              <w:pStyle w:val="Compact"/>
            </w:pPr>
            <w:r>
              <w:t xml:space="preserve">1,157 (95% UI: 974–1,371)</w:t>
            </w:r>
          </w:p>
        </w:tc>
        <w:tc>
          <w:tcPr/>
          <w:p>
            <w:pPr>
              <w:pStyle w:val="Compact"/>
            </w:pPr>
            <w:r>
              <w:t xml:space="preserve">195 (95% UI: 112–555)</w:t>
            </w:r>
          </w:p>
        </w:tc>
        <w:tc>
          <w:tcPr/>
          <w:p>
            <w:pPr>
              <w:pStyle w:val="Compact"/>
            </w:pPr>
            <w:r>
              <w:t xml:space="preserve">S$59.2 million (95% UI: S$48.9 million–S$77.8 million)</w:t>
            </w:r>
          </w:p>
        </w:tc>
        <w:tc>
          <w:tcPr/>
          <w:p>
            <w:pPr>
              <w:pStyle w:val="Compact"/>
            </w:pPr>
            <w:r>
              <w:t xml:space="preserve">S$28.8 million (95% UI: S$22.5 million–S$36.0 million)</w:t>
            </w:r>
          </w:p>
        </w:tc>
      </w:tr>
      <w:tr>
        <w:tc>
          <w:tcPr/>
          <w:p>
            <w:pPr>
              <w:pStyle w:val="Compact"/>
            </w:pPr>
            <w:r>
              <w:t xml:space="preserve">J + no screening cap</w:t>
            </w:r>
          </w:p>
        </w:tc>
        <w:tc>
          <w:tcPr/>
          <w:p>
            <w:pPr>
              <w:pStyle w:val="Compact"/>
            </w:pPr>
            <w:r>
              <w:t xml:space="preserve">200,884 (95% UI: 188,411–207,758)</w:t>
            </w:r>
          </w:p>
        </w:tc>
        <w:tc>
          <w:tcPr/>
          <w:p>
            <w:pPr>
              <w:pStyle w:val="Compact"/>
            </w:pPr>
            <w:r>
              <w:t xml:space="preserve">42,468 (95% UI: 36,987–48,347)</w:t>
            </w:r>
          </w:p>
        </w:tc>
        <w:tc>
          <w:tcPr/>
          <w:p>
            <w:pPr>
              <w:pStyle w:val="Compact"/>
            </w:pPr>
            <w:r>
              <w:t xml:space="preserve">3,754 (95% UI: 3,168–4,403)</w:t>
            </w:r>
          </w:p>
        </w:tc>
        <w:tc>
          <w:tcPr/>
          <w:p>
            <w:pPr>
              <w:pStyle w:val="Compact"/>
            </w:pPr>
            <w:r>
              <w:t xml:space="preserve">194 (95% UI: 111–555)</w:t>
            </w:r>
          </w:p>
        </w:tc>
        <w:tc>
          <w:tcPr/>
          <w:p>
            <w:pPr>
              <w:pStyle w:val="Compact"/>
            </w:pPr>
            <w:r>
              <w:t xml:space="preserve">S$178.8 million (95% UI: S$152.7 million–S$207.4 million)</w:t>
            </w:r>
          </w:p>
        </w:tc>
        <w:tc>
          <w:tcPr/>
          <w:p>
            <w:pPr>
              <w:pStyle w:val="Compact"/>
            </w:pPr>
            <w:r>
              <w:t xml:space="preserve">S$147.9 million (95% UI: S$124.9 million–S$172.9 million)</w:t>
            </w:r>
          </w:p>
        </w:tc>
      </w:tr>
    </w:tbl>
    <w:p>
      <w:pPr>
        <w:pStyle w:val="BodyText"/>
      </w:pPr>
      <w:r>
        <w:t xml:space="preserve">Screening counts may include the same person in more than one year. Treatment starts count courses.</w:t>
      </w:r>
    </w:p>
    <w:p>
      <w:pPr>
        <w:pStyle w:val="CaptionedFigure"/>
      </w:pPr>
      <w:r>
        <w:drawing>
          <wp:inline>
            <wp:extent cx="5334000" cy="3638973"/>
            <wp:effectExtent b="0" l="0" r="0" t="0"/>
            <wp:docPr descr="Fig S4. Annual treatment starts and screening derived treatment quotas in F and X, by capacity and allocation. Medians across posterior draws." title="" id="38" name="Picture"/>
            <a:graphic>
              <a:graphicData uri="http://schemas.openxmlformats.org/drawingml/2006/picture">
                <pic:pic>
                  <pic:nvPicPr>
                    <pic:cNvPr descr="/Users/yichenhe/Documents/Work/HepC-Transimission-Modelling/output/scenarios_2026/scenario_treatment_starts.png" id="39" name="Picture"/>
                    <pic:cNvPicPr>
                      <a:picLocks noChangeArrowheads="1" noChangeAspect="1"/>
                    </pic:cNvPicPr>
                  </pic:nvPicPr>
                  <pic:blipFill>
                    <a:blip r:embed="rId37"/>
                    <a:stretch>
                      <a:fillRect/>
                    </a:stretch>
                  </pic:blipFill>
                  <pic:spPr bwMode="auto">
                    <a:xfrm>
                      <a:off x="0" y="0"/>
                      <a:ext cx="5334000" cy="3638973"/>
                    </a:xfrm>
                    <a:prstGeom prst="rect">
                      <a:avLst/>
                    </a:prstGeom>
                    <a:noFill/>
                    <a:ln w="9525">
                      <a:noFill/>
                      <a:headEnd/>
                      <a:tailEnd/>
                    </a:ln>
                  </pic:spPr>
                </pic:pic>
              </a:graphicData>
            </a:graphic>
          </wp:inline>
        </w:drawing>
      </w:r>
    </w:p>
    <w:p>
      <w:pPr>
        <w:pStyle w:val="ImageCaption"/>
      </w:pPr>
      <w:r>
        <w:t xml:space="preserve">Fig S4. Annual treatment starts and screening derived treatment quotas in F and X, by capacity and allocation. Medians across posterior draws.</w:t>
      </w:r>
    </w:p>
    <w:p>
      <w:pPr>
        <w:pStyle w:val="CaptionedFigure"/>
      </w:pPr>
      <w:r>
        <w:drawing>
          <wp:inline>
            <wp:extent cx="4800600" cy="2014118"/>
            <wp:effectExtent b="0" l="0" r="0" t="0"/>
            <wp:docPr descr="Fig S5. Share of the five year screening quota used in F and X. The F group is small, so a large F share leaves part of its quota unused." title="" id="41" name="Picture"/>
            <a:graphic>
              <a:graphicData uri="http://schemas.openxmlformats.org/drawingml/2006/picture">
                <pic:pic>
                  <pic:nvPicPr>
                    <pic:cNvPr descr="/Users/yichenhe/Documents/Work/HepC-Transimission-Modelling/output/scenarios_2026/paper_fig4_f_pool.png" id="42" name="Picture"/>
                    <pic:cNvPicPr>
                      <a:picLocks noChangeArrowheads="1" noChangeAspect="1"/>
                    </pic:cNvPicPr>
                  </pic:nvPicPr>
                  <pic:blipFill>
                    <a:blip r:embed="rId40"/>
                    <a:stretch>
                      <a:fillRect/>
                    </a:stretch>
                  </pic:blipFill>
                  <pic:spPr bwMode="auto">
                    <a:xfrm>
                      <a:off x="0" y="0"/>
                      <a:ext cx="4800600" cy="2014118"/>
                    </a:xfrm>
                    <a:prstGeom prst="rect">
                      <a:avLst/>
                    </a:prstGeom>
                    <a:noFill/>
                    <a:ln w="9525">
                      <a:noFill/>
                      <a:headEnd/>
                      <a:tailEnd/>
                    </a:ln>
                  </pic:spPr>
                </pic:pic>
              </a:graphicData>
            </a:graphic>
          </wp:inline>
        </w:drawing>
      </w:r>
    </w:p>
    <w:p>
      <w:pPr>
        <w:pStyle w:val="ImageCaption"/>
      </w:pPr>
      <w:r>
        <w:t xml:space="preserve">Fig S5. Share of the five year screening quota used in F and X. The F group is small, so a large F share leaves part of its quota unused.</w:t>
      </w:r>
    </w:p>
    <w:p>
      <w:pPr>
        <w:pStyle w:val="CaptionedFigure"/>
      </w:pPr>
      <w:r>
        <w:drawing>
          <wp:inline>
            <wp:extent cx="5334000" cy="3778842"/>
            <wp:effectExtent b="0" l="0" r="0" t="0"/>
            <wp:docPr descr="Fig S6. Cost composition of the prison only scenario and the scenarios that met both targets at the median. Shares use the median cost of each item." title="" id="44" name="Picture"/>
            <a:graphic>
              <a:graphicData uri="http://schemas.openxmlformats.org/drawingml/2006/picture">
                <pic:pic>
                  <pic:nvPicPr>
                    <pic:cNvPr descr="/Users/yichenhe/Documents/Work/HepC-Transimission-Modelling/output/scenarios_2026/scenario_cost_composition_pies.png" id="45" name="Picture"/>
                    <pic:cNvPicPr>
                      <a:picLocks noChangeArrowheads="1" noChangeAspect="1"/>
                    </pic:cNvPicPr>
                  </pic:nvPicPr>
                  <pic:blipFill>
                    <a:blip r:embed="rId43"/>
                    <a:stretch>
                      <a:fillRect/>
                    </a:stretch>
                  </pic:blipFill>
                  <pic:spPr bwMode="auto">
                    <a:xfrm>
                      <a:off x="0" y="0"/>
                      <a:ext cx="5334000" cy="3778842"/>
                    </a:xfrm>
                    <a:prstGeom prst="rect">
                      <a:avLst/>
                    </a:prstGeom>
                    <a:noFill/>
                    <a:ln w="9525">
                      <a:noFill/>
                      <a:headEnd/>
                      <a:tailEnd/>
                    </a:ln>
                  </pic:spPr>
                </pic:pic>
              </a:graphicData>
            </a:graphic>
          </wp:inline>
        </w:drawing>
      </w:r>
    </w:p>
    <w:p>
      <w:pPr>
        <w:pStyle w:val="ImageCaption"/>
      </w:pPr>
      <w:r>
        <w:t xml:space="preserve">Fig S6. Cost composition of the prison only scenario and the scenarios that met both targets at the median. Shares use the median cost of each item.</w:t>
      </w:r>
    </w:p>
    <w:p>
      <w:pPr>
        <w:pStyle w:val="CaptionedFigure"/>
      </w:pPr>
      <w:r>
        <w:drawing>
          <wp:inline>
            <wp:extent cx="5334000" cy="3638973"/>
            <wp:effectExtent b="0" l="0" r="0" t="0"/>
            <wp:docPr descr="Fig S7. Discounted costs and treatment starts by group, 2026 to 2030. Segments show the median for each group. Labels show the median total." title="" id="47" name="Picture"/>
            <a:graphic>
              <a:graphicData uri="http://schemas.openxmlformats.org/drawingml/2006/picture">
                <pic:pic>
                  <pic:nvPicPr>
                    <pic:cNvPr descr="/Users/yichenhe/Documents/Work/HepC-Transimission-Modelling/output/scenarios_2026/scenario_cumulative_costs.png" id="48" name="Picture"/>
                    <pic:cNvPicPr>
                      <a:picLocks noChangeArrowheads="1" noChangeAspect="1"/>
                    </pic:cNvPicPr>
                  </pic:nvPicPr>
                  <pic:blipFill>
                    <a:blip r:embed="rId46"/>
                    <a:stretch>
                      <a:fillRect/>
                    </a:stretch>
                  </pic:blipFill>
                  <pic:spPr bwMode="auto">
                    <a:xfrm>
                      <a:off x="0" y="0"/>
                      <a:ext cx="5334000" cy="3638973"/>
                    </a:xfrm>
                    <a:prstGeom prst="rect">
                      <a:avLst/>
                    </a:prstGeom>
                    <a:noFill/>
                    <a:ln w="9525">
                      <a:noFill/>
                      <a:headEnd/>
                      <a:tailEnd/>
                    </a:ln>
                  </pic:spPr>
                </pic:pic>
              </a:graphicData>
            </a:graphic>
          </wp:inline>
        </w:drawing>
      </w:r>
    </w:p>
    <w:p>
      <w:pPr>
        <w:pStyle w:val="ImageCaption"/>
      </w:pPr>
      <w:r>
        <w:t xml:space="preserve">Fig S7. Discounted costs and treatment starts by group, 2026 to 2030. Segments show the median for each group. Labels show the median total.</w:t>
      </w:r>
    </w:p>
    <w:bookmarkEnd w:id="49"/>
    <w:bookmarkStart w:id="50" w:name="cost-sensitivity"/>
    <w:p>
      <w:pPr>
        <w:pStyle w:val="Heading2"/>
      </w:pPr>
      <w:r>
        <w:t xml:space="preserve">4.3 Cost sensitivity</w:t>
      </w:r>
    </w:p>
    <w:p>
      <w:pPr>
        <w:pStyle w:val="FirstParagraph"/>
      </w:pPr>
      <w:r>
        <w:t xml:space="preserve">Table S11 scales all unit costs by 0.5, 1 and 1.5. Epidemiological results do not change.</w:t>
      </w:r>
    </w:p>
    <w:p>
      <w:pPr>
        <w:pStyle w:val="BodyText"/>
      </w:pPr>
      <w:r>
        <w:rPr>
          <w:b/>
          <w:bCs/>
        </w:rPr>
        <w:t xml:space="preserve">Table S11. Total discounted cost (S$ million) under unit cost multipliers.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0.5 times</w:t>
            </w:r>
          </w:p>
        </w:tc>
        <w:tc>
          <w:tcPr/>
          <w:p>
            <w:pPr>
              <w:pStyle w:val="Compact"/>
            </w:pPr>
            <w:r>
              <w:t xml:space="preserve">1 times</w:t>
            </w:r>
          </w:p>
        </w:tc>
        <w:tc>
          <w:tcPr/>
          <w:p>
            <w:pPr>
              <w:pStyle w:val="Compact"/>
            </w:pPr>
            <w:r>
              <w:t xml:space="preserve">1.5 times</w:t>
            </w:r>
          </w:p>
        </w:tc>
      </w:tr>
      <w:tr>
        <w:tc>
          <w:tcPr/>
          <w:p>
            <w:pPr>
              <w:pStyle w:val="Compact"/>
            </w:pPr>
            <w:r>
              <w:t xml:space="preserve">Prison treatment only (J only)</w:t>
            </w:r>
          </w:p>
        </w:tc>
        <w:tc>
          <w:tcPr/>
          <w:p>
            <w:pPr>
              <w:pStyle w:val="Compact"/>
            </w:pPr>
            <w:r>
              <w:t xml:space="preserve">S$15.1 (95% UI: S$11.5–S$22.4)</w:t>
            </w:r>
          </w:p>
        </w:tc>
        <w:tc>
          <w:tcPr/>
          <w:p>
            <w:pPr>
              <w:pStyle w:val="Compact"/>
            </w:pPr>
            <w:r>
              <w:t xml:space="preserve">S$30.3 (95% UI: S$22.9–S$44.7)</w:t>
            </w:r>
          </w:p>
        </w:tc>
        <w:tc>
          <w:tcPr/>
          <w:p>
            <w:pPr>
              <w:pStyle w:val="Compact"/>
            </w:pPr>
            <w:r>
              <w:t xml:space="preserve">S$45.4 (95% UI: S$34.4–S$67.1)</w:t>
            </w:r>
          </w:p>
        </w:tc>
      </w:tr>
      <w:tr>
        <w:tc>
          <w:tcPr/>
          <w:p>
            <w:pPr>
              <w:pStyle w:val="Compact"/>
            </w:pPr>
            <w:r>
              <w:t xml:space="preserve">J + 600/year, F 25%</w:t>
            </w:r>
          </w:p>
        </w:tc>
        <w:tc>
          <w:tcPr/>
          <w:p>
            <w:pPr>
              <w:pStyle w:val="Compact"/>
            </w:pPr>
            <w:r>
              <w:t xml:space="preserve">S$18.7 (95% UI: S$14.7–S$26.2)</w:t>
            </w:r>
          </w:p>
        </w:tc>
        <w:tc>
          <w:tcPr/>
          <w:p>
            <w:pPr>
              <w:pStyle w:val="Compact"/>
            </w:pPr>
            <w:r>
              <w:t xml:space="preserve">S$37.5 (95% UI: S$29.5–S$52.4)</w:t>
            </w:r>
          </w:p>
        </w:tc>
        <w:tc>
          <w:tcPr/>
          <w:p>
            <w:pPr>
              <w:pStyle w:val="Compact"/>
            </w:pPr>
            <w:r>
              <w:t xml:space="preserve">S$56.2 (95% UI: S$44.2–S$78.6)</w:t>
            </w:r>
          </w:p>
        </w:tc>
      </w:tr>
      <w:tr>
        <w:tc>
          <w:tcPr/>
          <w:p>
            <w:pPr>
              <w:pStyle w:val="Compact"/>
            </w:pPr>
            <w:r>
              <w:t xml:space="preserve">J + 1,000/year, F 25%</w:t>
            </w:r>
          </w:p>
        </w:tc>
        <w:tc>
          <w:tcPr/>
          <w:p>
            <w:pPr>
              <w:pStyle w:val="Compact"/>
            </w:pPr>
            <w:r>
              <w:t xml:space="preserve">S$21.1 (95% UI: S$16.7–S$28.6)</w:t>
            </w:r>
          </w:p>
        </w:tc>
        <w:tc>
          <w:tcPr/>
          <w:p>
            <w:pPr>
              <w:pStyle w:val="Compact"/>
            </w:pPr>
            <w:r>
              <w:t xml:space="preserve">S$42.1 (95% UI: S$33.5–S$57.2)</w:t>
            </w:r>
          </w:p>
        </w:tc>
        <w:tc>
          <w:tcPr/>
          <w:p>
            <w:pPr>
              <w:pStyle w:val="Compact"/>
            </w:pPr>
            <w:r>
              <w:t xml:space="preserve">S$63.2 (95% UI: S$50.2–S$85.9)</w:t>
            </w:r>
          </w:p>
        </w:tc>
      </w:tr>
      <w:tr>
        <w:tc>
          <w:tcPr/>
          <w:p>
            <w:pPr>
              <w:pStyle w:val="Compact"/>
            </w:pPr>
            <w:r>
              <w:t xml:space="preserve">J + 2,000/year, F 25%</w:t>
            </w:r>
          </w:p>
        </w:tc>
        <w:tc>
          <w:tcPr/>
          <w:p>
            <w:pPr>
              <w:pStyle w:val="Compact"/>
            </w:pPr>
            <w:r>
              <w:t xml:space="preserve">S$26.6 (95% UI: S$21.5–S$34.3)</w:t>
            </w:r>
          </w:p>
        </w:tc>
        <w:tc>
          <w:tcPr/>
          <w:p>
            <w:pPr>
              <w:pStyle w:val="Compact"/>
            </w:pPr>
            <w:r>
              <w:t xml:space="preserve">S$53.2 (95% UI: S$43.0–S$68.6)</w:t>
            </w:r>
          </w:p>
        </w:tc>
        <w:tc>
          <w:tcPr/>
          <w:p>
            <w:pPr>
              <w:pStyle w:val="Compact"/>
            </w:pPr>
            <w:r>
              <w:t xml:space="preserve">S$79.7 (95% UI: S$64.5–S$102.9)</w:t>
            </w:r>
          </w:p>
        </w:tc>
      </w:tr>
      <w:tr>
        <w:tc>
          <w:tcPr/>
          <w:p>
            <w:pPr>
              <w:pStyle w:val="Compact"/>
            </w:pPr>
            <w:r>
              <w:t xml:space="preserve">J + 5,000/year, F 25%</w:t>
            </w:r>
          </w:p>
        </w:tc>
        <w:tc>
          <w:tcPr/>
          <w:p>
            <w:pPr>
              <w:pStyle w:val="Compact"/>
            </w:pPr>
            <w:r>
              <w:t xml:space="preserve">S$40.5 (95% UI: S$33.6–S$49.6)</w:t>
            </w:r>
          </w:p>
        </w:tc>
        <w:tc>
          <w:tcPr/>
          <w:p>
            <w:pPr>
              <w:pStyle w:val="Compact"/>
            </w:pPr>
            <w:r>
              <w:t xml:space="preserve">S$81.0 (95% UI: S$67.1–S$99.3)</w:t>
            </w:r>
          </w:p>
        </w:tc>
        <w:tc>
          <w:tcPr/>
          <w:p>
            <w:pPr>
              <w:pStyle w:val="Compact"/>
            </w:pPr>
            <w:r>
              <w:t xml:space="preserve">S$121.5 (95% UI: S$100.7–S$148.9)</w:t>
            </w:r>
          </w:p>
        </w:tc>
      </w:tr>
      <w:tr>
        <w:tc>
          <w:tcPr/>
          <w:p>
            <w:pPr>
              <w:pStyle w:val="Compact"/>
            </w:pPr>
            <w:r>
              <w:t xml:space="preserve">J + 8,000/year, F 25%</w:t>
            </w:r>
          </w:p>
        </w:tc>
        <w:tc>
          <w:tcPr/>
          <w:p>
            <w:pPr>
              <w:pStyle w:val="Compact"/>
            </w:pPr>
            <w:r>
              <w:t xml:space="preserve">S$51.3 (95% UI: S$43.0–S$61.7)</w:t>
            </w:r>
          </w:p>
        </w:tc>
        <w:tc>
          <w:tcPr/>
          <w:p>
            <w:pPr>
              <w:pStyle w:val="Compact"/>
            </w:pPr>
            <w:r>
              <w:t xml:space="preserve">S$102.7 (95% UI: S$86.0–S$123.4)</w:t>
            </w:r>
          </w:p>
        </w:tc>
        <w:tc>
          <w:tcPr/>
          <w:p>
            <w:pPr>
              <w:pStyle w:val="Compact"/>
            </w:pPr>
            <w:r>
              <w:t xml:space="preserve">S$154.0 (95% UI: S$129.0–S$185.0)</w:t>
            </w:r>
          </w:p>
        </w:tc>
      </w:tr>
      <w:tr>
        <w:tc>
          <w:tcPr/>
          <w:p>
            <w:pPr>
              <w:pStyle w:val="Compact"/>
            </w:pPr>
            <w:r>
              <w:t xml:space="preserve">J + 600/year, F 50%</w:t>
            </w:r>
          </w:p>
        </w:tc>
        <w:tc>
          <w:tcPr/>
          <w:p>
            <w:pPr>
              <w:pStyle w:val="Compact"/>
            </w:pPr>
            <w:r>
              <w:t xml:space="preserve">S$17.7 (95% UI: S$13.7–S$25.1)</w:t>
            </w:r>
          </w:p>
        </w:tc>
        <w:tc>
          <w:tcPr/>
          <w:p>
            <w:pPr>
              <w:pStyle w:val="Compact"/>
            </w:pPr>
            <w:r>
              <w:t xml:space="preserve">S$35.3 (95% UI: S$27.5–S$50.2)</w:t>
            </w:r>
          </w:p>
        </w:tc>
        <w:tc>
          <w:tcPr/>
          <w:p>
            <w:pPr>
              <w:pStyle w:val="Compact"/>
            </w:pPr>
            <w:r>
              <w:t xml:space="preserve">S$53.0 (95% UI: S$41.2–S$75.3)</w:t>
            </w:r>
          </w:p>
        </w:tc>
      </w:tr>
      <w:tr>
        <w:tc>
          <w:tcPr/>
          <w:p>
            <w:pPr>
              <w:pStyle w:val="Compact"/>
            </w:pPr>
            <w:r>
              <w:t xml:space="preserve">J + 1,000/year, F 50%</w:t>
            </w:r>
          </w:p>
        </w:tc>
        <w:tc>
          <w:tcPr/>
          <w:p>
            <w:pPr>
              <w:pStyle w:val="Compact"/>
            </w:pPr>
            <w:r>
              <w:t xml:space="preserve">S$19.2 (95% UI: S$15.2–S$26.7)</w:t>
            </w:r>
          </w:p>
        </w:tc>
        <w:tc>
          <w:tcPr/>
          <w:p>
            <w:pPr>
              <w:pStyle w:val="Compact"/>
            </w:pPr>
            <w:r>
              <w:t xml:space="preserve">S$38.5 (95% UI: S$30.4–S$53.5)</w:t>
            </w:r>
          </w:p>
        </w:tc>
        <w:tc>
          <w:tcPr/>
          <w:p>
            <w:pPr>
              <w:pStyle w:val="Compact"/>
            </w:pPr>
            <w:r>
              <w:t xml:space="preserve">S$57.7 (95% UI: S$45.5–S$80.2)</w:t>
            </w:r>
          </w:p>
        </w:tc>
      </w:tr>
      <w:tr>
        <w:tc>
          <w:tcPr/>
          <w:p>
            <w:pPr>
              <w:pStyle w:val="Compact"/>
            </w:pPr>
            <w:r>
              <w:t xml:space="preserve">J + 2,000/year, F 50%</w:t>
            </w:r>
          </w:p>
        </w:tc>
        <w:tc>
          <w:tcPr/>
          <w:p>
            <w:pPr>
              <w:pStyle w:val="Compact"/>
            </w:pPr>
            <w:r>
              <w:t xml:space="preserve">S$23.1 (95% UI: S$18.6–S$31.0)</w:t>
            </w:r>
          </w:p>
        </w:tc>
        <w:tc>
          <w:tcPr/>
          <w:p>
            <w:pPr>
              <w:pStyle w:val="Compact"/>
            </w:pPr>
            <w:r>
              <w:t xml:space="preserve">S$46.3 (95% UI: S$37.1–S$62.0)</w:t>
            </w:r>
          </w:p>
        </w:tc>
        <w:tc>
          <w:tcPr/>
          <w:p>
            <w:pPr>
              <w:pStyle w:val="Compact"/>
            </w:pPr>
            <w:r>
              <w:t xml:space="preserve">S$69.4 (95% UI: S$55.7–S$93.1)</w:t>
            </w:r>
          </w:p>
        </w:tc>
      </w:tr>
      <w:tr>
        <w:tc>
          <w:tcPr/>
          <w:p>
            <w:pPr>
              <w:pStyle w:val="Compact"/>
            </w:pPr>
            <w:r>
              <w:t xml:space="preserve">J + 5,000/year, F 50%</w:t>
            </w:r>
          </w:p>
        </w:tc>
        <w:tc>
          <w:tcPr/>
          <w:p>
            <w:pPr>
              <w:pStyle w:val="Compact"/>
            </w:pPr>
            <w:r>
              <w:t xml:space="preserve">S$33.2 (95% UI: S$27.3–S$42.1)</w:t>
            </w:r>
          </w:p>
        </w:tc>
        <w:tc>
          <w:tcPr/>
          <w:p>
            <w:pPr>
              <w:pStyle w:val="Compact"/>
            </w:pPr>
            <w:r>
              <w:t xml:space="preserve">S$66.4 (95% UI: S$54.6–S$84.2)</w:t>
            </w:r>
          </w:p>
        </w:tc>
        <w:tc>
          <w:tcPr/>
          <w:p>
            <w:pPr>
              <w:pStyle w:val="Compact"/>
            </w:pPr>
            <w:r>
              <w:t xml:space="preserve">S$99.6 (95% UI: S$82.0–S$126.3)</w:t>
            </w:r>
          </w:p>
        </w:tc>
      </w:tr>
      <w:tr>
        <w:tc>
          <w:tcPr/>
          <w:p>
            <w:pPr>
              <w:pStyle w:val="Compact"/>
            </w:pPr>
            <w:r>
              <w:t xml:space="preserve">J + 8,000/year, F 50%</w:t>
            </w:r>
          </w:p>
        </w:tc>
        <w:tc>
          <w:tcPr/>
          <w:p>
            <w:pPr>
              <w:pStyle w:val="Compact"/>
            </w:pPr>
            <w:r>
              <w:t xml:space="preserve">S$41.5 (95% UI: S$34.5–S$51.3)</w:t>
            </w:r>
          </w:p>
        </w:tc>
        <w:tc>
          <w:tcPr/>
          <w:p>
            <w:pPr>
              <w:pStyle w:val="Compact"/>
            </w:pPr>
            <w:r>
              <w:t xml:space="preserve">S$83.0 (95% UI: S$68.9–S$102.7)</w:t>
            </w:r>
          </w:p>
        </w:tc>
        <w:tc>
          <w:tcPr/>
          <w:p>
            <w:pPr>
              <w:pStyle w:val="Compact"/>
            </w:pPr>
            <w:r>
              <w:t xml:space="preserve">S$124.6 (95% UI: S$103.4–S$154.0)</w:t>
            </w:r>
          </w:p>
        </w:tc>
      </w:tr>
      <w:tr>
        <w:tc>
          <w:tcPr/>
          <w:p>
            <w:pPr>
              <w:pStyle w:val="Compact"/>
            </w:pPr>
            <w:r>
              <w:t xml:space="preserve">J + 600/year, F 75%</w:t>
            </w:r>
          </w:p>
        </w:tc>
        <w:tc>
          <w:tcPr/>
          <w:p>
            <w:pPr>
              <w:pStyle w:val="Compact"/>
            </w:pPr>
            <w:r>
              <w:t xml:space="preserve">S$16.5 (95% UI: S$12.7–S$24.1)</w:t>
            </w:r>
          </w:p>
        </w:tc>
        <w:tc>
          <w:tcPr/>
          <w:p>
            <w:pPr>
              <w:pStyle w:val="Compact"/>
            </w:pPr>
            <w:r>
              <w:t xml:space="preserve">S$33.0 (95% UI: S$25.4–S$48.1)</w:t>
            </w:r>
          </w:p>
        </w:tc>
        <w:tc>
          <w:tcPr/>
          <w:p>
            <w:pPr>
              <w:pStyle w:val="Compact"/>
            </w:pPr>
            <w:r>
              <w:t xml:space="preserve">S$49.6 (95% UI: S$38.1–S$72.2)</w:t>
            </w:r>
          </w:p>
        </w:tc>
      </w:tr>
      <w:tr>
        <w:tc>
          <w:tcPr/>
          <w:p>
            <w:pPr>
              <w:pStyle w:val="Compact"/>
            </w:pPr>
            <w:r>
              <w:t xml:space="preserve">J + 1,000/year, F 75%</w:t>
            </w:r>
          </w:p>
        </w:tc>
        <w:tc>
          <w:tcPr/>
          <w:p>
            <w:pPr>
              <w:pStyle w:val="Compact"/>
            </w:pPr>
            <w:r>
              <w:t xml:space="preserve">S$17.4 (95% UI: S$13.5–S$24.9)</w:t>
            </w:r>
          </w:p>
        </w:tc>
        <w:tc>
          <w:tcPr/>
          <w:p>
            <w:pPr>
              <w:pStyle w:val="Compact"/>
            </w:pPr>
            <w:r>
              <w:t xml:space="preserve">S$34.7 (95% UI: S$27.0–S$49.9)</w:t>
            </w:r>
          </w:p>
        </w:tc>
        <w:tc>
          <w:tcPr/>
          <w:p>
            <w:pPr>
              <w:pStyle w:val="Compact"/>
            </w:pPr>
            <w:r>
              <w:t xml:space="preserve">S$52.1 (95% UI: S$40.5–S$74.8)</w:t>
            </w:r>
          </w:p>
        </w:tc>
      </w:tr>
      <w:tr>
        <w:tc>
          <w:tcPr/>
          <w:p>
            <w:pPr>
              <w:pStyle w:val="Compact"/>
            </w:pPr>
            <w:r>
              <w:t xml:space="preserve">J + 2,000/year, F 75%</w:t>
            </w:r>
          </w:p>
        </w:tc>
        <w:tc>
          <w:tcPr/>
          <w:p>
            <w:pPr>
              <w:pStyle w:val="Compact"/>
            </w:pPr>
            <w:r>
              <w:t xml:space="preserve">S$19.4 (95% UI: S$15.3–S$27.3)</w:t>
            </w:r>
          </w:p>
        </w:tc>
        <w:tc>
          <w:tcPr/>
          <w:p>
            <w:pPr>
              <w:pStyle w:val="Compact"/>
            </w:pPr>
            <w:r>
              <w:t xml:space="preserve">S$38.7 (95% UI: S$30.6–S$54.6)</w:t>
            </w:r>
          </w:p>
        </w:tc>
        <w:tc>
          <w:tcPr/>
          <w:p>
            <w:pPr>
              <w:pStyle w:val="Compact"/>
            </w:pPr>
            <w:r>
              <w:t xml:space="preserve">S$58.1 (95% UI: S$45.9–S$82.0)</w:t>
            </w:r>
          </w:p>
        </w:tc>
      </w:tr>
      <w:tr>
        <w:tc>
          <w:tcPr/>
          <w:p>
            <w:pPr>
              <w:pStyle w:val="Compact"/>
            </w:pPr>
            <w:r>
              <w:t xml:space="preserve">J + 5,000/year, F 75%</w:t>
            </w:r>
          </w:p>
        </w:tc>
        <w:tc>
          <w:tcPr/>
          <w:p>
            <w:pPr>
              <w:pStyle w:val="Compact"/>
            </w:pPr>
            <w:r>
              <w:t xml:space="preserve">S$24.6 (95% UI: S$20.0–S$33.3)</w:t>
            </w:r>
          </w:p>
        </w:tc>
        <w:tc>
          <w:tcPr/>
          <w:p>
            <w:pPr>
              <w:pStyle w:val="Compact"/>
            </w:pPr>
            <w:r>
              <w:t xml:space="preserve">S$49.2 (95% UI: S$40.0–S$66.6)</w:t>
            </w:r>
          </w:p>
        </w:tc>
        <w:tc>
          <w:tcPr/>
          <w:p>
            <w:pPr>
              <w:pStyle w:val="Compact"/>
            </w:pPr>
            <w:r>
              <w:t xml:space="preserve">S$73.9 (95% UI: S$60.0–S$99.8)</w:t>
            </w:r>
          </w:p>
        </w:tc>
      </w:tr>
      <w:tr>
        <w:tc>
          <w:tcPr/>
          <w:p>
            <w:pPr>
              <w:pStyle w:val="Compact"/>
            </w:pPr>
            <w:r>
              <w:t xml:space="preserve">J + 8,000/year, F 75%</w:t>
            </w:r>
          </w:p>
        </w:tc>
        <w:tc>
          <w:tcPr/>
          <w:p>
            <w:pPr>
              <w:pStyle w:val="Compact"/>
            </w:pPr>
            <w:r>
              <w:t xml:space="preserve">S$29.6 (95% UI: S$24.4–S$38.9)</w:t>
            </w:r>
          </w:p>
        </w:tc>
        <w:tc>
          <w:tcPr/>
          <w:p>
            <w:pPr>
              <w:pStyle w:val="Compact"/>
            </w:pPr>
            <w:r>
              <w:t xml:space="preserve">S$59.2 (95% UI: S$48.9–S$77.8)</w:t>
            </w:r>
          </w:p>
        </w:tc>
        <w:tc>
          <w:tcPr/>
          <w:p>
            <w:pPr>
              <w:pStyle w:val="Compact"/>
            </w:pPr>
            <w:r>
              <w:t xml:space="preserve">S$88.9 (95% UI: S$73.3–S$116.7)</w:t>
            </w:r>
          </w:p>
        </w:tc>
      </w:tr>
      <w:tr>
        <w:tc>
          <w:tcPr/>
          <w:p>
            <w:pPr>
              <w:pStyle w:val="Compact"/>
            </w:pPr>
            <w:r>
              <w:t xml:space="preserve">J + no screening cap</w:t>
            </w:r>
          </w:p>
        </w:tc>
        <w:tc>
          <w:tcPr/>
          <w:p>
            <w:pPr>
              <w:pStyle w:val="Compact"/>
            </w:pPr>
            <w:r>
              <w:t xml:space="preserve">S$89.4 (95% UI: S$76.4–S$103.7)</w:t>
            </w:r>
          </w:p>
        </w:tc>
        <w:tc>
          <w:tcPr/>
          <w:p>
            <w:pPr>
              <w:pStyle w:val="Compact"/>
            </w:pPr>
            <w:r>
              <w:t xml:space="preserve">S$178.8 (95% UI: S$152.7–S$207.4)</w:t>
            </w:r>
          </w:p>
        </w:tc>
        <w:tc>
          <w:tcPr/>
          <w:p>
            <w:pPr>
              <w:pStyle w:val="Compact"/>
            </w:pPr>
            <w:r>
              <w:t xml:space="preserve">S$268.2 (95% UI: S$229.1–S$311.1)</w:t>
            </w:r>
          </w:p>
        </w:tc>
      </w:tr>
    </w:tbl>
    <w:bookmarkEnd w:id="50"/>
    <w:bookmarkEnd w:id="51"/>
    <w:bookmarkStart w:id="52" w:name="uncertainty-analysis-and-software"/>
    <w:p>
      <w:pPr>
        <w:pStyle w:val="Heading1"/>
      </w:pPr>
      <w:r>
        <w:t xml:space="preserve">5. Uncertainty analysis and software</w:t>
      </w:r>
    </w:p>
    <w:p>
      <w:pPr>
        <w:pStyle w:val="FirstParagraph"/>
      </w:pPr>
      <w:r>
        <w:t xml:space="preserve">We sampled 2,000 parameter sets at random without replacement from the 16,000 MCMC posterior draws, using sampling seed 20261005. For each set we ran the full pipeline. This included the 150 year equilibrium, the equilibrium check, the shared history from 2016 to 2025, the no treatment counterfactual and all 17 scenarios to 2030. All 2,000 draws passed the equilibrium check. Derived quantities such as reductions, costs and incremental costs were computed within each draw before summarising. We report the median and the 2.5th and 97.5th percentiles. A scenario met a target if its median reduction met the threshold. We also report the share of draws meeting both targets.</w:t>
      </w:r>
    </w:p>
    <w:p>
      <w:pPr>
        <w:pStyle w:val="BodyText"/>
      </w:pPr>
      <w:r>
        <w:t xml:space="preserve">The model was solved in C++ through Rcpp</w:t>
      </w:r>
      <w:r>
        <w:t xml:space="preserve"> </w:t>
      </w:r>
      <w:r>
        <w:t xml:space="preserve">[28]</w:t>
      </w:r>
      <w:r>
        <w:t xml:space="preserve"> </w:t>
      </w:r>
      <w:r>
        <w:t xml:space="preserve">with a daily time step. MCMC ran in R. Neural posterior estimation used Python, PyTorch and sbi</w:t>
      </w:r>
      <w:r>
        <w:t xml:space="preserve"> </w:t>
      </w:r>
      <w:r>
        <w:t xml:space="preserve">[21]</w:t>
      </w:r>
      <w:r>
        <w:t xml:space="preserve">. The MCMC posterior took about 4.0 hours on four processor cores. The scenario analysis of 2,000 draws took about one hour on four cores. The project test suite passed.</w:t>
      </w:r>
    </w:p>
    <w:bookmarkEnd w:id="52"/>
    <w:bookmarkStart w:id="53" w:name="further-limitations"/>
    <w:p>
      <w:pPr>
        <w:pStyle w:val="Heading1"/>
      </w:pPr>
      <w:r>
        <w:t xml:space="preserve">6. Further limitations</w:t>
      </w:r>
    </w:p>
    <w:p>
      <w:pPr>
        <w:pStyle w:val="Compact"/>
        <w:numPr>
          <w:ilvl w:val="0"/>
          <w:numId w:val="1003"/>
        </w:numPr>
      </w:pPr>
      <w:r>
        <w:rPr>
          <w:b/>
          <w:bCs/>
        </w:rPr>
        <w:t xml:space="preserve">Population scope.</w:t>
      </w:r>
      <w:r>
        <w:t xml:space="preserve"> </w:t>
      </w:r>
      <w:r>
        <w:t xml:space="preserve">The model includes only people with a history of injecting drugs. It does not include other routes of infection or the general population. National elimination needs national data</w:t>
      </w:r>
      <w:r>
        <w:t xml:space="preserve"> </w:t>
      </w:r>
      <w:r>
        <w:t xml:space="preserve">[29,30]</w:t>
      </w:r>
      <w:r>
        <w:t xml:space="preserve">.</w:t>
      </w:r>
    </w:p>
    <w:p>
      <w:pPr>
        <w:pStyle w:val="Compact"/>
        <w:numPr>
          <w:ilvl w:val="0"/>
          <w:numId w:val="1003"/>
        </w:numPr>
      </w:pPr>
      <w:r>
        <w:rPr>
          <w:b/>
          <w:bCs/>
        </w:rPr>
        <w:t xml:space="preserve">Prison treatment history.</w:t>
      </w:r>
      <w:r>
        <w:t xml:space="preserve"> </w:t>
      </w:r>
      <w:r>
        <w:t xml:space="preserve">The 2019 prison treatment rate is an assumption. The model was not fitted to observed treatment numbers. In a Singapore prison cohort, 681 people were treated in 2019</w:t>
      </w:r>
      <w:r>
        <w:t xml:space="preserve"> </w:t>
      </w:r>
      <w:r>
        <w:t xml:space="preserve">[31]</w:t>
      </w:r>
      <w:r>
        <w:t xml:space="preserve">. The model gave 204 (95% UI: 161–276) prison treatment starts in 2026 because most prevalent cases had been treated by then.</w:t>
      </w:r>
    </w:p>
    <w:p>
      <w:pPr>
        <w:pStyle w:val="Compact"/>
        <w:numPr>
          <w:ilvl w:val="0"/>
          <w:numId w:val="1003"/>
        </w:numPr>
      </w:pPr>
      <w:r>
        <w:rPr>
          <w:b/>
          <w:bCs/>
        </w:rPr>
        <w:t xml:space="preserve">Linkage to care.</w:t>
      </w:r>
      <w:r>
        <w:t xml:space="preserve"> </w:t>
      </w:r>
      <w:r>
        <w:t xml:space="preserve">Screening, confirmation and treatment start were assumed to be complete. Real linkage is lower</w:t>
      </w:r>
      <w:r>
        <w:t xml:space="preserve"> </w:t>
      </w:r>
      <w:r>
        <w:t xml:space="preserve">[32,33]</w:t>
      </w:r>
      <w:r>
        <w:t xml:space="preserve">.</w:t>
      </w:r>
    </w:p>
    <w:p>
      <w:pPr>
        <w:pStyle w:val="Compact"/>
        <w:numPr>
          <w:ilvl w:val="0"/>
          <w:numId w:val="1003"/>
        </w:numPr>
      </w:pPr>
      <w:r>
        <w:rPr>
          <w:b/>
          <w:bCs/>
        </w:rPr>
        <w:t xml:space="preserve">Group X.</w:t>
      </w:r>
      <w:r>
        <w:t xml:space="preserve"> </w:t>
      </w:r>
      <w:r>
        <w:t xml:space="preserve">People in X cannot relapse or be reinfected. Relapse would add transmission and reinfection.</w:t>
      </w:r>
    </w:p>
    <w:p>
      <w:pPr>
        <w:pStyle w:val="Compact"/>
        <w:numPr>
          <w:ilvl w:val="0"/>
          <w:numId w:val="1003"/>
        </w:numPr>
      </w:pPr>
      <w:r>
        <w:rPr>
          <w:b/>
          <w:bCs/>
        </w:rPr>
        <w:t xml:space="preserve">Event counts.</w:t>
      </w:r>
      <w:r>
        <w:t xml:space="preserve"> </w:t>
      </w:r>
      <w:r>
        <w:t xml:space="preserve">Outcomes are annual event counts in the modelled population. They are not rates per person.</w:t>
      </w:r>
    </w:p>
    <w:p>
      <w:pPr>
        <w:pStyle w:val="Compact"/>
        <w:numPr>
          <w:ilvl w:val="0"/>
          <w:numId w:val="1003"/>
        </w:numPr>
      </w:pPr>
      <w:r>
        <w:rPr>
          <w:b/>
          <w:bCs/>
        </w:rPr>
        <w:t xml:space="preserve">Costs.</w:t>
      </w:r>
      <w:r>
        <w:t xml:space="preserve"> </w:t>
      </w:r>
      <w:r>
        <w:t xml:space="preserve">Prices are public list prices and an older drug price. Many programme costs are not included.</w:t>
      </w:r>
    </w:p>
    <w:p>
      <w:pPr>
        <w:pStyle w:val="Compact"/>
        <w:numPr>
          <w:ilvl w:val="0"/>
          <w:numId w:val="1003"/>
        </w:numPr>
      </w:pPr>
      <w:r>
        <w:rPr>
          <w:b/>
          <w:bCs/>
        </w:rPr>
        <w:t xml:space="preserve">Mortality ratios.</w:t>
      </w:r>
      <w:r>
        <w:t xml:space="preserve"> </w:t>
      </w:r>
      <w:r>
        <w:t xml:space="preserve">The standardised mortality ratios come from the Amsterdam Cohort Studies of people who use drugs, 1985 to 2012, against the Dutch general population</w:t>
      </w:r>
      <w:r>
        <w:t xml:space="preserve"> </w:t>
      </w:r>
      <w:r>
        <w:t xml:space="preserve">[11]</w:t>
      </w:r>
      <w:r>
        <w:t xml:space="preserve">. They group people by HCV antibody status, so the viraemic ratio (HCV monoinfected, 9.52) includes people who cleared infection and liver deaths, which the model also counts separately. No cohort reports these ratios by viraemic status.</w:t>
      </w:r>
    </w:p>
    <w:p>
      <w:pPr>
        <w:pStyle w:val="Compact"/>
        <w:numPr>
          <w:ilvl w:val="0"/>
          <w:numId w:val="1003"/>
        </w:numPr>
      </w:pPr>
      <w:r>
        <w:rPr>
          <w:b/>
          <w:bCs/>
        </w:rPr>
        <w:t xml:space="preserve">Population size.</w:t>
      </w:r>
      <w:r>
        <w:t xml:space="preserve"> </w:t>
      </w:r>
      <w:r>
        <w:t xml:space="preserve">Only seroprevalence was fitted. The modelled 2015 prison population (8,451 (8,283–8,520)) was much larger than the 3,367 people with a known screening result in prison records, so absolute counts of infections, deaths, screening and treatment, and costs, are uncertain beyond the UIs.</w:t>
      </w:r>
    </w:p>
    <w:p>
      <w:pPr>
        <w:pStyle w:val="Compact"/>
        <w:numPr>
          <w:ilvl w:val="0"/>
          <w:numId w:val="1003"/>
        </w:numPr>
      </w:pPr>
      <w:r>
        <w:rPr>
          <w:b/>
          <w:bCs/>
        </w:rPr>
        <w:t xml:space="preserve">First arrest rate.</w:t>
      </w:r>
      <w:r>
        <w:t xml:space="preserve"> </w:t>
      </w:r>
      <w:r>
        <w:t xml:space="preserve">The prison records cannot identify the first arrest rate of people who have never been imprisoned. It was a multiple</w:t>
      </w:r>
      <w:r>
        <w:t xml:space="preserve"> </w:t>
      </w:r>
      <m:oMath>
        <m:r>
          <m:t>c</m:t>
        </m:r>
        <m:r>
          <m:rPr>
            <m:sty m:val="p"/>
          </m:rPr>
          <m:t>≥</m:t>
        </m:r>
        <m:r>
          <m:t>0.5</m:t>
        </m:r>
      </m:oMath>
      <w:r>
        <w:t xml:space="preserve"> </w:t>
      </w:r>
      <w:r>
        <w:t xml:space="preserve">of the re-arrest rate, and its posterior (1.24 (95% interval 0.57 to 3.13)) follows its prior. A lower first arrest rate would leave more people in D, who are never reached by prison treatment.</w:t>
      </w:r>
    </w:p>
    <w:p>
      <w:pPr>
        <w:pStyle w:val="Compact"/>
        <w:numPr>
          <w:ilvl w:val="0"/>
          <w:numId w:val="1003"/>
        </w:numPr>
      </w:pPr>
      <w:r>
        <w:rPr>
          <w:b/>
          <w:bCs/>
        </w:rPr>
        <w:t xml:space="preserve">Uncertainty.</w:t>
      </w:r>
      <w:r>
        <w:t xml:space="preserve"> </w:t>
      </w:r>
      <w:r>
        <w:t xml:space="preserve">The UIs reflect calibrated parameters only. Fixed natural history parameters, uptake and price were not varied.</w:t>
      </w:r>
    </w:p>
    <w:p>
      <w:pPr>
        <w:pStyle w:val="Compact"/>
        <w:numPr>
          <w:ilvl w:val="0"/>
          <w:numId w:val="1003"/>
        </w:numPr>
      </w:pPr>
      <w:r>
        <w:rPr>
          <w:b/>
          <w:bCs/>
        </w:rPr>
        <w:t xml:space="preserve">Prior.</w:t>
      </w:r>
      <w:r>
        <w:t xml:space="preserve"> </w:t>
      </w:r>
      <w:r>
        <w:t xml:space="preserve">With six targets and seven parameters, the prior matters. For θ5, θ6 and θ7 the posterior standard deviation was 76% to 88% of the prior standard deviation.</w:t>
      </w:r>
    </w:p>
    <w:bookmarkEnd w:id="53"/>
    <w:bookmarkStart w:id="54" w:name="cheers-2022-checklist"/>
    <w:p>
      <w:pPr>
        <w:pStyle w:val="Heading1"/>
      </w:pPr>
      <w:r>
        <w:t xml:space="preserve">7. CHEERS 2022 checklist</w:t>
      </w:r>
    </w:p>
    <w:p>
      <w:pPr>
        <w:pStyle w:val="FirstParagraph"/>
      </w:pPr>
      <w:r>
        <w:rPr>
          <w:b/>
          <w:bCs/>
        </w:rPr>
        <w:t xml:space="preserve">Table S12. CHEERS 2022 items and where they are reported.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Item</w:t>
            </w:r>
          </w:p>
        </w:tc>
        <w:tc>
          <w:tcPr/>
          <w:p>
            <w:pPr>
              <w:pStyle w:val="Compact"/>
            </w:pPr>
            <w:r>
              <w:t xml:space="preserve">Location</w:t>
            </w:r>
          </w:p>
        </w:tc>
      </w:tr>
      <w:tr>
        <w:tc>
          <w:tcPr/>
          <w:p>
            <w:pPr>
              <w:pStyle w:val="Compact"/>
            </w:pPr>
            <w:r>
              <w:t xml:space="preserve">1</w:t>
            </w:r>
          </w:p>
        </w:tc>
        <w:tc>
          <w:tcPr/>
          <w:p>
            <w:pPr>
              <w:pStyle w:val="Compact"/>
            </w:pPr>
            <w:r>
              <w:t xml:space="preserve">Title</w:t>
            </w:r>
          </w:p>
        </w:tc>
        <w:tc>
          <w:tcPr/>
          <w:p>
            <w:pPr>
              <w:pStyle w:val="Compact"/>
            </w:pPr>
            <w:r>
              <w:t xml:space="preserve">Title page</w:t>
            </w:r>
          </w:p>
        </w:tc>
      </w:tr>
      <w:tr>
        <w:tc>
          <w:tcPr/>
          <w:p>
            <w:pPr>
              <w:pStyle w:val="Compact"/>
            </w:pPr>
            <w:r>
              <w:t xml:space="preserve">2</w:t>
            </w:r>
          </w:p>
        </w:tc>
        <w:tc>
          <w:tcPr/>
          <w:p>
            <w:pPr>
              <w:pStyle w:val="Compact"/>
            </w:pPr>
            <w:r>
              <w:t xml:space="preserve">Abstract</w:t>
            </w:r>
          </w:p>
        </w:tc>
        <w:tc>
          <w:tcPr/>
          <w:p>
            <w:pPr>
              <w:pStyle w:val="Compact"/>
            </w:pPr>
            <w:r>
              <w:t xml:space="preserve">Abstract</w:t>
            </w:r>
          </w:p>
        </w:tc>
      </w:tr>
      <w:tr>
        <w:tc>
          <w:tcPr/>
          <w:p>
            <w:pPr>
              <w:pStyle w:val="Compact"/>
            </w:pPr>
            <w:r>
              <w:t xml:space="preserve">3</w:t>
            </w:r>
          </w:p>
        </w:tc>
        <w:tc>
          <w:tcPr/>
          <w:p>
            <w:pPr>
              <w:pStyle w:val="Compact"/>
            </w:pPr>
            <w:r>
              <w:t xml:space="preserve">Background and objectives</w:t>
            </w:r>
          </w:p>
        </w:tc>
        <w:tc>
          <w:tcPr/>
          <w:p>
            <w:pPr>
              <w:pStyle w:val="Compact"/>
            </w:pPr>
            <w:r>
              <w:t xml:space="preserve">Introduction</w:t>
            </w:r>
          </w:p>
        </w:tc>
      </w:tr>
      <w:tr>
        <w:tc>
          <w:tcPr/>
          <w:p>
            <w:pPr>
              <w:pStyle w:val="Compact"/>
            </w:pPr>
            <w:r>
              <w:t xml:space="preserve">4</w:t>
            </w:r>
          </w:p>
        </w:tc>
        <w:tc>
          <w:tcPr/>
          <w:p>
            <w:pPr>
              <w:pStyle w:val="Compact"/>
            </w:pPr>
            <w:r>
              <w:t xml:space="preserve">Health economic analysis plan</w:t>
            </w:r>
          </w:p>
        </w:tc>
        <w:tc>
          <w:tcPr/>
          <w:p>
            <w:pPr>
              <w:pStyle w:val="Compact"/>
            </w:pPr>
            <w:r>
              <w:t xml:space="preserve">Methods, Study design (no prospective plan)</w:t>
            </w:r>
          </w:p>
        </w:tc>
      </w:tr>
      <w:tr>
        <w:tc>
          <w:tcPr/>
          <w:p>
            <w:pPr>
              <w:pStyle w:val="Compact"/>
            </w:pPr>
            <w:r>
              <w:t xml:space="preserve">5</w:t>
            </w:r>
          </w:p>
        </w:tc>
        <w:tc>
          <w:tcPr/>
          <w:p>
            <w:pPr>
              <w:pStyle w:val="Compact"/>
            </w:pPr>
            <w:r>
              <w:t xml:space="preserve">Study population</w:t>
            </w:r>
          </w:p>
        </w:tc>
        <w:tc>
          <w:tcPr/>
          <w:p>
            <w:pPr>
              <w:pStyle w:val="Compact"/>
            </w:pPr>
            <w:r>
              <w:t xml:space="preserve">Methods, Model structure</w:t>
            </w:r>
          </w:p>
        </w:tc>
      </w:tr>
      <w:tr>
        <w:tc>
          <w:tcPr/>
          <w:p>
            <w:pPr>
              <w:pStyle w:val="Compact"/>
            </w:pPr>
            <w:r>
              <w:t xml:space="preserve">6</w:t>
            </w:r>
          </w:p>
        </w:tc>
        <w:tc>
          <w:tcPr/>
          <w:p>
            <w:pPr>
              <w:pStyle w:val="Compact"/>
            </w:pPr>
            <w:r>
              <w:t xml:space="preserve">Setting and location</w:t>
            </w:r>
          </w:p>
        </w:tc>
        <w:tc>
          <w:tcPr/>
          <w:p>
            <w:pPr>
              <w:pStyle w:val="Compact"/>
            </w:pPr>
            <w:r>
              <w:t xml:space="preserve">Introduction, Methods</w:t>
            </w:r>
          </w:p>
        </w:tc>
      </w:tr>
      <w:tr>
        <w:tc>
          <w:tcPr/>
          <w:p>
            <w:pPr>
              <w:pStyle w:val="Compact"/>
            </w:pPr>
            <w:r>
              <w:t xml:space="preserve">7</w:t>
            </w:r>
          </w:p>
        </w:tc>
        <w:tc>
          <w:tcPr/>
          <w:p>
            <w:pPr>
              <w:pStyle w:val="Compact"/>
            </w:pPr>
            <w:r>
              <w:t xml:space="preserve">Comparators</w:t>
            </w:r>
          </w:p>
        </w:tc>
        <w:tc>
          <w:tcPr/>
          <w:p>
            <w:pPr>
              <w:pStyle w:val="Compact"/>
            </w:pPr>
            <w:r>
              <w:t xml:space="preserve">Methods, Treatment and screening scenarios</w:t>
            </w:r>
          </w:p>
        </w:tc>
      </w:tr>
      <w:tr>
        <w:tc>
          <w:tcPr/>
          <w:p>
            <w:pPr>
              <w:pStyle w:val="Compact"/>
            </w:pPr>
            <w:r>
              <w:t xml:space="preserve">8</w:t>
            </w:r>
          </w:p>
        </w:tc>
        <w:tc>
          <w:tcPr/>
          <w:p>
            <w:pPr>
              <w:pStyle w:val="Compact"/>
            </w:pPr>
            <w:r>
              <w:t xml:space="preserve">Perspective</w:t>
            </w:r>
          </w:p>
        </w:tc>
        <w:tc>
          <w:tcPr/>
          <w:p>
            <w:pPr>
              <w:pStyle w:val="Compact"/>
            </w:pPr>
            <w:r>
              <w:t xml:space="preserve">Methods, Outcomes (health service costs only)</w:t>
            </w:r>
          </w:p>
        </w:tc>
      </w:tr>
      <w:tr>
        <w:tc>
          <w:tcPr/>
          <w:p>
            <w:pPr>
              <w:pStyle w:val="Compact"/>
            </w:pPr>
            <w:r>
              <w:t xml:space="preserve">9</w:t>
            </w:r>
          </w:p>
        </w:tc>
        <w:tc>
          <w:tcPr/>
          <w:p>
            <w:pPr>
              <w:pStyle w:val="Compact"/>
            </w:pPr>
            <w:r>
              <w:t xml:space="preserve">Time horizon</w:t>
            </w:r>
          </w:p>
        </w:tc>
        <w:tc>
          <w:tcPr/>
          <w:p>
            <w:pPr>
              <w:pStyle w:val="Compact"/>
            </w:pPr>
            <w:r>
              <w:t xml:space="preserve">Methods, Outcomes (2026 to 2030)</w:t>
            </w:r>
          </w:p>
        </w:tc>
      </w:tr>
      <w:tr>
        <w:tc>
          <w:tcPr/>
          <w:p>
            <w:pPr>
              <w:pStyle w:val="Compact"/>
            </w:pPr>
            <w:r>
              <w:t xml:space="preserve">10</w:t>
            </w:r>
          </w:p>
        </w:tc>
        <w:tc>
          <w:tcPr/>
          <w:p>
            <w:pPr>
              <w:pStyle w:val="Compact"/>
            </w:pPr>
            <w:r>
              <w:t xml:space="preserve">Discount rate</w:t>
            </w:r>
          </w:p>
        </w:tc>
        <w:tc>
          <w:tcPr/>
          <w:p>
            <w:pPr>
              <w:pStyle w:val="Compact"/>
            </w:pPr>
            <w:r>
              <w:t xml:space="preserve">Methods, Outcomes; S1 Text 3.4</w:t>
            </w:r>
          </w:p>
        </w:tc>
      </w:tr>
      <w:tr>
        <w:tc>
          <w:tcPr/>
          <w:p>
            <w:pPr>
              <w:pStyle w:val="Compact"/>
            </w:pPr>
            <w:r>
              <w:t xml:space="preserve">11</w:t>
            </w:r>
          </w:p>
        </w:tc>
        <w:tc>
          <w:tcPr/>
          <w:p>
            <w:pPr>
              <w:pStyle w:val="Compact"/>
            </w:pPr>
            <w:r>
              <w:t xml:space="preserve">Selection of outcomes</w:t>
            </w:r>
          </w:p>
        </w:tc>
        <w:tc>
          <w:tcPr/>
          <w:p>
            <w:pPr>
              <w:pStyle w:val="Compact"/>
            </w:pPr>
            <w:r>
              <w:t xml:space="preserve">Methods, Outcomes</w:t>
            </w:r>
          </w:p>
        </w:tc>
      </w:tr>
      <w:tr>
        <w:tc>
          <w:tcPr/>
          <w:p>
            <w:pPr>
              <w:pStyle w:val="Compact"/>
            </w:pPr>
            <w:r>
              <w:t xml:space="preserve">12</w:t>
            </w:r>
          </w:p>
        </w:tc>
        <w:tc>
          <w:tcPr/>
          <w:p>
            <w:pPr>
              <w:pStyle w:val="Compact"/>
            </w:pPr>
            <w:r>
              <w:t xml:space="preserve">Measurement of outcomes</w:t>
            </w:r>
          </w:p>
        </w:tc>
        <w:tc>
          <w:tcPr/>
          <w:p>
            <w:pPr>
              <w:pStyle w:val="Compact"/>
            </w:pPr>
            <w:r>
              <w:t xml:space="preserve">Methods, Outcomes; S1 Text 3.3</w:t>
            </w:r>
          </w:p>
        </w:tc>
      </w:tr>
      <w:tr>
        <w:tc>
          <w:tcPr/>
          <w:p>
            <w:pPr>
              <w:pStyle w:val="Compact"/>
            </w:pPr>
            <w:r>
              <w:t xml:space="preserve">13</w:t>
            </w:r>
          </w:p>
        </w:tc>
        <w:tc>
          <w:tcPr/>
          <w:p>
            <w:pPr>
              <w:pStyle w:val="Compact"/>
            </w:pPr>
            <w:r>
              <w:t xml:space="preserve">Valuation of outcomes</w:t>
            </w:r>
          </w:p>
        </w:tc>
        <w:tc>
          <w:tcPr/>
          <w:p>
            <w:pPr>
              <w:pStyle w:val="Compact"/>
            </w:pPr>
            <w:r>
              <w:t xml:space="preserve">Not applicable (no utility weights)</w:t>
            </w:r>
          </w:p>
        </w:tc>
      </w:tr>
      <w:tr>
        <w:tc>
          <w:tcPr/>
          <w:p>
            <w:pPr>
              <w:pStyle w:val="Compact"/>
            </w:pPr>
            <w:r>
              <w:t xml:space="preserve">14</w:t>
            </w:r>
          </w:p>
        </w:tc>
        <w:tc>
          <w:tcPr/>
          <w:p>
            <w:pPr>
              <w:pStyle w:val="Compact"/>
            </w:pPr>
            <w:r>
              <w:t xml:space="preserve">Measurement and valuation of resources and costs</w:t>
            </w:r>
          </w:p>
        </w:tc>
        <w:tc>
          <w:tcPr/>
          <w:p>
            <w:pPr>
              <w:pStyle w:val="Compact"/>
            </w:pPr>
            <w:r>
              <w:t xml:space="preserve">S1 Text 3.4</w:t>
            </w:r>
          </w:p>
        </w:tc>
      </w:tr>
      <w:tr>
        <w:tc>
          <w:tcPr/>
          <w:p>
            <w:pPr>
              <w:pStyle w:val="Compact"/>
            </w:pPr>
            <w:r>
              <w:t xml:space="preserve">15</w:t>
            </w:r>
          </w:p>
        </w:tc>
        <w:tc>
          <w:tcPr/>
          <w:p>
            <w:pPr>
              <w:pStyle w:val="Compact"/>
            </w:pPr>
            <w:r>
              <w:t xml:space="preserve">Currency, price date and conversion</w:t>
            </w:r>
          </w:p>
        </w:tc>
        <w:tc>
          <w:tcPr/>
          <w:p>
            <w:pPr>
              <w:pStyle w:val="Compact"/>
            </w:pPr>
            <w:r>
              <w:t xml:space="preserve">S1 Text 3.4</w:t>
            </w:r>
          </w:p>
        </w:tc>
      </w:tr>
      <w:tr>
        <w:tc>
          <w:tcPr/>
          <w:p>
            <w:pPr>
              <w:pStyle w:val="Compact"/>
            </w:pPr>
            <w:r>
              <w:t xml:space="preserve">16</w:t>
            </w:r>
          </w:p>
        </w:tc>
        <w:tc>
          <w:tcPr/>
          <w:p>
            <w:pPr>
              <w:pStyle w:val="Compact"/>
            </w:pPr>
            <w:r>
              <w:t xml:space="preserve">Rationale and description of model</w:t>
            </w:r>
          </w:p>
        </w:tc>
        <w:tc>
          <w:tcPr/>
          <w:p>
            <w:pPr>
              <w:pStyle w:val="Compact"/>
            </w:pPr>
            <w:r>
              <w:t xml:space="preserve">Methods; S1 Text 1</w:t>
            </w:r>
          </w:p>
        </w:tc>
      </w:tr>
      <w:tr>
        <w:tc>
          <w:tcPr/>
          <w:p>
            <w:pPr>
              <w:pStyle w:val="Compact"/>
            </w:pPr>
            <w:r>
              <w:t xml:space="preserve">17</w:t>
            </w:r>
          </w:p>
        </w:tc>
        <w:tc>
          <w:tcPr/>
          <w:p>
            <w:pPr>
              <w:pStyle w:val="Compact"/>
            </w:pPr>
            <w:r>
              <w:t xml:space="preserve">Analytics and assumptions</w:t>
            </w:r>
          </w:p>
        </w:tc>
        <w:tc>
          <w:tcPr/>
          <w:p>
            <w:pPr>
              <w:pStyle w:val="Compact"/>
            </w:pPr>
            <w:r>
              <w:t xml:space="preserve">S1 Text 1.5, 3</w:t>
            </w:r>
          </w:p>
        </w:tc>
      </w:tr>
      <w:tr>
        <w:tc>
          <w:tcPr/>
          <w:p>
            <w:pPr>
              <w:pStyle w:val="Compact"/>
            </w:pPr>
            <w:r>
              <w:t xml:space="preserve">18</w:t>
            </w:r>
          </w:p>
        </w:tc>
        <w:tc>
          <w:tcPr/>
          <w:p>
            <w:pPr>
              <w:pStyle w:val="Compact"/>
            </w:pPr>
            <w:r>
              <w:t xml:space="preserve">Characterising heterogeneity</w:t>
            </w:r>
          </w:p>
        </w:tc>
        <w:tc>
          <w:tcPr/>
          <w:p>
            <w:pPr>
              <w:pStyle w:val="Compact"/>
            </w:pPr>
            <w:r>
              <w:t xml:space="preserve">Results by group and age structure in model</w:t>
            </w:r>
          </w:p>
        </w:tc>
      </w:tr>
      <w:tr>
        <w:tc>
          <w:tcPr/>
          <w:p>
            <w:pPr>
              <w:pStyle w:val="Compact"/>
            </w:pPr>
            <w:r>
              <w:t xml:space="preserve">19</w:t>
            </w:r>
          </w:p>
        </w:tc>
        <w:tc>
          <w:tcPr/>
          <w:p>
            <w:pPr>
              <w:pStyle w:val="Compact"/>
            </w:pPr>
            <w:r>
              <w:t xml:space="preserve">Characterising distributional effects</w:t>
            </w:r>
          </w:p>
        </w:tc>
        <w:tc>
          <w:tcPr/>
          <w:p>
            <w:pPr>
              <w:pStyle w:val="Compact"/>
            </w:pPr>
            <w:r>
              <w:t xml:space="preserve">Not assessed</w:t>
            </w:r>
          </w:p>
        </w:tc>
      </w:tr>
      <w:tr>
        <w:tc>
          <w:tcPr/>
          <w:p>
            <w:pPr>
              <w:pStyle w:val="Compact"/>
            </w:pPr>
            <w:r>
              <w:t xml:space="preserve">20</w:t>
            </w:r>
          </w:p>
        </w:tc>
        <w:tc>
          <w:tcPr/>
          <w:p>
            <w:pPr>
              <w:pStyle w:val="Compact"/>
            </w:pPr>
            <w:r>
              <w:t xml:space="preserve">Characterising uncertainty</w:t>
            </w:r>
          </w:p>
        </w:tc>
        <w:tc>
          <w:tcPr/>
          <w:p>
            <w:pPr>
              <w:pStyle w:val="Compact"/>
            </w:pPr>
            <w:r>
              <w:t xml:space="preserve">Methods, Uncertainty analysis; S1 Text 2.4, 2.5, 4.3, 5</w:t>
            </w:r>
          </w:p>
        </w:tc>
      </w:tr>
      <w:tr>
        <w:tc>
          <w:tcPr/>
          <w:p>
            <w:pPr>
              <w:pStyle w:val="Compact"/>
            </w:pPr>
            <w:r>
              <w:t xml:space="preserve">21</w:t>
            </w:r>
          </w:p>
        </w:tc>
        <w:tc>
          <w:tcPr/>
          <w:p>
            <w:pPr>
              <w:pStyle w:val="Compact"/>
            </w:pPr>
            <w:r>
              <w:t xml:space="preserve">Approach to engagement with patients and others affected by the study</w:t>
            </w:r>
          </w:p>
        </w:tc>
        <w:tc>
          <w:tcPr/>
          <w:p>
            <w:pPr>
              <w:pStyle w:val="Compact"/>
            </w:pPr>
            <w:r>
              <w:t xml:space="preserve">No engagement</w:t>
            </w:r>
          </w:p>
        </w:tc>
      </w:tr>
      <w:tr>
        <w:tc>
          <w:tcPr/>
          <w:p>
            <w:pPr>
              <w:pStyle w:val="Compact"/>
            </w:pPr>
            <w:r>
              <w:t xml:space="preserve">22</w:t>
            </w:r>
          </w:p>
        </w:tc>
        <w:tc>
          <w:tcPr/>
          <w:p>
            <w:pPr>
              <w:pStyle w:val="Compact"/>
            </w:pPr>
            <w:r>
              <w:t xml:space="preserve">Study parameters</w:t>
            </w:r>
          </w:p>
        </w:tc>
        <w:tc>
          <w:tcPr/>
          <w:p>
            <w:pPr>
              <w:pStyle w:val="Compact"/>
            </w:pPr>
            <w:r>
              <w:t xml:space="preserve">S1 Text Tables S1 to S8</w:t>
            </w:r>
          </w:p>
        </w:tc>
      </w:tr>
      <w:tr>
        <w:tc>
          <w:tcPr/>
          <w:p>
            <w:pPr>
              <w:pStyle w:val="Compact"/>
            </w:pPr>
            <w:r>
              <w:t xml:space="preserve">23</w:t>
            </w:r>
          </w:p>
        </w:tc>
        <w:tc>
          <w:tcPr/>
          <w:p>
            <w:pPr>
              <w:pStyle w:val="Compact"/>
            </w:pPr>
            <w:r>
              <w:t xml:space="preserve">Summary of main results</w:t>
            </w:r>
          </w:p>
        </w:tc>
        <w:tc>
          <w:tcPr/>
          <w:p>
            <w:pPr>
              <w:pStyle w:val="Compact"/>
            </w:pPr>
            <w:r>
              <w:t xml:space="preserve">Results; Table 1</w:t>
            </w:r>
          </w:p>
        </w:tc>
      </w:tr>
      <w:tr>
        <w:tc>
          <w:tcPr/>
          <w:p>
            <w:pPr>
              <w:pStyle w:val="Compact"/>
            </w:pPr>
            <w:r>
              <w:t xml:space="preserve">24</w:t>
            </w:r>
          </w:p>
        </w:tc>
        <w:tc>
          <w:tcPr/>
          <w:p>
            <w:pPr>
              <w:pStyle w:val="Compact"/>
            </w:pPr>
            <w:r>
              <w:t xml:space="preserve">Effect of uncertainty</w:t>
            </w:r>
          </w:p>
        </w:tc>
        <w:tc>
          <w:tcPr/>
          <w:p>
            <w:pPr>
              <w:pStyle w:val="Compact"/>
            </w:pPr>
            <w:r>
              <w:t xml:space="preserve">Results; S1 Text 2.5, 4.3</w:t>
            </w:r>
          </w:p>
        </w:tc>
      </w:tr>
      <w:tr>
        <w:tc>
          <w:tcPr/>
          <w:p>
            <w:pPr>
              <w:pStyle w:val="Compact"/>
            </w:pPr>
            <w:r>
              <w:t xml:space="preserve">25</w:t>
            </w:r>
          </w:p>
        </w:tc>
        <w:tc>
          <w:tcPr/>
          <w:p>
            <w:pPr>
              <w:pStyle w:val="Compact"/>
            </w:pPr>
            <w:r>
              <w:t xml:space="preserve">Effect of engagement with patients and others affected by the study</w:t>
            </w:r>
          </w:p>
        </w:tc>
        <w:tc>
          <w:tcPr/>
          <w:p>
            <w:pPr>
              <w:pStyle w:val="Compact"/>
            </w:pPr>
            <w:r>
              <w:t xml:space="preserve">Not applicable</w:t>
            </w:r>
          </w:p>
        </w:tc>
      </w:tr>
      <w:tr>
        <w:tc>
          <w:tcPr/>
          <w:p>
            <w:pPr>
              <w:pStyle w:val="Compact"/>
            </w:pPr>
            <w:r>
              <w:t xml:space="preserve">26</w:t>
            </w:r>
          </w:p>
        </w:tc>
        <w:tc>
          <w:tcPr/>
          <w:p>
            <w:pPr>
              <w:pStyle w:val="Compact"/>
            </w:pPr>
            <w:r>
              <w:t xml:space="preserve">Study findings, limitations, generalisability and current knowledge</w:t>
            </w:r>
          </w:p>
        </w:tc>
        <w:tc>
          <w:tcPr/>
          <w:p>
            <w:pPr>
              <w:pStyle w:val="Compact"/>
            </w:pPr>
            <w:r>
              <w:t xml:space="preserve">Discussion</w:t>
            </w:r>
          </w:p>
        </w:tc>
      </w:tr>
      <w:tr>
        <w:tc>
          <w:tcPr/>
          <w:p>
            <w:pPr>
              <w:pStyle w:val="Compact"/>
            </w:pPr>
            <w:r>
              <w:t xml:space="preserve">27</w:t>
            </w:r>
          </w:p>
        </w:tc>
        <w:tc>
          <w:tcPr/>
          <w:p>
            <w:pPr>
              <w:pStyle w:val="Compact"/>
            </w:pPr>
            <w:r>
              <w:t xml:space="preserve">Source of funding</w:t>
            </w:r>
          </w:p>
        </w:tc>
        <w:tc>
          <w:tcPr/>
          <w:p>
            <w:pPr>
              <w:pStyle w:val="Compact"/>
            </w:pPr>
            <w:r>
              <w:t xml:space="preserve">Funding statement</w:t>
            </w:r>
          </w:p>
        </w:tc>
      </w:tr>
      <w:tr>
        <w:tc>
          <w:tcPr/>
          <w:p>
            <w:pPr>
              <w:pStyle w:val="Compact"/>
            </w:pPr>
            <w:r>
              <w:t xml:space="preserve">28</w:t>
            </w:r>
          </w:p>
        </w:tc>
        <w:tc>
          <w:tcPr/>
          <w:p>
            <w:pPr>
              <w:pStyle w:val="Compact"/>
            </w:pPr>
            <w:r>
              <w:t xml:space="preserve">Conflicts of interest</w:t>
            </w:r>
          </w:p>
        </w:tc>
        <w:tc>
          <w:tcPr/>
          <w:p>
            <w:pPr>
              <w:pStyle w:val="Compact"/>
            </w:pPr>
            <w:r>
              <w:t xml:space="preserve">Competing interests statement</w:t>
            </w:r>
          </w:p>
        </w:tc>
      </w:tr>
    </w:tbl>
    <w:bookmarkEnd w:id="54"/>
    <w:bookmarkStart w:id="118" w:name="references"/>
    <w:p>
      <w:pPr>
        <w:pStyle w:val="Heading1"/>
      </w:pPr>
      <w:r>
        <w:t xml:space="preserve">References</w:t>
      </w:r>
    </w:p>
    <w:bookmarkStart w:id="117" w:name="refs"/>
    <w:bookmarkStart w:id="56" w:name="ref-boelen2014"/>
    <w:p>
      <w:pPr>
        <w:pStyle w:val="Bibliography"/>
      </w:pPr>
      <w:r>
        <w:t xml:space="preserve">1.</w:t>
      </w:r>
      <w:r>
        <w:t xml:space="preserve"> </w:t>
      </w:r>
      <w:r>
        <w:t xml:space="preserve">	</w:t>
      </w:r>
      <w:r>
        <w:t xml:space="preserve">Boelen L, Teutsch S, Wilson DP, Dolan K, Dore GJ, Lloyd AR, et al.</w:t>
      </w:r>
      <w:r>
        <w:t xml:space="preserve"> </w:t>
      </w:r>
      <w:r>
        <w:t xml:space="preserve">Per-Event Probability of Hepatitis C Infection during Sharing of Injecting Equipment</w:t>
      </w:r>
      <w:r>
        <w:t xml:space="preserve">. PLoS ONE. 2014;9: e100749. doi:</w:t>
      </w:r>
      <w:hyperlink r:id="rId55">
        <w:r>
          <w:rPr>
            <w:rStyle w:val="Hyperlink"/>
          </w:rPr>
          <w:t xml:space="preserve">10.1371/journal.pone.0100749</w:t>
        </w:r>
      </w:hyperlink>
    </w:p>
    <w:bookmarkEnd w:id="56"/>
    <w:bookmarkStart w:id="58" w:name="ref-fasano2024"/>
    <w:p>
      <w:pPr>
        <w:pStyle w:val="Bibliography"/>
      </w:pPr>
      <w:r>
        <w:t xml:space="preserve">2.</w:t>
      </w:r>
      <w:r>
        <w:t xml:space="preserve"> </w:t>
      </w:r>
      <w:r>
        <w:t xml:space="preserve">	</w:t>
      </w:r>
      <w:r>
        <w:t xml:space="preserve">Fasano M, Ieva F, Ciarallo M, Caccianotti B, Santantonio TA.</w:t>
      </w:r>
      <w:r>
        <w:t xml:space="preserve"> </w:t>
      </w:r>
      <w:r>
        <w:t xml:space="preserve">Acute Hepatitis C: Current Status and Future Perspectives</w:t>
      </w:r>
      <w:r>
        <w:t xml:space="preserve">. Viruses. 2024;16: 1739. doi:</w:t>
      </w:r>
      <w:hyperlink r:id="rId57">
        <w:r>
          <w:rPr>
            <w:rStyle w:val="Hyperlink"/>
          </w:rPr>
          <w:t xml:space="preserve">10.3390/v16111739</w:t>
        </w:r>
      </w:hyperlink>
    </w:p>
    <w:bookmarkEnd w:id="58"/>
    <w:bookmarkStart w:id="60" w:name="ref-tanaka2000"/>
    <w:p>
      <w:pPr>
        <w:pStyle w:val="Bibliography"/>
      </w:pPr>
      <w:r>
        <w:t xml:space="preserve">3.</w:t>
      </w:r>
      <w:r>
        <w:t xml:space="preserve"> </w:t>
      </w:r>
      <w:r>
        <w:t xml:space="preserve">	</w:t>
      </w:r>
      <w:r>
        <w:t xml:space="preserve">Tanaka E, Kiyosawa K.</w:t>
      </w:r>
      <w:r>
        <w:t xml:space="preserve"> </w:t>
      </w:r>
      <w:r>
        <w:t xml:space="preserve">Natural history of acute hepatitis C</w:t>
      </w:r>
      <w:r>
        <w:t xml:space="preserve">. Journal of Gastroenterology and Hepatology. 2000;15: E97–E104. doi:</w:t>
      </w:r>
      <w:hyperlink r:id="rId59">
        <w:r>
          <w:rPr>
            <w:rStyle w:val="Hyperlink"/>
          </w:rPr>
          <w:t xml:space="preserve">10.1046/j.1440-1746.2000.02112.x</w:t>
        </w:r>
      </w:hyperlink>
    </w:p>
    <w:bookmarkEnd w:id="60"/>
    <w:bookmarkStart w:id="62" w:name="ref-micallef2006"/>
    <w:p>
      <w:pPr>
        <w:pStyle w:val="Bibliography"/>
      </w:pPr>
      <w:r>
        <w:t xml:space="preserve">4.</w:t>
      </w:r>
      <w:r>
        <w:t xml:space="preserve"> </w:t>
      </w:r>
      <w:r>
        <w:t xml:space="preserve">	</w:t>
      </w:r>
      <w:r>
        <w:t xml:space="preserve">Micallef JM, Kaldor JM, Dore GJ.</w:t>
      </w:r>
      <w:r>
        <w:t xml:space="preserve"> </w:t>
      </w:r>
      <w:r>
        <w:t xml:space="preserve">Spontaneous viral clearance following acute hepatitis C infection: a systematic review of longitudinal studies</w:t>
      </w:r>
      <w:r>
        <w:t xml:space="preserve">. Journal of Viral Hepatitis. 2006;13: 34–41. doi:</w:t>
      </w:r>
      <w:hyperlink r:id="rId61">
        <w:r>
          <w:rPr>
            <w:rStyle w:val="Hyperlink"/>
          </w:rPr>
          <w:t xml:space="preserve">10.1111/j.1365-2893.2005.00651.x</w:t>
        </w:r>
      </w:hyperlink>
    </w:p>
    <w:bookmarkEnd w:id="62"/>
    <w:bookmarkStart w:id="64" w:name="ref-zhao2019"/>
    <w:p>
      <w:pPr>
        <w:pStyle w:val="Bibliography"/>
      </w:pPr>
      <w:r>
        <w:t xml:space="preserve">5.</w:t>
      </w:r>
      <w:r>
        <w:t xml:space="preserve"> </w:t>
      </w:r>
      <w:r>
        <w:t xml:space="preserve">	</w:t>
      </w:r>
      <w:r>
        <w:t xml:space="preserve">Zhao Y, Thurairajah PH, Kumar R, Tan J, Teo EK, Hsiang JC.</w:t>
      </w:r>
      <w:r>
        <w:t xml:space="preserve"> </w:t>
      </w:r>
      <w:r>
        <w:t xml:space="preserve">Novel non-invasive score to predict cirrhosis in the era of hepatitis C elimination: A population study of ex-substance users in Singapore</w:t>
      </w:r>
      <w:r>
        <w:t xml:space="preserve">. Hepatobiliary &amp; Pancreatic Diseases International. 2019;18: 143–148. doi:</w:t>
      </w:r>
      <w:hyperlink r:id="rId63">
        <w:r>
          <w:rPr>
            <w:rStyle w:val="Hyperlink"/>
          </w:rPr>
          <w:t xml:space="preserve">10.1016/j.hbpd.2018.12.002</w:t>
        </w:r>
      </w:hyperlink>
    </w:p>
    <w:bookmarkEnd w:id="64"/>
    <w:bookmarkStart w:id="66" w:name="ref-kanwal2014"/>
    <w:p>
      <w:pPr>
        <w:pStyle w:val="Bibliography"/>
      </w:pPr>
      <w:r>
        <w:t xml:space="preserve">6.</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65">
        <w:r>
          <w:rPr>
            <w:rStyle w:val="Hyperlink"/>
          </w:rPr>
          <w:t xml:space="preserve">10.1002/hep.27095</w:t>
        </w:r>
      </w:hyperlink>
    </w:p>
    <w:bookmarkEnd w:id="66"/>
    <w:bookmarkStart w:id="68" w:name="ref-vandermeer2012"/>
    <w:p>
      <w:pPr>
        <w:pStyle w:val="Bibliography"/>
      </w:pPr>
      <w:r>
        <w:t xml:space="preserve">7.</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67">
        <w:r>
          <w:rPr>
            <w:rStyle w:val="Hyperlink"/>
          </w:rPr>
          <w:t xml:space="preserve">10.1001/jama.2012.144878</w:t>
        </w:r>
      </w:hyperlink>
    </w:p>
    <w:bookmarkEnd w:id="68"/>
    <w:bookmarkStart w:id="70" w:name="ref-morgan2013"/>
    <w:p>
      <w:pPr>
        <w:pStyle w:val="Bibliography"/>
      </w:pPr>
      <w:r>
        <w:t xml:space="preserve">8.</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69">
        <w:r>
          <w:rPr>
            <w:rStyle w:val="Hyperlink"/>
          </w:rPr>
          <w:t xml:space="preserve">10.7326/0003-4819-158-5-201303050-00005</w:t>
        </w:r>
      </w:hyperlink>
    </w:p>
    <w:bookmarkEnd w:id="70"/>
    <w:bookmarkStart w:id="72" w:name="ref-premkumar2024"/>
    <w:p>
      <w:pPr>
        <w:pStyle w:val="Bibliography"/>
      </w:pPr>
      <w:r>
        <w:t xml:space="preserve">9.</w:t>
      </w:r>
      <w:r>
        <w:t xml:space="preserve"> </w:t>
      </w:r>
      <w:r>
        <w:t xml:space="preserve">	</w:t>
      </w:r>
      <w:r>
        <w:t xml:space="preserve">Premkumar M, Dhiman RK, Duseja A, Mehtani R, Taneja S, Gupta E, et al.</w:t>
      </w:r>
      <w:r>
        <w:t xml:space="preserve"> </w:t>
      </w:r>
      <w:r>
        <w:t xml:space="preserve">Recompensation of Chronic Hepatitis C–Related Decompensated Cirrhosis Following Direct-Acting Antiviral Therapy: Prospective Cohort Study From a Hepatitis C Virus Elimination Program</w:t>
      </w:r>
      <w:r>
        <w:t xml:space="preserve">. Gastroenterology. 2024;167: 1429–1445. doi:</w:t>
      </w:r>
      <w:hyperlink r:id="rId71">
        <w:r>
          <w:rPr>
            <w:rStyle w:val="Hyperlink"/>
          </w:rPr>
          <w:t xml:space="preserve">10.1053/j.gastro.2024.08.018</w:t>
        </w:r>
      </w:hyperlink>
    </w:p>
    <w:bookmarkEnd w:id="72"/>
    <w:bookmarkStart w:id="74" w:name="ref-dang2020"/>
    <w:p>
      <w:pPr>
        <w:pStyle w:val="Bibliography"/>
      </w:pPr>
      <w:r>
        <w:t xml:space="preserve">10.</w:t>
      </w:r>
      <w:r>
        <w:t xml:space="preserve"> </w:t>
      </w:r>
      <w:r>
        <w:t xml:space="preserve">	</w:t>
      </w:r>
      <w:r>
        <w:t xml:space="preserve">Dang H, Yeo YH, Yasuda S, Huang C, Iio E, Landis C, et al.</w:t>
      </w:r>
      <w:r>
        <w:t xml:space="preserve"> </w:t>
      </w:r>
      <w:r>
        <w:t xml:space="preserve">Cure With Interferon‐Free Direct‐Acting Antiviral Is Associated With Increased Survival in Patients With Hepatitis C Virus‐Related Hepatocellular Carcinoma From Both East and West</w:t>
      </w:r>
      <w:r>
        <w:t xml:space="preserve">. Hepatology. 2020;71: 1910–1922. doi:</w:t>
      </w:r>
      <w:hyperlink r:id="rId73">
        <w:r>
          <w:rPr>
            <w:rStyle w:val="Hyperlink"/>
          </w:rPr>
          <w:t xml:space="preserve">10.1002/hep.30988</w:t>
        </w:r>
      </w:hyperlink>
    </w:p>
    <w:bookmarkEnd w:id="74"/>
    <w:bookmarkStart w:id="76" w:name="ref-vansanten2014"/>
    <w:p>
      <w:pPr>
        <w:pStyle w:val="Bibliography"/>
      </w:pPr>
      <w:r>
        <w:t xml:space="preserve">11.</w:t>
      </w:r>
      <w:r>
        <w:t xml:space="preserve"> </w:t>
      </w:r>
      <w:r>
        <w:t xml:space="preserve">	</w:t>
      </w:r>
      <w:r>
        <w:t xml:space="preserve">Santen DK van, Helm JJ van der, Grady BPX, Vos AS de, Kretzschmar MEE, Stolte IG, et al.</w:t>
      </w:r>
      <w:r>
        <w:t xml:space="preserve"> </w:t>
      </w:r>
      <w:r>
        <w:t xml:space="preserve">Temporal trends in mortality among people who use drugs compared with the general Dutch population differ by hepatitis C virus and HIV infection status</w:t>
      </w:r>
      <w:r>
        <w:t xml:space="preserve">. AIDS. 2014;28: 2589–2599. doi:</w:t>
      </w:r>
      <w:hyperlink r:id="rId75">
        <w:r>
          <w:rPr>
            <w:rStyle w:val="Hyperlink"/>
          </w:rPr>
          <w:t xml:space="preserve">10.1097/QAD.0000000000000450</w:t>
        </w:r>
      </w:hyperlink>
    </w:p>
    <w:bookmarkEnd w:id="76"/>
    <w:bookmarkStart w:id="78" w:name="ref-lim2018"/>
    <w:p>
      <w:pPr>
        <w:pStyle w:val="Bibliography"/>
      </w:pPr>
      <w:r>
        <w:t xml:space="preserve">12.</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7">
        <w:r>
          <w:rPr>
            <w:rStyle w:val="Hyperlink"/>
          </w:rPr>
          <w:t xml:space="preserve">10.1093/ije/dyx270</w:t>
        </w:r>
      </w:hyperlink>
    </w:p>
    <w:bookmarkEnd w:id="78"/>
    <w:bookmarkStart w:id="80" w:name="ref-lee2012"/>
    <w:p>
      <w:pPr>
        <w:pStyle w:val="Bibliography"/>
      </w:pPr>
      <w:r>
        <w:t xml:space="preserve">13.</w:t>
      </w:r>
      <w:r>
        <w:t xml:space="preserve"> </w:t>
      </w:r>
      <w:r>
        <w:t xml:space="preserve">	</w:t>
      </w:r>
      <w:r>
        <w:t xml:space="preserve">Lee M-H, Yang H-I, Lu S-N, Jen C-L, You S-L, Wang L-Y, et al.</w:t>
      </w:r>
      <w:r>
        <w:t xml:space="preserve"> </w:t>
      </w:r>
      <w:r>
        <w:t xml:space="preserve">Chronic hepatitis C virus infection increases mortality from hepatic and extrahepatic diseases: a community-based long-term prospective study</w:t>
      </w:r>
      <w:r>
        <w:t xml:space="preserve">. The Journal of Infectious Diseases. 2012;206: 469–477. doi:</w:t>
      </w:r>
      <w:hyperlink r:id="rId79">
        <w:r>
          <w:rPr>
            <w:rStyle w:val="Hyperlink"/>
          </w:rPr>
          <w:t xml:space="preserve">10.1093/infdis/jis385</w:t>
        </w:r>
      </w:hyperlink>
    </w:p>
    <w:bookmarkEnd w:id="80"/>
    <w:bookmarkStart w:id="82" w:name="ref-pawlotsky2020"/>
    <w:p>
      <w:pPr>
        <w:pStyle w:val="Bibliography"/>
      </w:pPr>
      <w:r>
        <w:t xml:space="preserve">14.</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81">
        <w:r>
          <w:rPr>
            <w:rStyle w:val="Hyperlink"/>
          </w:rPr>
          <w:t xml:space="preserve">10.1016/j.jhep.2020.08.018</w:t>
        </w:r>
      </w:hyperlink>
    </w:p>
    <w:bookmarkEnd w:id="82"/>
    <w:bookmarkStart w:id="84" w:name="ref-xiao2025"/>
    <w:p>
      <w:pPr>
        <w:pStyle w:val="Bibliography"/>
      </w:pPr>
      <w:r>
        <w:t xml:space="preserve">15.</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3">
        <w:r>
          <w:rPr>
            <w:rStyle w:val="Hyperlink"/>
          </w:rPr>
          <w:t xml:space="preserve">10.1111/jvh.70078</w:t>
        </w:r>
      </w:hyperlink>
    </w:p>
    <w:bookmarkEnd w:id="84"/>
    <w:bookmarkStart w:id="86" w:name="ref-thein2008"/>
    <w:p>
      <w:pPr>
        <w:pStyle w:val="Bibliography"/>
      </w:pPr>
      <w:r>
        <w:t xml:space="preserve">16.</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85">
        <w:r>
          <w:rPr>
            <w:rStyle w:val="Hyperlink"/>
          </w:rPr>
          <w:t xml:space="preserve">10.1002/hep.22375</w:t>
        </w:r>
      </w:hyperlink>
    </w:p>
    <w:bookmarkEnd w:id="86"/>
    <w:bookmarkStart w:id="88" w:name="ref-singstat_drug"/>
    <w:p>
      <w:pPr>
        <w:pStyle w:val="Bibliography"/>
      </w:pPr>
      <w:r>
        <w:t xml:space="preserve">17.</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87">
        <w:r>
          <w:rPr>
            <w:rStyle w:val="Hyperlink"/>
          </w:rPr>
          <w:t xml:space="preserve">https://data.gov.sg/datasets/d_f174679381e9085e32869c32bdb01b87/view</w:t>
        </w:r>
      </w:hyperlink>
    </w:p>
    <w:bookmarkEnd w:id="88"/>
    <w:bookmarkStart w:id="90" w:name="ref-haario2001"/>
    <w:p>
      <w:pPr>
        <w:pStyle w:val="Bibliography"/>
      </w:pPr>
      <w:r>
        <w:t xml:space="preserve">18.</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89">
        <w:r>
          <w:rPr>
            <w:rStyle w:val="Hyperlink"/>
          </w:rPr>
          <w:t xml:space="preserve">10.2307/3318737</w:t>
        </w:r>
      </w:hyperlink>
    </w:p>
    <w:bookmarkEnd w:id="90"/>
    <w:bookmarkStart w:id="92" w:name="ref-vehtari2021"/>
    <w:p>
      <w:pPr>
        <w:pStyle w:val="Bibliography"/>
      </w:pPr>
      <w:r>
        <w:t xml:space="preserve">19.</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91">
        <w:r>
          <w:rPr>
            <w:rStyle w:val="Hyperlink"/>
          </w:rPr>
          <w:t xml:space="preserve">10.1214/20-BA1221</w:t>
        </w:r>
      </w:hyperlink>
    </w:p>
    <w:bookmarkEnd w:id="92"/>
    <w:bookmarkStart w:id="93" w:name="ref-greenberg2019"/>
    <w:p>
      <w:pPr>
        <w:pStyle w:val="Bibliography"/>
      </w:pPr>
      <w:r>
        <w:t xml:space="preserve">20.</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3"/>
    <w:bookmarkStart w:id="95" w:name="ref-sbi2020"/>
    <w:p>
      <w:pPr>
        <w:pStyle w:val="Bibliography"/>
      </w:pPr>
      <w:r>
        <w:t xml:space="preserve">21.</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4">
        <w:r>
          <w:rPr>
            <w:rStyle w:val="Hyperlink"/>
          </w:rPr>
          <w:t xml:space="preserve">10.21105/joss.02505</w:t>
        </w:r>
      </w:hyperlink>
    </w:p>
    <w:bookmarkEnd w:id="95"/>
    <w:bookmarkStart w:id="96" w:name="ref-papamakarios2017"/>
    <w:p>
      <w:pPr>
        <w:pStyle w:val="Bibliography"/>
      </w:pPr>
      <w:r>
        <w:t xml:space="preserve">22.</w:t>
      </w:r>
      <w:r>
        <w:t xml:space="preserve"> </w:t>
      </w:r>
      <w:r>
        <w:t xml:space="preserve">	</w:t>
      </w:r>
      <w:r>
        <w:t xml:space="preserve">Papamakarios G, Pavlakou T, Murray I.</w:t>
      </w:r>
      <w:r>
        <w:t xml:space="preserve"> </w:t>
      </w:r>
      <w:r>
        <w:t xml:space="preserve">Masked autoregressive flow for density estimation</w:t>
      </w:r>
      <w:r>
        <w:t xml:space="preserve">. Advances in neural information processing systems 30. 2017. pp. 2335–2344.</w:t>
      </w:r>
      <w:r>
        <w:t xml:space="preserve"> </w:t>
      </w:r>
    </w:p>
    <w:bookmarkEnd w:id="96"/>
    <w:bookmarkStart w:id="97" w:name="ref-talts2018"/>
    <w:p>
      <w:pPr>
        <w:pStyle w:val="Bibliography"/>
      </w:pPr>
      <w:r>
        <w:t xml:space="preserve">23.</w:t>
      </w:r>
      <w:r>
        <w:t xml:space="preserve"> </w:t>
      </w:r>
      <w:r>
        <w:t xml:space="preserve">	</w:t>
      </w:r>
      <w:r>
        <w:t xml:space="preserve">Talts S, Betancourt M, Simpson D, Vehtari A, Gelman A.</w:t>
      </w:r>
      <w:r>
        <w:t xml:space="preserve"> </w:t>
      </w:r>
      <w:r>
        <w:t xml:space="preserve">Validating Bayesian inference algorithms with simulation-based calibration</w:t>
      </w:r>
      <w:r>
        <w:t xml:space="preserve">. arXiv preprint. 2018.</w:t>
      </w:r>
      <w:r>
        <w:t xml:space="preserve"> </w:t>
      </w:r>
    </w:p>
    <w:bookmarkEnd w:id="97"/>
    <w:bookmarkStart w:id="99" w:name="ref-wong2019"/>
    <w:p>
      <w:pPr>
        <w:pStyle w:val="Bibliography"/>
      </w:pPr>
      <w:r>
        <w:t xml:space="preserve">24.</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8">
        <w:r>
          <w:rPr>
            <w:rStyle w:val="Hyperlink"/>
          </w:rPr>
          <w:t xml:space="preserve">10.1002/jgh3.12139</w:t>
        </w:r>
      </w:hyperlink>
    </w:p>
    <w:bookmarkEnd w:id="99"/>
    <w:bookmarkStart w:id="101" w:name="ref-sgd_rate"/>
    <w:p>
      <w:pPr>
        <w:pStyle w:val="Bibliography"/>
      </w:pPr>
      <w:r>
        <w:t xml:space="preserve">25.</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100">
        <w:r>
          <w:rPr>
            <w:rStyle w:val="Hyperlink"/>
          </w:rPr>
          <w:t xml:space="preserve">https://data.gov.sg/datasets/d_b09aeaf8eb591c4bfe347b66148c6b53/view</w:t>
        </w:r>
      </w:hyperlink>
    </w:p>
    <w:bookmarkEnd w:id="101"/>
    <w:bookmarkStart w:id="103" w:name="ref-nhg_dsc"/>
    <w:p>
      <w:pPr>
        <w:pStyle w:val="Bibliography"/>
      </w:pPr>
      <w:r>
        <w:t xml:space="preserve">26.</w:t>
      </w:r>
      <w:r>
        <w:t xml:space="preserve"> </w:t>
      </w:r>
      <w:r>
        <w:t xml:space="preserve">	</w:t>
      </w:r>
      <w:r>
        <w:t xml:space="preserve">National Healthcare Group.</w:t>
      </w:r>
      <w:r>
        <w:t xml:space="preserve"> </w:t>
      </w:r>
      <w:r>
        <w:t xml:space="preserve">DSC clinic charges</w:t>
      </w:r>
      <w:r>
        <w:t xml:space="preserve">. Available:</w:t>
      </w:r>
      <w:r>
        <w:t xml:space="preserve"> </w:t>
      </w:r>
      <w:hyperlink r:id="rId102">
        <w:r>
          <w:rPr>
            <w:rStyle w:val="Hyperlink"/>
          </w:rPr>
          <w:t xml:space="preserve">https://www.nhghealth.com.sg/nsc/about-dsc-clinic/dsc-patient-information/dsc-services/clinic-charges/</w:t>
        </w:r>
      </w:hyperlink>
    </w:p>
    <w:bookmarkEnd w:id="103"/>
    <w:bookmarkStart w:id="105" w:name="ref-parkway_rna"/>
    <w:p>
      <w:pPr>
        <w:pStyle w:val="Bibliography"/>
      </w:pPr>
      <w:r>
        <w:t xml:space="preserve">27.</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4">
        <w:r>
          <w:rPr>
            <w:rStyle w:val="Hyperlink"/>
          </w:rPr>
          <w:t xml:space="preserve">https://www.parkwaylabs.com.sg/docs/parkwaylablibraries/test-catalogues/send-out-test-price.pdf</w:t>
        </w:r>
      </w:hyperlink>
    </w:p>
    <w:bookmarkEnd w:id="105"/>
    <w:bookmarkStart w:id="107" w:name="ref-rcpp2011"/>
    <w:p>
      <w:pPr>
        <w:pStyle w:val="Bibliography"/>
      </w:pPr>
      <w:r>
        <w:t xml:space="preserve">28.</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6">
        <w:r>
          <w:rPr>
            <w:rStyle w:val="Hyperlink"/>
          </w:rPr>
          <w:t xml:space="preserve">10.18637/jss.v040.i08</w:t>
        </w:r>
      </w:hyperlink>
    </w:p>
    <w:bookmarkEnd w:id="107"/>
    <w:bookmarkStart w:id="108" w:name="ref-who2023validation"/>
    <w:p>
      <w:pPr>
        <w:pStyle w:val="Bibliography"/>
      </w:pPr>
      <w:r>
        <w:t xml:space="preserve">29.</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108"/>
    <w:bookmarkStart w:id="110" w:name="ref-cda_hcv"/>
    <w:p>
      <w:pPr>
        <w:pStyle w:val="Bibliography"/>
      </w:pPr>
      <w:r>
        <w:t xml:space="preserve">30.</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109">
        <w:r>
          <w:rPr>
            <w:rStyle w:val="Hyperlink"/>
          </w:rPr>
          <w:t xml:space="preserve">https://www.cda.gov.sg/professionals/diseases/hepatitis-c/</w:t>
        </w:r>
      </w:hyperlink>
    </w:p>
    <w:bookmarkEnd w:id="110"/>
    <w:bookmarkStart w:id="112" w:name="ref-prison2021"/>
    <w:p>
      <w:pPr>
        <w:pStyle w:val="Bibliography"/>
      </w:pPr>
      <w:r>
        <w:t xml:space="preserve">31.</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111">
        <w:r>
          <w:rPr>
            <w:rStyle w:val="Hyperlink"/>
          </w:rPr>
          <w:t xml:space="preserve">10.3350/cmh.2021.0015</w:t>
        </w:r>
      </w:hyperlink>
    </w:p>
    <w:bookmarkEnd w:id="112"/>
    <w:bookmarkStart w:id="114" w:name="ref-hsiang2022"/>
    <w:p>
      <w:pPr>
        <w:pStyle w:val="Bibliography"/>
      </w:pPr>
      <w:r>
        <w:t xml:space="preserve">32.</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13">
        <w:r>
          <w:rPr>
            <w:rStyle w:val="Hyperlink"/>
          </w:rPr>
          <w:t xml:space="preserve">10.11622/smedj.2020116</w:t>
        </w:r>
      </w:hyperlink>
    </w:p>
    <w:bookmarkEnd w:id="114"/>
    <w:bookmarkStart w:id="116" w:name="ref-clink2022"/>
    <w:p>
      <w:pPr>
        <w:pStyle w:val="Bibliography"/>
      </w:pPr>
      <w:r>
        <w:t xml:space="preserve">33.</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5">
        <w:r>
          <w:rPr>
            <w:rStyle w:val="Hyperlink"/>
          </w:rPr>
          <w:t xml:space="preserve">10.1093/ofid/ofac350</w:t>
        </w:r>
      </w:hyperlink>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100" Target="https://data.gov.sg/datasets/d_b09aeaf8eb591c4bfe347b66148c6b53/view" TargetMode="External" /><Relationship Type="http://schemas.openxmlformats.org/officeDocument/2006/relationships/hyperlink" Id="rId87"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5"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98"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81"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79" Target="https://doi.org/10.1093/infdis/jis385" TargetMode="External" /><Relationship Type="http://schemas.openxmlformats.org/officeDocument/2006/relationships/hyperlink" Id="rId115" Target="https://doi.org/10.1093/ofid/ofac350" TargetMode="External" /><Relationship Type="http://schemas.openxmlformats.org/officeDocument/2006/relationships/hyperlink" Id="rId75" Target="https://doi.org/10.1097/QAD.0000000000000450" TargetMode="External" /><Relationship Type="http://schemas.openxmlformats.org/officeDocument/2006/relationships/hyperlink" Id="rId61" Target="https://doi.org/10.1111/j.1365-2893.2005.00651.x" TargetMode="External" /><Relationship Type="http://schemas.openxmlformats.org/officeDocument/2006/relationships/hyperlink" Id="rId83" Target="https://doi.org/10.1111/jvh.70078" TargetMode="External" /><Relationship Type="http://schemas.openxmlformats.org/officeDocument/2006/relationships/hyperlink" Id="rId113" Target="https://doi.org/10.11622/smedj.2020116" TargetMode="External" /><Relationship Type="http://schemas.openxmlformats.org/officeDocument/2006/relationships/hyperlink" Id="rId91"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6" Target="https://doi.org/10.18637/jss.v040.i08" TargetMode="External" /><Relationship Type="http://schemas.openxmlformats.org/officeDocument/2006/relationships/hyperlink" Id="rId94" Target="https://doi.org/10.21105/joss.02505" TargetMode="External" /><Relationship Type="http://schemas.openxmlformats.org/officeDocument/2006/relationships/hyperlink" Id="rId89" Target="https://doi.org/10.2307/3318737" TargetMode="External" /><Relationship Type="http://schemas.openxmlformats.org/officeDocument/2006/relationships/hyperlink" Id="rId111"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09" Target="https://www.cda.gov.sg/professionals/diseases/hepatitis-c/" TargetMode="External" /><Relationship Type="http://schemas.openxmlformats.org/officeDocument/2006/relationships/hyperlink" Id="rId102" Target="https://www.nhghealth.com.sg/nsc/about-dsc-clinic/dsc-patient-information/dsc-services/clinic-charges/" TargetMode="External" /><Relationship Type="http://schemas.openxmlformats.org/officeDocument/2006/relationships/hyperlink" Id="rId104"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100" Target="https://data.gov.sg/datasets/d_b09aeaf8eb591c4bfe347b66148c6b53/view" TargetMode="External" /><Relationship Type="http://schemas.openxmlformats.org/officeDocument/2006/relationships/hyperlink" Id="rId87"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5"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98"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81"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79" Target="https://doi.org/10.1093/infdis/jis385" TargetMode="External" /><Relationship Type="http://schemas.openxmlformats.org/officeDocument/2006/relationships/hyperlink" Id="rId115" Target="https://doi.org/10.1093/ofid/ofac350" TargetMode="External" /><Relationship Type="http://schemas.openxmlformats.org/officeDocument/2006/relationships/hyperlink" Id="rId75" Target="https://doi.org/10.1097/QAD.0000000000000450" TargetMode="External" /><Relationship Type="http://schemas.openxmlformats.org/officeDocument/2006/relationships/hyperlink" Id="rId61" Target="https://doi.org/10.1111/j.1365-2893.2005.00651.x" TargetMode="External" /><Relationship Type="http://schemas.openxmlformats.org/officeDocument/2006/relationships/hyperlink" Id="rId83" Target="https://doi.org/10.1111/jvh.70078" TargetMode="External" /><Relationship Type="http://schemas.openxmlformats.org/officeDocument/2006/relationships/hyperlink" Id="rId113" Target="https://doi.org/10.11622/smedj.2020116" TargetMode="External" /><Relationship Type="http://schemas.openxmlformats.org/officeDocument/2006/relationships/hyperlink" Id="rId91"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6" Target="https://doi.org/10.18637/jss.v040.i08" TargetMode="External" /><Relationship Type="http://schemas.openxmlformats.org/officeDocument/2006/relationships/hyperlink" Id="rId94" Target="https://doi.org/10.21105/joss.02505" TargetMode="External" /><Relationship Type="http://schemas.openxmlformats.org/officeDocument/2006/relationships/hyperlink" Id="rId89" Target="https://doi.org/10.2307/3318737" TargetMode="External" /><Relationship Type="http://schemas.openxmlformats.org/officeDocument/2006/relationships/hyperlink" Id="rId111"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09" Target="https://www.cda.gov.sg/professionals/diseases/hepatitis-c/" TargetMode="External" /><Relationship Type="http://schemas.openxmlformats.org/officeDocument/2006/relationships/hyperlink" Id="rId102" Target="https://www.nhghealth.com.sg/nsc/about-dsc-clinic/dsc-patient-information/dsc-services/clinic-charges/" TargetMode="External" /><Relationship Type="http://schemas.openxmlformats.org/officeDocument/2006/relationships/hyperlink" Id="rId104"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2026-10-23T09:16:54Z</dcterms:created>
  <dcterms:modified xsi:type="dcterms:W3CDTF">2026-10-23T09:16:54Z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y fmtid="{D5CDD505-2E9C-101B-9397-08002B2CF9AE}" pid="4" name="subtitle">
    <vt:lpwstr>Prison treatment and community screening to reduce hepatitis C infections and deaths among people who inject drugs in Singapore: A modelling study</vt:lpwstr>
  </property>
</Properties>
</file>