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 w:cs="Noto Sans CJK SC"/>
          <w:b w:val="0"/>
          <w:sz w:val="17"/>
        </w:rPr>
        <w:t>01 / 执行方案</w:t>
      </w:r>
    </w:p>
    <w:p>
      <w:pPr>
        <w:pStyle w:val="Heading1"/>
      </w:pPr>
      <w:r>
        <w:t>CIPHEUR｜先验证强约束下的有效决策证据</w:t>
      </w:r>
    </w:p>
    <w:p>
      <w:r>
        <w:rPr>
          <w:rFonts w:ascii="Noto Sans CJK SC" w:hAnsi="Noto Sans CJK SC" w:eastAsia="Noto Sans CJK SC" w:cs="Noto Sans CJK SC"/>
          <w:b/>
          <w:sz w:val="24"/>
        </w:rPr>
        <w:t>完整可见窗口 · 链路时长目标 · 独立团队执行版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首批只做这一件事  </w:t>
      </w:r>
      <w:r>
        <w:rPr>
          <w:rFonts w:ascii="Noto Sans CJK SC" w:hAnsi="Noto Sans CJK SC" w:eastAsia="Noto Sans CJK SC" w:cs="Noto Sans CJK SC"/>
          <w:b w:val="0"/>
          <w:sz w:val="20"/>
        </w:rPr>
        <w:t>84星、12站、每站1副天线；均匀相位与成对相位两种几何，各2个物理实现。先比较地面340→1200秒，同步保留680秒中间档和1800秒压力端点。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首批参数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具体值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卫星与轨道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84=7面×12星；圆轨道；高度800千米；倾角53°；Walker Delta，f=1。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站网与天线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新R12站网，12副独立单容量天线；卫星同时通信容量为1。完整坐标见第3页。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时域与配置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每实现72小时；τ_s=150秒；τ_g∈{340,680,1200,1800}秒。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仿真工作量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2种几何×2实现=4个原始机会库；每库4个图配置，共16张图。缓冲变化不重跑轨道。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第一张验收表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同源边变化＋严格偏好证据＋真实base9冲突＋实际patch的选择/成本差异。</w:t>
            </w:r>
          </w:p>
        </w:tc>
      </w:tr>
    </w:tbl>
    <w:p>
      <w:pPr>
        <w:spacing w:after="20"/>
      </w:pPr>
    </w:p>
    <w:p>
      <w:pPr>
        <w:pStyle w:val="Heading2"/>
      </w:pPr>
      <w:r>
        <w:t>执行优先级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195"/>
        <w:gridCol w:w="4309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优先执行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进入下一阶段的依据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 必做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强约束开发压力；先离线诊断，暂不批量调用LLM。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关键选择受影响；核查信息瓶颈和部署作用点。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P1 必做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小规模特征—规则合成；与等接口对照比较。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获得完整“证据→表示→选择→收益/成本”的实测链。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P2 必做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新来源确认、680秒中等干预与未见配置。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冻结方法后完整评价，不按测试成绩挑场景。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 选做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168星、站网/仰角/天线变化；一次只开一个轴。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P0–P2已形成稳定结论且有剩余时间。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21"/>
        </w:rPr>
        <w:t>成功率优先的含义：先用较大的约束变化提高发现信号的机会，再验证信号是不是创新真正需要的。1800秒不是硬件标定值，也不保证比680/1200秒更有利。首轮不做大规模全因素扫描。</w:t>
      </w:r>
    </w:p>
    <w:p>
      <w:r>
        <w:rPr>
          <w:rFonts w:ascii="Noto Sans CJK SC" w:hAnsi="Noto Sans CJK SC" w:eastAsia="Noto Sans CJK SC" w:cs="Noto Sans CJK SC"/>
          <w:b/>
          <w:sz w:val="21"/>
        </w:rPr>
        <w:t>本版为全新独立数据方案：不复现、不合并、不继承历史数据；首轮采用单天线、单一卫星gap，以消除资源副本和未定义判据的歧义。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02 / 执行方案</w:t>
      </w:r>
    </w:p>
    <w:p>
      <w:pPr>
        <w:pStyle w:val="Heading1"/>
      </w:pPr>
      <w:r>
        <w:t>固定问题契约与STK通用设置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候选顶点是一次卫星—地面天线之间的完整几何可见区间 [s,e)。选择即占用整个区间，收益严格为 w=e−s。所有接触的时间、资源与收益都来自本次新仿真；不切片、不平移部分窗口、不统一时长、不重赋权、不添加业务请求。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本版首轮的新约定：每站1副天线、每星1个同时通信通道；地面和卫星各用一个非负切换间隔。卫星间隔固定为150秒，不沿用任何未定义的双阈值或特殊重叠分支。这是本轮明确采用的简化配置，不是对既有软件判据的推断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冲突定义  </w:t>
      </w:r>
      <w:r>
        <w:rPr>
          <w:rFonts w:ascii="Noto Sans CJK SC" w:hAnsi="Noto Sans CJK SC" w:eastAsia="Noto Sans CJK SC" w:cs="Noto Sans CJK SC"/>
          <w:b w:val="0"/>
          <w:sz w:val="20"/>
        </w:rPr>
        <w:t>按起点排序 u、v；同一天线在 s_v &lt; e_u + τ_g 时冲突，同一卫星在 s_v &lt; e_u + τ_s 时冲突；两者取并集。所有实际重叠，包括包含、同起点，均冲突；恰好满足间隔等号时兼容。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STK / 数值设置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独立执行值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规划时域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每个物理实现72小时；两端额外传播1小时，仅收完整落在72小时内的接触，跨界记录另存、不裁短。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参考历元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实现r000：2026-11-01 00:00:00 UTC；其后实现每次递增7天，均重新传播。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传播与参考系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J2 Perturbation；初始轨道状态采用J2000；导出实际传播参考系和设置。轨道历元设为各实现规划起点。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地球与地面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WGS84；站点为大地纬度/东经，椭球高0米；关闭地形遮挡，保留地球遮挡。理想化站址，不代表已选建设地点。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几何约束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最低仰角15°；仅做几何视线可见性；无额外传感器视场裁剪、天气、光照、RF链路预算、时段屏蔽或人为最小时长筛选。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Access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开启Find Precise Event Times；最大采样步长30秒；Time Convergence=0.001秒；光行时关闭并记录。抽样用15秒最大步长复查。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时间精度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导出相对秒至少6位小数并保留原报告；统一采用原始端点差计奖。整数求解器用微秒tick并检查溢出；不为制造相等而降低精度。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18"/>
        </w:rPr>
        <w:t>上述采样与收敛是建议值，不表示物理时间已精确到微秒。算法“精确”证书针对冻结的数值实例；边界敏感例再收紧Access容差做稳健性检查。软件能力依据[S1–S3]，具体参数值属于本方案的新建议。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03 / 执行方案</w:t>
      </w:r>
    </w:p>
    <w:p>
      <w:pPr>
        <w:pStyle w:val="Heading1"/>
      </w:pPr>
      <w:r>
        <w:t>首批几何：轨道公式、站点坐标、两个实现</w:t>
      </w:r>
    </w:p>
    <w:p>
      <w:pPr>
        <w:pStyle w:val="Heading2"/>
      </w:pPr>
      <w:r>
        <w:t>A-U：均匀相位基线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p=0,…,6，q=0,…,11；a=7178.137千米，e=0，i=53°，ω=0°。Ω_p=Ω₀+360°p/7；M_pq=M₀+30°q+360°p/84。角度取模360°。圆轨道下在约定ω=0°时用此M设置初始沿轨相位。</w:t>
      </w:r>
    </w:p>
    <w:p>
      <w:pPr>
        <w:pStyle w:val="Heading2"/>
      </w:pPr>
      <w:r>
        <w:t>A-P：同规模成对相位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其余设置与A-U完全相同。令φ_p=M₀+360°p/84，每面改为M=φ_p+60°k−3°和φ_p+60°k+3°，k=0,…,5。每面对内相差6°；面内不再均匀，需显式修改子卫星初始状态后重新传播。不要把6°误填成Walker的整数f。</w:t>
      </w:r>
    </w:p>
    <w:p>
      <w:r>
        <w:rPr>
          <w:rFonts w:ascii="Noto Sans CJK SC" w:hAnsi="Noto Sans CJK SC" w:eastAsia="Noto Sans CJK SC" w:cs="Noto Sans CJK SC"/>
          <w:b w:val="0"/>
          <w:sz w:val="19"/>
        </w:rPr>
        <w:t>成对相位只是一条物理几何压力轴：目标是改变接触的相对到达关系；不能预先保证出现精确别名、严格反转或更难的搜索。A-U/A-P的对照保持同一历元、站网、总体相位偏置。</w:t>
      </w:r>
    </w:p>
    <w:p>
      <w:pPr>
        <w:pStyle w:val="Heading2"/>
      </w:pPr>
      <w:r>
        <w:t>全新R12站网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站网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全部坐标规则（纬度，东经）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R12：12站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纬度28°、32°分别与东经88°、94°、100°、106°、112°、118°作笛卡尔积。每站1副天线。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19"/>
        </w:rPr>
        <w:t>站点ID按“纬度升序、经度升序”固定分配。全部是新设理想化地面网；不需要任何历史站点表、卫星ID映射或旧配置。</w:t>
      </w:r>
    </w:p>
    <w:p>
      <w:pPr>
        <w:pStyle w:val="Heading2"/>
      </w:pPr>
      <w:r>
        <w:t>P0两个物理实现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175"/>
        <w:gridCol w:w="2154"/>
        <w:gridCol w:w="3345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物理实现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规划起点（UTC）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整体RAAN偏置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沿轨整体偏置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r000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2026-11-01 00:00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0°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0°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r001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2026-11-08 00:00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17°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11°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19"/>
        </w:rPr>
        <w:t>后续r002–r011的实际偏置已列在本团队的参数JSON中；只依赖固定随机种子，与算法成绩无关。每个实现重新传播，不能平移CSV代替。同源的配置、子集、局部状态全部绑定同一来源组。改变日期或随机种子本身不是统计独立性的证明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工程编号  </w:t>
      </w:r>
      <w:r>
        <w:rPr>
          <w:rFonts w:ascii="Noto Sans CJK SC" w:hAnsi="Noto Sans CJK SC" w:eastAsia="Noto Sans CJK SC" w:cs="Noto Sans CJK SC"/>
          <w:b w:val="0"/>
          <w:sz w:val="20"/>
        </w:rPr>
        <w:t>CP-AU-r000、CP-AP-r000、CP-AU-r001、CP-AP-r001。图配置再附加g0340/g0680/g1200/g1800；这些后缀不是新的独立物理来源。</w:t>
      </w:r>
    </w:p>
    <w:p>
      <w:r>
        <w:rPr>
          <w:rFonts w:ascii="Noto Sans CJK SC" w:hAnsi="Noto Sans CJK SC" w:eastAsia="Noto Sans CJK SC" w:cs="Noto Sans CJK SC"/>
          <w:b w:val="0"/>
          <w:sz w:val="19"/>
        </w:rPr>
        <w:t>JSON已提供每颗卫星的初始a/e/i/ω/Ω/M及全部站点坐标。它是批处理参数，不是已经生成的STK场景。工程师可按本团队现有STK版本导入或脚本化创建。[S1、S3]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04 / 执行方案</w:t>
      </w:r>
    </w:p>
    <w:p>
      <w:pPr>
        <w:pStyle w:val="Heading1"/>
      </w:pPr>
      <w:r>
        <w:t>P0生成顺序：先强干预，再拆解作用条件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4649"/>
        <w:gridCol w:w="4479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保存结果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先生成A-U-r000；验证资源、时间和计奖，再复制设置生成其余3库。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原始Access、几何清单、边界记录、输入哈希。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同一库先建g340和g1200，再建g680与g1800。只改地面gap。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相同顶点/时长哈希；每档边集和边类型。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按固定规则选竞争动作及共同边界；每实现先50个查询，再决定是否扩到300个。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所有严格、平局、未知、不可用名额；不得补写标签。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只对证据成立的关系检查完整base9与完整quotient；并记录实际kernel轨迹。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非平凡见证、相等连接、头调用、首个分歧、最终值和成本。</w:t>
            </w:r>
          </w:p>
        </w:tc>
      </w:tr>
    </w:tbl>
    <w:p>
      <w:pPr>
        <w:spacing w:after="20"/>
      </w:pPr>
    </w:p>
    <w:p>
      <w:pPr>
        <w:pStyle w:val="Heading2"/>
      </w:pPr>
      <w:r>
        <w:t>查询与边界必须固定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同一干预对保持接触集合、资源身份、完整区间、收益和永久边界B=(F,X)不变。F可从较强配置的可行调度中按固定规则取子集，以保证两侧可行；a、b须在两侧仍可用且相邻。不得把某动作被排除当成偏好反转。[P1 §3–4]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实际patch标签必须保留它的固定外部调度。局部证据中的接触仍是完整窗口；域外排除要显式写入X或声明为受限patch，不能把局部最优称为72小时全图条件最优。相同分量只允许在同一配置内按完全相同顶点集抵消。</w:t>
      </w:r>
    </w:p>
    <w:p>
      <w:pPr>
        <w:pStyle w:val="Heading2"/>
      </w:pPr>
      <w:r>
        <w:t>开发阶段可采用的计算上限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先使用快速可行下界与合法上界；每个查询两端合计先给1秒离线界收紧额度。仍未知的结构代表例可升至10秒，超出保留未知。小patch优先取16–64个活动；后续检查64/128/256规模，所有头使用相同patch规则。上述是计算预算建议，不是证书能完成的承诺。</w:t>
      </w:r>
    </w:p>
    <w:p>
      <w:pPr>
        <w:pStyle w:val="Heading2"/>
      </w:pPr>
      <w:r>
        <w:t>强度分层只用于描述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r_E=|E₁△E₀|/max(1,|E₀|)。可分&lt;5%、5–25%、25–80%、&gt;80%四档；不存在“增加50%的边才有价值”的门槛。单调gap下应有E₀⊆E₁；偏好差值不要求单调。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本阶段不做  </w:t>
      </w:r>
      <w:r>
        <w:rPr>
          <w:rFonts w:ascii="Noto Sans CJK SC" w:hAnsi="Noto Sans CJK SC" w:eastAsia="Noto Sans CJK SC" w:cs="Noto Sans CJK SC"/>
          <w:b w:val="0"/>
          <w:sz w:val="20"/>
        </w:rPr>
        <w:t>不训练大模型；不全量求解整张72小时图来取每个标签；不增加任务模型；不在看到我方胜负后挑选站点或接触。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05 / 执行方案</w:t>
      </w:r>
    </w:p>
    <w:p>
      <w:pPr>
        <w:pStyle w:val="Heading1"/>
      </w:pPr>
      <w:r>
        <w:t>P0验收：三道检查和明确的失败分支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139"/>
        <w:gridCol w:w="4309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可进入后续的信号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缺失时先做什么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G1：决策相关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两个开发实现中可重复观察严格配置响应；保留保持、平局与未知作对照。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先看680/1200档，而非只加到1800；检查新增边是否落在重要后续兼容集合。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G2：信息必要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出现至少一个可独立复核的非平凡base9矛盾/循环；不是等价副本或数值近似。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暂停批量LLM。先查完整接口和精度，再最多追加一轮相位/仰角开发，不盲目扩大星数。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G3：执行敏感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相同边界下，不同信息头能够改变实际选择、有限质量或达到同值的工作量。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检查patch是否截掉后果，或所有patch是否都很快精确结束；先修接口，不扩大训练。</w:t>
            </w:r>
          </w:p>
        </w:tc>
      </w:tr>
    </w:tbl>
    <w:p>
      <w:pPr>
        <w:spacing w:after="20"/>
      </w:pPr>
    </w:p>
    <w:p>
      <w:pPr>
        <w:pStyle w:val="Heading2"/>
      </w:pPr>
      <w:r>
        <w:t>G2不能被“近似相同”替代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base9包括收益和时长，而本方案w=e−s；完整窗口可能提供丰富数值区别。严格反转不等于原表示不足。精确相等使用冻结数值语义，不允许临时降低时间精度、隐藏原坐标或重赋权。未找到矛盾不等于不存在，但该批数据尚不能承担表示不足结论。</w:t>
      </w:r>
    </w:p>
    <w:p>
      <w:pPr>
        <w:pStyle w:val="Heading2"/>
      </w:pPr>
      <w:r>
        <w:t>怎样提高信息检查的投入回报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先检索精确重复的时长、度数及邻域权重统计，排除完整相等向量不可能出现的查询；这属于按可观测结构富集训练证据。测试阶段仍评价预定完整来源与查询规则。必要的追加轮仅选一项：A-P对内间隔改为3°/12°，或统一仰角改为5°/25°；均重新计算可见性。</w:t>
      </w:r>
    </w:p>
    <w:p>
      <w:pPr>
        <w:pStyle w:val="Heading2"/>
      </w:pPr>
      <w:r>
        <w:t>G3用参考头探针，不冒充算法成绩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在开发状态上，使用少量已认证偏好构成的参考选择头，与Degree和现有冻结头共享kernel。它只用于判断关键选择能否影响部署，不是可上线比较者。若最终值一样，继续比较工作量和首次好解时间；若两者均不变，不再付费增加提案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扩到P1的目标  </w:t>
      </w:r>
      <w:r>
        <w:rPr>
          <w:rFonts w:ascii="Noto Sans CJK SC" w:hAnsi="Noto Sans CJK SC" w:eastAsia="Noto Sans CJK SC" w:cs="Noto Sans CJK SC"/>
          <w:b w:val="0"/>
          <w:sz w:val="20"/>
        </w:rPr>
        <w:t>先形成多来源的严格证据。开发目标可设为6个训练来源中累计约20个非平凡见证/必要连接；这是训练可用性的起点，不是对测试集的筛选条件，更不是已验证发生率。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06 / 执行方案</w:t>
      </w:r>
    </w:p>
    <w:p>
      <w:pPr>
        <w:pStyle w:val="Heading1"/>
      </w:pPr>
      <w:r>
        <w:t>P1：用最小实验接通创新与收益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3855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优先顺序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具体执行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比较标准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先证据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复用P0两个来源，另加r002–r005；仍用A-U/A-P，不新增星座族。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完整quotient、严格拟合、未知覆盖分开记录。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再合成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Witness与Relations-only各2个独立提案批次，每批8个候选；同语法、同起始程序。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调用数、token、wall实际记录；等候选数不等于等计算。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同步廉价对照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保留base-only、Degree及可用的确定性特征搜索；使用同一候选语法与kernel。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新增结构信息的收益与LLM建议效率分开回答。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最后部署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冻结程序，在同一初始化、真实patch与同一总预算下运行。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全调度秒数、额外秒数、达到同值成本；特征计算计费。</w:t>
            </w:r>
          </w:p>
        </w:tc>
      </w:tr>
    </w:tbl>
    <w:p>
      <w:pPr>
        <w:spacing w:after="20"/>
      </w:pPr>
    </w:p>
    <w:p>
      <w:pPr>
        <w:pStyle w:val="Heading2"/>
      </w:pPr>
      <w:r>
        <w:t>只需先证明一条完整链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严格矛盾成立 → 新特征分开必要连接 → 规则真正拟合要求 → 实际kernel使用该区别 → 同预算改善链路时长，或同质量降低时间/工作量。各步单独报告；不能只凭信息门通过率声称优化收益。</w:t>
      </w:r>
    </w:p>
    <w:p>
      <w:pPr>
        <w:pStyle w:val="Heading2"/>
      </w:pPr>
      <w:r>
        <w:t>预算先按执行机会标定，而不是刻意制造失败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开发阶段可探测每次局部修复10/50/200毫秒，并保留相同节点工作量对照。若全部精确结束，可统一增加真实patch规模；若一档几乎总是没有合法新结果，则保留为边界并用可兑现档训练。正式预算在验证集冻结，对所有方法一致；不得给传统头更少修复额度。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“强约束优先”不等于最终只报告g1800。P1主训练配置为g340/g680/g1200；g1800作为单列压力，不混入一个掩盖中等配置表现的平均分。共同初始化及搜索本身的收益不能归给特征合成。</w:t>
      </w:r>
    </w:p>
    <w:p>
      <w:pPr>
        <w:pStyle w:val="Heading2"/>
      </w:pPr>
      <w:r>
        <w:t>建议停止线与后续动作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若Witness仅提高可表示性而部署不变，回到G3；若结构特征有效而Witness与关系反馈没有区别，先检查提案成本与多批次稳定性，不扩大星座掩盖该结果。P1通过后再跑正式测试；P1未形成联系时，不启动大规模P3扩展。</w:t>
      </w:r>
    </w:p>
    <w:p>
      <w:r>
        <w:rPr>
          <w:rFonts w:ascii="Noto Sans CJK SC" w:hAnsi="Noto Sans CJK SC" w:eastAsia="Noto Sans CJK SC" w:cs="Noto Sans CJK SC"/>
          <w:b w:val="0"/>
          <w:sz w:val="18"/>
        </w:rPr>
        <w:t>以上优先级针对当前核心机制可能被充分精确修复消除的风险；这一风险在稿件§5.6和§6已有明确记录。[P1]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07 / 执行方案</w:t>
      </w:r>
    </w:p>
    <w:p>
      <w:pPr>
        <w:pStyle w:val="Heading1"/>
      </w:pPr>
      <w:r>
        <w:t>P2确认与P3扩展：最小但完整的数据集族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835"/>
        <w:gridCol w:w="4535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来源组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r000–r005，共6组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TRAIN；含两个P0开发来源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可查看证书、修复接口、提案与训练。开发曝光如实记录。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r006–r007，共2组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VALIDATION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冻结规则选择、预算、规范化及停止标准；不并回测试。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r008–r011，共4组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TEST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冻结后一次完整评价；证书仅作事后评价，不输入策略。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21"/>
        </w:rPr>
        <w:t>每个来源都生成A-U和A-P；两种相位及其全部gap必须在同一划分。正式核心为2几何×12来源×3配置（340/680/1200）=72张图，需要24个原始机会库，包含P0已完成的4库。P0的1800秒额外4图单列保留。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在4个TEST来源额外生成510/900秒配置：2几何×4来源×2配置=16图，仅重新建边。主实验测试源和配置分别留出；规则、特征和预算不可读取TEST标签。4个测试来源是小型确认，不代表统计功效已经充足。</w:t>
      </w:r>
    </w:p>
    <w:p>
      <w:pPr>
        <w:pStyle w:val="Heading2"/>
      </w:pPr>
      <w:r>
        <w:t>P3只按下列顺序选择一个新增轴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706"/>
        <w:gridCol w:w="391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新增项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明确的实验含义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P3-1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168星=7面×24星，f=2；其余同A-U。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规模外推；同源84星为偶数槽位子集，可配对，不可跨划分。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P3-2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12站扩为24站：纬度24/28/32/36°×原6个经度。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资源充裕对照，不预设一定更易。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P3-3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最低仰角5°或25°，各单独重算Access。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几何泛化；不是同一任务集合上的纯gap干预。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P3-4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每站2副真实并行天线。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资源容量扩展；明确备选副本，不重复获益；最后再做。</w:t>
            </w:r>
          </w:p>
        </w:tc>
      </w:tr>
    </w:tbl>
    <w:p>
      <w:pPr>
        <w:spacing w:after="20"/>
      </w:pP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若时间只够一半  </w:t>
      </w:r>
      <w:r>
        <w:rPr>
          <w:rFonts w:ascii="Noto Sans CJK SC" w:hAnsi="Noto Sans CJK SC" w:eastAsia="Noto Sans CJK SC" w:cs="Noto Sans CJK SC"/>
          <w:b w:val="0"/>
          <w:sz w:val="20"/>
        </w:rPr>
        <w:t>优先完成P0、P1和少量未见来源/配置的确认；删去P3，而不是删掉廉价对照、未知结果或测试来源分组。统计按物理来源聚合，不能把同一源的多个patch当独立样本。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08 / 执行方案</w:t>
      </w:r>
    </w:p>
    <w:p>
      <w:pPr>
        <w:pStyle w:val="Heading1"/>
      </w:pPr>
      <w:r>
        <w:t>团队分工、交付清单与资料依据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365"/>
        <w:gridCol w:w="396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独立交付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验收依据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STK工程师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场景与依赖；版本；每星实际轨道元素；全站坐标；原始Access；跨界窗口。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参数JSON一致；接触确在完整可见区间内；不加入任务生成。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建图工程师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统一冲突程序及版本；图配置；contact/pass/卫星/站点/天线ID；边类型与哈希。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w=e−s；平均度=2m/n；加严gap不删边；重叠和等号测试通过。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证据与算法组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共同边界、查询、有效上下界、完整quotient、真实patch轨迹和计费。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证据边界一致；不将反转或近似相等冒充表示矛盾。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负责人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P0→P1→P2签收表；所有失败分支；冻结与来源划分记录。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按机制信号推进，不按我方算法胜率筛测试数据。</w:t>
            </w:r>
          </w:p>
        </w:tc>
      </w:tr>
    </w:tbl>
    <w:p>
      <w:pPr>
        <w:spacing w:after="20"/>
      </w:pPr>
    </w:p>
    <w:p>
      <w:pPr>
        <w:pStyle w:val="Heading2"/>
      </w:pPr>
      <w:r>
        <w:t>本独立包包含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CIPHEUR_STK_Priority_Plan.docx；CIPHEUR_parameters.json（12来源、全部轨道元素、站点、P0/P2配置）；README_zh.md。工程师仅凭本包即可创建首批场景，不需要另一团队的文件。</w:t>
      </w:r>
    </w:p>
    <w:p>
      <w:pPr>
        <w:pStyle w:val="Heading2"/>
      </w:pPr>
      <w:r>
        <w:t>原始记录最低字段</w:t>
      </w:r>
    </w:p>
    <w:p>
      <w:r>
        <w:rPr>
          <w:rFonts w:ascii="Noto Sans CJK SC" w:hAnsi="Noto Sans CJK SC" w:eastAsia="Noto Sans CJK SC" w:cs="Noto Sans CJK SC"/>
          <w:b w:val="0"/>
          <w:sz w:val="18"/>
        </w:rPr>
        <w:t>source_group、geometry_id、replicate_id、epoch_utc、contact_id、pass_id、satellite_id、site_id、antenna_id、start_utc、end_utc、start_seconds、end_seconds、duration_seconds、crosses_horizon、access_settings_hash。图配置另存，不覆盖原始接触表。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在每星/每天线容量均为1的本模型下，任一可行调度的时长和不超过min(卫星数,天线数)×72小时。这是单位与重复计奖的检查上界，不是紧最优界。</w:t>
      </w:r>
    </w:p>
    <w:p>
      <w:pPr>
        <w:pStyle w:val="Heading2"/>
      </w:pPr>
      <w:r>
        <w:t>资料与范围</w:t>
      </w:r>
    </w:p>
    <w:p>
      <w:r>
        <w:rPr>
          <w:rFonts w:ascii="Noto Sans CJK SC" w:hAnsi="Noto Sans CJK SC" w:eastAsia="Noto Sans CJK SC" w:cs="Noto Sans CJK SC"/>
          <w:b w:val="0"/>
          <w:sz w:val="18"/>
        </w:rPr>
        <w:t>[P1] 用户提供：CIPHEUR_AAMAS2027_V06.pdf，§3–4（问题、共同边界、完整quotient与typed library），§5.6及§6（证据边界和搜索收益的区别）。本方案保留其核心研究方向；“时长即收益、单天线首轮参数、阶段预算”是本轮新设实验条件。</w:t>
      </w:r>
    </w:p>
    <w:p>
      <w:r>
        <w:rPr>
          <w:rFonts w:ascii="Noto Sans CJK SC" w:hAnsi="Noto Sans CJK SC" w:eastAsia="Noto Sans CJK SC" w:cs="Noto Sans CJK SC"/>
          <w:b w:val="0"/>
          <w:sz w:val="18"/>
        </w:rPr>
        <w:t>[S1–S3] STK官方文档，2026-10-05核对。它们支持工具能力和参数含义，不支持“本参数一定有学习优势”的结论。</w:t>
      </w:r>
    </w:p>
    <w:p>
      <w:pPr>
        <w:spacing w:after="60"/>
      </w:pPr>
      <w:hyperlink r:id="rId11">
        <w:r>
          <w:rPr>
            <w:color w:val="176C75"/>
            <w:rFonts w:eastAsia="Noto Sans CJK SC" w:ascii="Noto Sans CJK SC" w:hAnsi="Noto Sans CJK SC"/>
            <w:sz w:val="18"/>
          </w:rPr>
          <w:t>[S1] Walker Tool：轨道面、槽位相位与Delta星座</w:t>
        </w:r>
      </w:hyperlink>
    </w:p>
    <w:p>
      <w:pPr>
        <w:spacing w:after="60"/>
      </w:pPr>
      <w:hyperlink r:id="rId12">
        <w:r>
          <w:rPr>
            <w:color w:val="176C75"/>
            <w:rFonts w:eastAsia="Noto Sans CJK SC" w:ascii="Noto Sans CJK SC" w:hAnsi="Noto Sans CJK SC"/>
            <w:sz w:val="18"/>
          </w:rPr>
          <w:t>[S2] Access Options：精确事件和时间收敛</w:t>
        </w:r>
      </w:hyperlink>
    </w:p>
    <w:p>
      <w:pPr>
        <w:spacing w:after="60"/>
      </w:pPr>
      <w:hyperlink r:id="rId13">
        <w:r>
          <w:rPr>
            <w:color w:val="176C75"/>
            <w:rFonts w:eastAsia="Noto Sans CJK SC" w:ascii="Noto Sans CJK SC" w:hAnsi="Noto Sans CJK SC"/>
            <w:sz w:val="18"/>
          </w:rPr>
          <w:t>[S3] J2 Perturbation：传播及初始状态设置</w:t>
        </w:r>
      </w:hyperlink>
    </w:p>
    <w:p>
      <w:r>
        <w:rPr>
          <w:rFonts w:ascii="Noto Sans CJK SC" w:hAnsi="Noto Sans CJK SC" w:eastAsia="Noto Sans CJK SC" w:cs="Noto Sans CJK SC"/>
          <w:b w:val="0"/>
          <w:sz w:val="18"/>
        </w:rPr>
        <w:t>状态声明：本交付物是独立执行方案和参数清单，不含STK场景运行结果、严格证书、模型训练或性能优势。所有数量与停止线均为开发起点；确认实验保留失败、未知与零机会结果。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526171"/>
        <w:sz w:val="16"/>
      </w:rPr>
      <w:t xml:space="preserve">2026-10-05 · v2.0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color="D5DEE6"/>
      </w:pBdr>
    </w:pPr>
    <w:r>
      <w:rPr>
        <w:rFonts w:ascii="Noto Sans CJK SC" w:hAnsi="Noto Sans CJK SC" w:eastAsia="Noto Sans CJK SC" w:cs="Noto Sans CJK SC"/>
        <w:b w:val="0"/>
        <w:color w:val="526171"/>
        <w:sz w:val="16"/>
      </w:rPr>
      <w:t>CIPHEUR  |  独立仿真与实验执行方案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6C7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agi.com/stk/12.10.0/Content/stk/tools-12.htm" TargetMode="External"/><Relationship Id="rId12" Type="http://schemas.openxmlformats.org/officeDocument/2006/relationships/hyperlink" Target="https://help.agi.com/stk/Content/stk/tools-01a.htm" TargetMode="External"/><Relationship Id="rId13" Type="http://schemas.openxmlformats.org/officeDocument/2006/relationships/hyperlink" Target="https://help.agi.com/stk/content/stk/vehSat_orbitProp_2bodyJ2J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CIPHEUR：独立STK仿真与分阶段实验方案</dc:title>
  <dc:subject>CIPHEUR独立团队执行方案；完整可见窗口与链路时长目标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