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CJK SC" w:hAnsi="Noto Sans CJK SC" w:eastAsia="Noto Sans CJK SC" w:cs="Noto Sans CJK SC"/>
          <w:b w:val="0"/>
          <w:sz w:val="17"/>
        </w:rPr>
        <w:t>01 / 执行方案</w:t>
      </w:r>
    </w:p>
    <w:p>
      <w:pPr>
        <w:pStyle w:val="Heading1"/>
      </w:pPr>
      <w:r>
        <w:t>JointRecovery｜先验证可兑现的联合恢复</w:t>
      </w:r>
    </w:p>
    <w:p>
      <w:r>
        <w:rPr>
          <w:rFonts w:ascii="Noto Sans CJK SC" w:hAnsi="Noto Sans CJK SC" w:eastAsia="Noto Sans CJK SC" w:cs="Noto Sans CJK SC"/>
          <w:b/>
          <w:sz w:val="24"/>
        </w:rPr>
        <w:t>完整可见窗口 · 链路时长目标 · 独立团队执行版</w:t>
      </w:r>
    </w:p>
    <w:p>
      <w:pPr>
        <w:shd w:fill="EAF1F6"/>
        <w:spacing w:before="60" w:after="140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 xml:space="preserve">首批只做这一件事  </w:t>
      </w:r>
      <w:r>
        <w:rPr>
          <w:rFonts w:ascii="Noto Sans CJK SC" w:hAnsi="Noto Sans CJK SC" w:eastAsia="Noto Sans CJK SC" w:cs="Noto Sans CJK SC"/>
          <w:b w:val="0"/>
          <w:sz w:val="20"/>
        </w:rPr>
        <w:t>168星双壳层、12站、每站1副天线；每个原始机会库另取固定8站子集。先做2个物理实现，以170/340/680秒地面gap检验共同贪心之后的真实恢复。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首批参数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具体值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星座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A壳84星：550千米/53°/7×12/f=2；B壳84星：1100千米/70°/7×12/f=4。两壳RAAN基准差15°。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站网与资源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全新R12及固定R8子网；每站1副天线、每星1个同时通信通道。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时域与配置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72小时；τ_s=150秒；τ_g∈{170,340,680}秒。1800秒不进入首轮。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仿真工作量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1种母几何×2实现=2个原始12站机会库；2站网×2实现×3配置=12张图。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第一张验收表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实际恢复域的联合机会、有限结果差异、同状态请求排序空间、完整调用与返回成本。</w:t>
            </w:r>
          </w:p>
        </w:tc>
      </w:tr>
    </w:tbl>
    <w:p>
      <w:pPr>
        <w:spacing w:after="20"/>
      </w:pPr>
    </w:p>
    <w:p>
      <w:pPr>
        <w:pStyle w:val="Heading2"/>
      </w:pPr>
      <w:r>
        <w:t>执行优先级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252"/>
        <w:gridCol w:w="4252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优先执行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进入下一阶段的依据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P0 必做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物理竞争压力＋较充分离线恢复探针；不先训练大模型。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共同贪心之外有净收益，且请求之间确有差异。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P1 必做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最小预测与分配闭环；先比较图模型、CheapSummary、P1及Greedy。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预测差异能在相同执行选项下改善实际选择。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P2 必做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新来源确认；再逐步收紧总返回预算。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扣除完整成本后仍能按时交付收益。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P3 选做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单壳/规模/站网/更强gap及组件扩展。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前述链路已成立，才丰富泛化范围。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  <w:sz w:val="21"/>
        </w:rPr>
        <w:t>压力优先不等于越拥挤越好。本方案先提高真实资源争用与窗口异质性，但保留兼容替代；执行上先给足探针时间，再验证有限预算分配。过大的gap可能消灭恢复，过紧返回期限可能掩盖恢复。</w:t>
      </w:r>
    </w:p>
    <w:p>
      <w:r>
        <w:rPr>
          <w:rFonts w:ascii="Noto Sans CJK SC" w:hAnsi="Noto Sans CJK SC" w:eastAsia="Noto Sans CJK SC" w:cs="Noto Sans CJK SC"/>
          <w:b/>
          <w:sz w:val="21"/>
        </w:rPr>
        <w:t>本版全部新建，不继承任何历史接触或双阈值判据；首轮采用单天线、单一卫星gap。目标仍是静态星地链路总时长，不引入业务任务、故障或在线任务到达。</w:t>
      </w:r>
    </w:p>
    <w:p>
      <w:r>
        <w:br w:type="page"/>
      </w:r>
    </w:p>
    <w:p>
      <w:r>
        <w:rPr>
          <w:rFonts w:ascii="Noto Sans CJK SC" w:hAnsi="Noto Sans CJK SC" w:eastAsia="Noto Sans CJK SC" w:cs="Noto Sans CJK SC"/>
          <w:b w:val="0"/>
          <w:sz w:val="17"/>
        </w:rPr>
        <w:t>02 / 执行方案</w:t>
      </w:r>
    </w:p>
    <w:p>
      <w:pPr>
        <w:pStyle w:val="Heading1"/>
      </w:pPr>
      <w:r>
        <w:t>固定问题契约与STK通用设置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候选顶点是一次卫星—地面天线之间的完整几何可见区间 [s,e)。选择即占用整个区间，收益严格为 w=e−s。所有接触的时间、资源与收益都来自本次新仿真；不切片、不平移部分窗口、不统一时长、不重赋权、不添加业务请求。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本版首轮的新约定：每站1副天线、每星1个同时通信通道；地面和卫星各用一个非负切换间隔。卫星间隔固定为150秒，不沿用任何未定义的双阈值或特殊重叠分支。这是本轮明确采用的简化配置，不是对既有软件判据的推断。</w:t>
      </w:r>
    </w:p>
    <w:p>
      <w:pPr>
        <w:shd w:fill="EAF1F6"/>
        <w:spacing w:before="60" w:after="140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 xml:space="preserve">冲突定义  </w:t>
      </w:r>
      <w:r>
        <w:rPr>
          <w:rFonts w:ascii="Noto Sans CJK SC" w:hAnsi="Noto Sans CJK SC" w:eastAsia="Noto Sans CJK SC" w:cs="Noto Sans CJK SC"/>
          <w:b w:val="0"/>
          <w:sz w:val="20"/>
        </w:rPr>
        <w:t>按起点排序 u、v；同一天线在 s_v &lt; e_u + τ_g 时冲突，同一卫星在 s_v &lt; e_u + τ_s 时冲突；两者取并集。所有实际重叠，包括包含、同起点，均冲突；恰好满足间隔等号时兼容。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STK / 数值设置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独立执行值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规划时域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每个物理实现72小时；两端额外传播1小时，仅收完整落在72小时内的接触，跨界记录另存、不裁短。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参考历元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实现r000：2026-11-01 00:00:00 UTC；其后实现每次递增7天，均重新传播。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传播与参考系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J2 Perturbation；初始轨道状态采用J2000；导出实际传播参考系和设置。轨道历元设为各实现规划起点。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地球与地面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WGS84；站点为大地纬度/东经，椭球高0米；关闭地形遮挡，保留地球遮挡。理想化站址，不代表已选建设地点。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几何约束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最低仰角15°；仅做几何视线可见性；无额外传感器视场裁剪、天气、光照、RF链路预算、时段屏蔽或人为最小时长筛选。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Access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开启Find Precise Event Times；最大采样步长30秒；Time Convergence=0.001秒；光行时关闭并记录。抽样用15秒最大步长复查。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时间精度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导出相对秒至少6位小数并保留原报告；统一采用原始端点差计奖。整数求解器用微秒tick并检查溢出；不为制造相等而降低精度。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  <w:sz w:val="18"/>
        </w:rPr>
        <w:t>上述采样与收敛是建议值，不表示物理时间已精确到微秒。算法“精确”证书针对冻结的数值实例；边界敏感例再收紧Access容差做稳健性检查。软件能力依据[S1–S3]，具体参数值属于本方案的新建议。</w:t>
      </w:r>
    </w:p>
    <w:p>
      <w:r>
        <w:br w:type="page"/>
      </w:r>
    </w:p>
    <w:p>
      <w:r>
        <w:rPr>
          <w:rFonts w:ascii="Noto Sans CJK SC" w:hAnsi="Noto Sans CJK SC" w:eastAsia="Noto Sans CJK SC" w:cs="Noto Sans CJK SC"/>
          <w:b w:val="0"/>
          <w:sz w:val="17"/>
        </w:rPr>
        <w:t>03 / 执行方案</w:t>
      </w:r>
    </w:p>
    <w:p>
      <w:pPr>
        <w:pStyle w:val="Heading1"/>
      </w:pPr>
      <w:r>
        <w:t>首批双壳层、站点坐标与物理实现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098"/>
        <w:gridCol w:w="5216"/>
        <w:gridCol w:w="1871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壳层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卫星数/轨道面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初始轨道参数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Walker相位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84=7面×12星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a=6928.137千米；e=0；i=53°；ω=0°；RAAN基准0°。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Delta；f=2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B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84=7面×12星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a=7478.137千米；e=0；i=70°；ω=0°；RAAN基准15°。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Delta；f=4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  <w:sz w:val="21"/>
        </w:rPr>
        <w:t>各壳p=0,…,6，q=0,…,11。Ω_p=Ω₀,壳+Ω偏置+360°p/7；M_pq=M偏置,壳+30°q+360°fp/84；取模360°。a固定为上表值，“高度”为相对于6378.137千米参考半径的名义圆轨道高度。</w:t>
      </w:r>
    </w:p>
    <w:p>
      <w:r>
        <w:rPr>
          <w:rFonts w:ascii="Noto Sans CJK SC" w:hAnsi="Noto Sans CJK SC" w:eastAsia="Noto Sans CJK SC" w:cs="Noto Sans CJK SC"/>
          <w:b w:val="0"/>
          <w:sz w:val="19"/>
        </w:rPr>
        <w:t>双壳层用于产生不同自然接触时长和交错关系，并不保证恢复收益。卫星数量、窗口权重和冲突都从物理仿真得到；不把示意的“一个10换两个6”当作任务生成规则。</w:t>
      </w:r>
    </w:p>
    <w:p>
      <w:pPr>
        <w:pStyle w:val="Heading2"/>
      </w:pPr>
      <w:r>
        <w:t>新建R12与R8，均为每站1副天线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站网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全部坐标规则（纬度，东经）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R12：12站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纬度28°、32°分别与东经88°、94°、100°、106°、112°、118°作笛卡尔积。每站1副天线。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R8：8站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从R12保留经度88°、100°、106°、118°的全部站点；选择在求解前固定。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  <w:sz w:val="19"/>
        </w:rPr>
        <w:t>站点ID按“纬度升序、经度升序”固定分配。全部是新设理想化地面网；不需要任何历史站点表、卫星ID映射或旧配置。</w:t>
      </w:r>
    </w:p>
    <w:p>
      <w:pPr>
        <w:pStyle w:val="Heading2"/>
      </w:pPr>
      <w:r>
        <w:t>P0两个物理实现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175"/>
        <w:gridCol w:w="2154"/>
        <w:gridCol w:w="3345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物理实现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规划起点（UTC）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整体RAAN偏置</w:t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沿轨整体偏置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r000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2026-11-01 00:00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0°</w:t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A壳0°；B壳0°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r001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2026-11-08 00:00</w:t>
            </w:r>
          </w:p>
        </w:tc>
        <w:tc>
          <w:tcPr>
            <w:tcW w:type="dxa" w:w="21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17°</w:t>
            </w:r>
          </w:p>
        </w:tc>
        <w:tc>
          <w:tcPr>
            <w:tcW w:type="dxa" w:w="334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A壳11°；B壳23°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  <w:sz w:val="19"/>
        </w:rPr>
        <w:t>后续r002–r011的实际偏置已列在本团队的参数JSON中；只依赖固定随机种子，与算法成绩无关。每个实现重新传播，不能平移CSV代替。同源的配置、子集、局部状态全部绑定同一来源组。改变日期或随机种子本身不是统计独立性的证明。</w:t>
      </w:r>
    </w:p>
    <w:p>
      <w:pPr>
        <w:shd w:fill="EAF1F6"/>
        <w:spacing w:before="60" w:after="140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 xml:space="preserve">工程编号  </w:t>
      </w:r>
      <w:r>
        <w:rPr>
          <w:rFonts w:ascii="Noto Sans CJK SC" w:hAnsi="Noto Sans CJK SC" w:eastAsia="Noto Sans CJK SC" w:cs="Noto Sans CJK SC"/>
          <w:b w:val="0"/>
          <w:sz w:val="20"/>
        </w:rPr>
        <w:t>JR-DUAL-r000、JR-DUAL-r001为两个母机会库；各自派生R12/R8站网，再附g0170/g0340/g0680。R8只删除不在子网内的整条接触，不截断或改变保留窗口。</w:t>
      </w:r>
    </w:p>
    <w:p>
      <w:r>
        <w:rPr>
          <w:rFonts w:ascii="Noto Sans CJK SC" w:hAnsi="Noto Sans CJK SC" w:eastAsia="Noto Sans CJK SC" w:cs="Noto Sans CJK SC"/>
          <w:b w:val="0"/>
          <w:sz w:val="19"/>
        </w:rPr>
        <w:t>所有同一母库的站网、gap、初态与恢复域属于同一来源组，不能一个进训练、另一个进测试。两种站网用于资源供给对照，不是额外独立观测。</w:t>
      </w:r>
    </w:p>
    <w:p>
      <w:r>
        <w:br w:type="page"/>
      </w:r>
    </w:p>
    <w:p>
      <w:r>
        <w:rPr>
          <w:rFonts w:ascii="Noto Sans CJK SC" w:hAnsi="Noto Sans CJK SC" w:eastAsia="Noto Sans CJK SC" w:cs="Noto Sans CJK SC"/>
          <w:b w:val="0"/>
          <w:sz w:val="17"/>
        </w:rPr>
        <w:t>04 / 执行方案</w:t>
      </w:r>
    </w:p>
    <w:p>
      <w:pPr>
        <w:pStyle w:val="Heading1"/>
      </w:pPr>
      <w:r>
        <w:t>P0执行：先探明恢复，再增加学习成本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4932"/>
        <w:gridCol w:w="4195"/>
      </w:tblGrid>
      <w:tr>
        <w:trPr>
          <w:cantSplit/>
          <w:tblHeader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49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本轮上限/输出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1</w:t>
            </w:r>
          </w:p>
        </w:tc>
        <w:tc>
          <w:tcPr>
            <w:tcW w:type="dxa" w:w="49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生成第1个12站机会库并验证；随后生成第2个。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2个母库，派生12张图；不用模型筛数据。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2</w:t>
            </w:r>
          </w:p>
        </w:tc>
        <w:tc>
          <w:tcPr>
            <w:tcW w:type="dxa" w:w="49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按统一规则建立可行全局初态、动作池和真实恢复域。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先保持现有11动作目标单元、cap256；每图目标12个去重后的实际状态，不足如实记。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3</w:t>
            </w:r>
          </w:p>
        </w:tc>
        <w:tc>
          <w:tcPr>
            <w:tcW w:type="dxa" w:w="49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所有请求执行相同三贪心和原incumbent候选比较，取得实际warm W。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保存q、L=w(W)、上界U、warm成员、完整固定base及图。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4</w:t>
            </w:r>
          </w:p>
        </w:tc>
        <w:tc>
          <w:tcPr>
            <w:tcW w:type="dxa" w:w="49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从相同状态分别克隆请求，先探测200/1000毫秒。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同一线程配置与固定种子；逐条验证实际返回T，保留失败和无增益。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5</w:t>
            </w:r>
          </w:p>
        </w:tc>
        <w:tc>
          <w:tcPr>
            <w:tcW w:type="dxa" w:w="49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机会存在后再补50/10毫秒；分析不同请求与预算。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先50再10；不把10毫秒零增益误判为物理数据没有机会。</w:t>
            </w:r>
          </w:p>
        </w:tc>
      </w:tr>
    </w:tbl>
    <w:p>
      <w:pPr>
        <w:spacing w:after="20"/>
      </w:pPr>
    </w:p>
    <w:p>
      <w:pPr>
        <w:pStyle w:val="Heading2"/>
      </w:pPr>
      <w:r>
        <w:t>沿用的是算法语义，不是历史数据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动作a=(C,E)决定固定base B、被撤接触D与已知q=w(C)−w(D)。恢复候选必须与整个B兼容。保持原恢复顺序与cap256，所有方法共享动作、域、预算和实际warm。卫星是owner；owner不额外规定每星只能选一个全天接触。[P1 §3–4]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三个共同贪心仍为w/(1+d)^e，e=0、1/2、1，并与可恢复incumbent比较。共同前缀的收益不算学习增益。状态可来自共同贪心之后与一次共同已执行搜索之后；各替代请求必须克隆同一快照，不能彼此预热。</w:t>
      </w:r>
    </w:p>
    <w:p>
      <w:pPr>
        <w:pStyle w:val="Heading2"/>
      </w:pPr>
      <w:r>
        <w:t>完整窗口、时长收益下需要的结构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两个互不重叠短窗口若都完全包含在同一个长窗口内，其时长和不大于长窗口。应寻找向长窗口两端延伸或跨资源的兼容替代，且满足地面/卫星gap并与全部固定base兼容。170/340/680三档用于观察哪些gap保留这种组合。</w:t>
      </w:r>
    </w:p>
    <w:p>
      <w:pPr>
        <w:shd w:fill="EAF1F6"/>
        <w:spacing w:before="60" w:after="140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 xml:space="preserve">此时不做  </w:t>
      </w:r>
      <w:r>
        <w:rPr>
          <w:rFonts w:ascii="Noto Sans CJK SC" w:hAnsi="Noto Sans CJK SC" w:eastAsia="Noto Sans CJK SC" w:cs="Noto Sans CJK SC"/>
          <w:b w:val="0"/>
          <w:sz w:val="20"/>
        </w:rPr>
        <w:t>不先用极短总deadline判定算法失败；不全量训练所有消融；不把U−L直接当可恢复收益；不靠把原图做大而忽略cap256实际看到什么。</w:t>
      </w:r>
    </w:p>
    <w:p>
      <w:r>
        <w:br w:type="page"/>
      </w:r>
    </w:p>
    <w:p>
      <w:r>
        <w:rPr>
          <w:rFonts w:ascii="Noto Sans CJK SC" w:hAnsi="Noto Sans CJK SC" w:eastAsia="Noto Sans CJK SC" w:cs="Noto Sans CJK SC"/>
          <w:b w:val="0"/>
          <w:sz w:val="17"/>
        </w:rPr>
        <w:t>05 / 执行方案</w:t>
      </w:r>
    </w:p>
    <w:p>
      <w:pPr>
        <w:pStyle w:val="Heading1"/>
      </w:pPr>
      <w:r>
        <w:t>P0验收：真实机会、关系信息、执行尺度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139"/>
        <w:gridCol w:w="4309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必须记录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建议开发判据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G1：额外机会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同一状态各请求的实际q+w(T)、L、当前最好增益g*。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争取≥30%状态有请求：局部warm提高≥1%，且净收益超过g*；这是投入参考，不是删测试样本的门槛。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G2：关系有用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相似规模、q/L/U/P1下的请求结果；双资源边与跨站同星竞争。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观察状态内排序差异；摘要不同造成的简单收益差，不能独自证明图编码必要。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G3：预算有用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同图、同warm、同种子下的200/1000毫秒返回；必要时补50/10。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争取约20%状态出现可重复的有限值差异；没有变化时先检查执行平台与域，而非重训预算头。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G4：可交付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准备、求解、解析、完整校验与返回时间；最早好解可获得时间。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共同warm始终可返回；长预算先去除系统性迟到，再谈缩短deadline。</w:t>
            </w:r>
          </w:p>
        </w:tc>
      </w:tr>
    </w:tbl>
    <w:p>
      <w:pPr>
        <w:spacing w:after="20"/>
      </w:pPr>
    </w:p>
    <w:p>
      <w:pPr>
        <w:pStyle w:val="Heading2"/>
      </w:pPr>
      <w:r>
        <w:t>净收益的判断不能省略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局部δ=(w(T)−L)/max(1,L)只描述修复效果。对分配有用的是[q+w(T)−g*]₊，且必须在该状态剩余预算内验证并可交付。不要要求一次局部调用将72小时完整目标提高1%；同时报告局部百分比、全局增加秒数和全局百分比。</w:t>
      </w:r>
    </w:p>
    <w:p>
      <w:pPr>
        <w:pStyle w:val="Heading2"/>
      </w:pPr>
      <w:r>
        <w:t>没有机会时，按这个顺序处理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先比较8/12站与170/340/680，排除过密消灭替代。再检查cap256截断率、实际多资源耦合、外部固定base是否封死所有高价值替代。只有证据表明作用域截断关键组合，才另开cap512诊断；所有对照同步变更并重新采标签，不能给学习方法独占。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若实际执行已很快到平台，长预算不再给标签增加变化，则本批适合恢复值/排序测试，但不支持预算条件组件优势。若G1存在而G2不成立，先保留CheapSummary强对照，不能仅扩大网络。</w:t>
      </w:r>
    </w:p>
    <w:p>
      <w:pPr>
        <w:shd w:fill="EAF1F6"/>
        <w:spacing w:before="60" w:after="140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 xml:space="preserve">最多追加一轮  </w:t>
      </w:r>
      <w:r>
        <w:rPr>
          <w:rFonts w:ascii="Noto Sans CJK SC" w:hAnsi="Noto Sans CJK SC" w:eastAsia="Noto Sans CJK SC" w:cs="Noto Sans CJK SC"/>
          <w:b w:val="0"/>
          <w:sz w:val="20"/>
        </w:rPr>
        <w:t>P0缺信号时，只补一项明确诊断：cap512，或第7页列出的单壳对照。不要同时增加星数、改初态、改域、改预算后再归因于“数据更好”。</w:t>
      </w:r>
    </w:p>
    <w:p>
      <w:r>
        <w:br w:type="page"/>
      </w:r>
    </w:p>
    <w:p>
      <w:r>
        <w:rPr>
          <w:rFonts w:ascii="Noto Sans CJK SC" w:hAnsi="Noto Sans CJK SC" w:eastAsia="Noto Sans CJK SC" w:cs="Noto Sans CJK SC"/>
          <w:b w:val="0"/>
          <w:sz w:val="17"/>
        </w:rPr>
        <w:t>06 / 执行方案</w:t>
      </w:r>
    </w:p>
    <w:p>
      <w:pPr>
        <w:pStyle w:val="Heading1"/>
      </w:pPr>
      <w:r>
        <w:t>P1：小模型闭环；先分配收益，后收紧时间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762"/>
        <w:gridCol w:w="3685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只运行必要比较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首先回答的问题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1 同状态排序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Capacity、CheapSummary；配P1与Greedy非学习对照。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结构信息是否降低对实际有限结果的排序/选择误差？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2 固定调用数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共享请求集合、executor和workpoint，比较最多1/2/4次调用。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排对请求是否得到更大的真实净增量？这是调用预算实验，不宣称端到端时间优势。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3 完整时间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将准备、推理、搜索、验证和返回全部计入同一D。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同样总时间内，调用者是否收到更多链路时长？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4 消融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闭环成立后再做FreeOccupancy、NoAux、NoWarm。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分别定位容量读出、监督、warm身份的贡献，而不是先训练所有版本。</w:t>
            </w:r>
          </w:p>
        </w:tc>
      </w:tr>
    </w:tbl>
    <w:p>
      <w:pPr>
        <w:spacing w:after="20"/>
      </w:pPr>
    </w:p>
    <w:p>
      <w:pPr>
        <w:pStyle w:val="Heading2"/>
      </w:pPr>
      <w:r>
        <w:t>预算安排：先宽后紧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开发端先实测固定4次请求策略的全成本分布，取所有待比较策略中较大的p95，并保留至少20%交付余量，定义统一的宽预算D_wide。再试约0.5D_wide和0.25D_wide；若不足以完成共同前缀，明确标为不可执行压力。所有策略使用相同D，最终预算在验证阶段冻结。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上述余量只是启动值，不保证零迟到；不能在测试后加时保住某方法。父进程或调用者应始终持有已验证warm/最好调度，避免最后一次搜索吞掉已获得收益。原有严格返回指标保留，内部可得与实际返回分开报告。</w:t>
      </w:r>
    </w:p>
    <w:p>
      <w:pPr>
        <w:pStyle w:val="Heading2"/>
      </w:pPr>
      <w:r>
        <w:t>最小训练规模与warm变化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P1增补r002–r005，仍只用双壳层8/12站族。先用现有规模的模型及2个拟合种子作开发，不扩深度。标签比较必须来自同一实际快照；更多workpoint共享图编码仅限恢复顶点、因子、顺序和warm成员完全一致。warm改变则重新编码并计费。[P1 §4]</w:t>
      </w:r>
    </w:p>
    <w:p>
      <w:pPr>
        <w:pStyle w:val="Heading2"/>
      </w:pPr>
      <w:r>
        <w:t>何时再投入丰富化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若图预测优于摘要，但完整时间仍输，先优化推理/调度/返回链并给所有对照同样的基础工程改进。若实际恢复值没有超出摘要可解释的信息，继续调整物理结构或动作范围的单因素诊断；不把共享贪心收益或求解器本身收益归给学习。</w:t>
      </w:r>
    </w:p>
    <w:p>
      <w:pPr>
        <w:shd w:fill="EAF1F6"/>
        <w:spacing w:before="60" w:after="140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 xml:space="preserve">优先保护  </w:t>
      </w:r>
      <w:r>
        <w:rPr>
          <w:rFonts w:ascii="Noto Sans CJK SC" w:hAnsi="Noto Sans CJK SC" w:eastAsia="Noto Sans CJK SC" w:cs="Noto Sans CJK SC"/>
          <w:b w:val="0"/>
          <w:sz w:val="20"/>
        </w:rPr>
        <w:t>优先保住真实净增益、同状态公平比较和完整成本；时间不足时删去模型扩展，而不是删CheapSummary或零机会状态。</w:t>
      </w:r>
    </w:p>
    <w:p>
      <w:r>
        <w:br w:type="page"/>
      </w:r>
    </w:p>
    <w:p>
      <w:r>
        <w:rPr>
          <w:rFonts w:ascii="Noto Sans CJK SC" w:hAnsi="Noto Sans CJK SC" w:eastAsia="Noto Sans CJK SC" w:cs="Noto Sans CJK SC"/>
          <w:b w:val="0"/>
          <w:sz w:val="17"/>
        </w:rPr>
        <w:t>07 / 执行方案</w:t>
      </w:r>
    </w:p>
    <w:p>
      <w:pPr>
        <w:pStyle w:val="Heading1"/>
      </w:pPr>
      <w:r>
        <w:t>P2确认与P3扩展：保留负对照，不铺全组合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175"/>
        <w:gridCol w:w="442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来源组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42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数量与限制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r000–r005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TRAIN，包含已曝光P0开发来源</w:t>
            </w:r>
          </w:p>
        </w:tc>
        <w:tc>
          <w:tcPr>
            <w:tcW w:type="dxa" w:w="442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6个母机会库；8/12站及全部gap同组。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r006–r007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VALIDATION</w:t>
            </w:r>
          </w:p>
        </w:tc>
        <w:tc>
          <w:tcPr>
            <w:tcW w:type="dxa" w:w="442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2个新母库；冻结预测器、预算、归一化与停止规则。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r008–r011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TEST</w:t>
            </w:r>
          </w:p>
        </w:tc>
        <w:tc>
          <w:tcPr>
            <w:tcW w:type="dxa" w:w="442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4个新母库；固定规则完整评价，不以有无恢复或胜负筛选。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  <w:sz w:val="21"/>
        </w:rPr>
        <w:t>核心规模：12个母机会库×2站网×3配置=72张图。P0已完成其中2库、12图；无需重新做。先固定物理族验证机制与新来源泛化，再追加几何外推。4个测试来源仅是小型确认；更多状态和训练种子不能替代更多物理来源。</w:t>
      </w:r>
    </w:p>
    <w:p>
      <w:pPr>
        <w:pStyle w:val="Heading2"/>
      </w:pPr>
      <w:r>
        <w:t>P3按收益风险顺序单轴增加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592"/>
        <w:gridCol w:w="4025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新增配置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用途与限制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P3-1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单壳168星：800千米、53°、7面×24星、f=2；同站网。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与双壳比较星座形态；非严格单一高度干预，不保证哪一族更好。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P3-2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双壳各取偶数槽位，合计84星；各7×6；A壳f=1，B壳f=2。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同源规模对照，不当独立测试；看恢复结构而不只节点数。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P3-3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12站链式：30°N，80°E起每4°一站，共12站。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站数不变、几何布局变化；测跨站替代，而非用布局名称代替指标。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P3-4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gap增加1200/1800；或站点扩24/每站2天线，分别单开。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过载/资源充裕边界；保留机会消失结果，不预设压力越强越好。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  <w:sz w:val="21"/>
        </w:rPr>
        <w:t>组件专用覆盖：warm身份需要相同图上不同实际warm的有限响应；预算头需要未饱和搜索阶段；编码复用需要同一warm对应多个请求。这些是状态与执行设计，不要求增加业务任务或对完整窗口重赋权。</w:t>
      </w:r>
    </w:p>
    <w:p>
      <w:pPr>
        <w:shd w:fill="EAF1F6"/>
        <w:spacing w:before="60" w:after="140"/>
      </w:pPr>
      <w:r>
        <w:rPr>
          <w:rFonts w:ascii="Noto Sans CJK SC" w:hAnsi="Noto Sans CJK SC" w:eastAsia="Noto Sans CJK SC" w:cs="Noto Sans CJK SC"/>
          <w:b/>
          <w:color w:val="17324D"/>
          <w:sz w:val="21"/>
        </w:rPr>
        <w:t xml:space="preserve">最短路径  </w:t>
      </w:r>
      <w:r>
        <w:rPr>
          <w:rFonts w:ascii="Noto Sans CJK SC" w:hAnsi="Noto Sans CJK SC" w:eastAsia="Noto Sans CJK SC" w:cs="Noto Sans CJK SC"/>
          <w:b w:val="0"/>
          <w:sz w:val="20"/>
        </w:rPr>
        <w:t>P0有机会 → P1能选对并执行 → P2按时超过共同前缀与强廉价控制。最后才评估P3广泛泛化；即便P3没有新增优势，也保留其完整结果。</w:t>
      </w:r>
    </w:p>
    <w:p>
      <w:r>
        <w:br w:type="page"/>
      </w:r>
    </w:p>
    <w:p>
      <w:r>
        <w:rPr>
          <w:rFonts w:ascii="Noto Sans CJK SC" w:hAnsi="Noto Sans CJK SC" w:eastAsia="Noto Sans CJK SC" w:cs="Noto Sans CJK SC"/>
          <w:b w:val="0"/>
          <w:sz w:val="17"/>
        </w:rPr>
        <w:t>08 / 执行方案</w:t>
      </w:r>
    </w:p>
    <w:p>
      <w:pPr>
        <w:pStyle w:val="Heading1"/>
      </w:pPr>
      <w:r>
        <w:t>团队分工、交付清单与资料依据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4309"/>
        <w:gridCol w:w="4025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独立交付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7324D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验收依据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STK工程师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双壳场景与依赖；全卫星实际元素；12站完整机会表与边界记录。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原始w=e−s；8站仅为固定子集；没有人为接触切片。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建图工程师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同gap定义、原始图、资源因子、owner=卫星的映射、哈希。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相同配置规则；不伪造团；平均度和单调边集检验。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算法与执行组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初态、动作/base、实际R/W、q/L/U、克隆标签、成员和分项延迟。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局部可行不够，完整base联合验证；失败/迟到/无增益保留。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负责人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各阶段签收、追加单轴理由、所有冻结与来源分组。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6F9"/>
          </w:tcPr>
          <w:p>
            <w:pPr>
              <w:spacing w:after="2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按机会与机制决定投入，不按我方胜率选择测试场景。</w:t>
            </w:r>
          </w:p>
        </w:tc>
      </w:tr>
    </w:tbl>
    <w:p>
      <w:pPr>
        <w:spacing w:after="20"/>
      </w:pPr>
    </w:p>
    <w:p>
      <w:pPr>
        <w:pStyle w:val="Heading2"/>
      </w:pPr>
      <w:r>
        <w:t>本独立包包含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JointRecovery_STK_Priority_Plan.docx；JointRecovery_parameters.json（12来源、168星实际元素、站点、站网子集、图/执行探针）；README_zh.md。工程师仅凭本包即可工作，无需另一团队配置。</w:t>
      </w:r>
    </w:p>
    <w:p>
      <w:pPr>
        <w:pStyle w:val="Heading2"/>
      </w:pPr>
      <w:r>
        <w:t>原始记录与执行记录分开</w:t>
      </w:r>
    </w:p>
    <w:p>
      <w:r>
        <w:rPr>
          <w:rFonts w:ascii="Noto Sans CJK SC" w:hAnsi="Noto Sans CJK SC" w:eastAsia="Noto Sans CJK SC" w:cs="Noto Sans CJK SC"/>
          <w:b w:val="0"/>
          <w:sz w:val="18"/>
        </w:rPr>
        <w:t>机会表：source_group、geometry_id、replicate_id、epoch_utc、contact_id、pass_id、satellite_id、site_id、antenna_id、完整起止UTC/相对秒、duration、跨界标记、Access设置哈希。请求表另存：snapshot_id、action_id、base/R/warm成员、q/L/U、workpoint、执行种子、T、净收益、分项耗时、截止与返回状态。</w:t>
      </w:r>
    </w:p>
    <w:p>
      <w:r>
        <w:rPr>
          <w:rFonts w:ascii="Noto Sans CJK SC" w:hAnsi="Noto Sans CJK SC" w:eastAsia="Noto Sans CJK SC" w:cs="Noto Sans CJK SC"/>
          <w:b w:val="0"/>
          <w:sz w:val="21"/>
        </w:rPr>
        <w:t>在单通道卫星/单天线模型下，完整调度时长和≤min(卫星数,天线数)×72小时；8/12站各有自己的上界。此式用于发现重复计奖，不是紧最优界。</w:t>
      </w:r>
    </w:p>
    <w:p>
      <w:pPr>
        <w:pStyle w:val="Heading2"/>
      </w:pPr>
      <w:r>
        <w:t>资料与范围</w:t>
      </w:r>
    </w:p>
    <w:p>
      <w:r>
        <w:rPr>
          <w:rFonts w:ascii="Noto Sans CJK SC" w:hAnsi="Noto Sans CJK SC" w:eastAsia="Noto Sans CJK SC" w:cs="Noto Sans CJK SC"/>
          <w:b w:val="0"/>
          <w:sz w:val="18"/>
        </w:rPr>
        <w:t>[P1] 用户提供：main_v4.pdf，§3–4（动作、cap256、共同三贪心、实际warm与有限执行监督），§6–7（额外恢复、摘要对照及总返回成本）。本方案保留其核心研究方向；新轨道、纯时长目标和分阶段预算是本轮新设实验条件。</w:t>
      </w:r>
    </w:p>
    <w:p>
      <w:r>
        <w:rPr>
          <w:rFonts w:ascii="Noto Sans CJK SC" w:hAnsi="Noto Sans CJK SC" w:eastAsia="Noto Sans CJK SC" w:cs="Noto Sans CJK SC"/>
          <w:b w:val="0"/>
          <w:sz w:val="18"/>
        </w:rPr>
        <w:t>[S1–S3] STK官方文档，2026-10-05核对。它们支持工具能力和参数含义，不支持“本参数一定有学习优势”的结论。</w:t>
      </w:r>
    </w:p>
    <w:p>
      <w:pPr>
        <w:spacing w:after="60"/>
      </w:pPr>
      <w:hyperlink r:id="rId11">
        <w:r>
          <w:rPr>
            <w:color w:val="176C75"/>
            <w:rFonts w:eastAsia="Noto Sans CJK SC" w:ascii="Noto Sans CJK SC" w:hAnsi="Noto Sans CJK SC"/>
            <w:sz w:val="18"/>
          </w:rPr>
          <w:t>[S1] Walker Tool：轨道面、槽位相位与Delta星座</w:t>
        </w:r>
      </w:hyperlink>
    </w:p>
    <w:p>
      <w:pPr>
        <w:spacing w:after="60"/>
      </w:pPr>
      <w:hyperlink r:id="rId12">
        <w:r>
          <w:rPr>
            <w:color w:val="176C75"/>
            <w:rFonts w:eastAsia="Noto Sans CJK SC" w:ascii="Noto Sans CJK SC" w:hAnsi="Noto Sans CJK SC"/>
            <w:sz w:val="18"/>
          </w:rPr>
          <w:t>[S2] Access Options：精确事件和时间收敛</w:t>
        </w:r>
      </w:hyperlink>
    </w:p>
    <w:p>
      <w:pPr>
        <w:spacing w:after="60"/>
      </w:pPr>
      <w:hyperlink r:id="rId13">
        <w:r>
          <w:rPr>
            <w:color w:val="176C75"/>
            <w:rFonts w:eastAsia="Noto Sans CJK SC" w:ascii="Noto Sans CJK SC" w:hAnsi="Noto Sans CJK SC"/>
            <w:sz w:val="18"/>
          </w:rPr>
          <w:t>[S3] J2 Perturbation：传播及初始状态设置</w:t>
        </w:r>
      </w:hyperlink>
    </w:p>
    <w:p>
      <w:r>
        <w:rPr>
          <w:rFonts w:ascii="Noto Sans CJK SC" w:hAnsi="Noto Sans CJK SC" w:eastAsia="Noto Sans CJK SC" w:cs="Noto Sans CJK SC"/>
          <w:b w:val="0"/>
          <w:sz w:val="18"/>
        </w:rPr>
        <w:t>状态声明：本交付物是独立执行方案和参数清单，不含STK场景运行结果、严格证书、模型训练或性能优势。所有数量与停止线均为开发起点；确认实验保留失败、未知与零机会结果。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879" w:left="1020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b w:val="0"/>
        <w:color w:val="526171"/>
        <w:sz w:val="16"/>
      </w:rPr>
      <w:t xml:space="preserve">2026-10-05 · v2.0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5" w:color="D5DEE6"/>
      </w:pBdr>
    </w:pPr>
    <w:r>
      <w:rPr>
        <w:rFonts w:ascii="Noto Sans CJK SC" w:hAnsi="Noto Sans CJK SC" w:eastAsia="Noto Sans CJK SC" w:cs="Noto Sans CJK SC"/>
        <w:b w:val="0"/>
        <w:color w:val="526171"/>
        <w:sz w:val="16"/>
      </w:rPr>
      <w:t>JointRecovery  |  独立仿真与实验执行方案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6C7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elp.agi.com/stk/12.10.0/Content/stk/tools-12.htm" TargetMode="External"/><Relationship Id="rId12" Type="http://schemas.openxmlformats.org/officeDocument/2006/relationships/hyperlink" Target="https://help.agi.com/stk/Content/stk/tools-01a.htm" TargetMode="External"/><Relationship Id="rId13" Type="http://schemas.openxmlformats.org/officeDocument/2006/relationships/hyperlink" Target="https://help.agi.com/stk/content/stk/vehSat_orbitProp_2bodyJ2J4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JointRecovery：独立STK仿真与分阶段实验方案</dc:title>
  <dc:subject>JointRecovery独立团队执行方案；完整可见窗口与链路时长目标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