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jc w:val="center"/>
      </w:pPr>
      <w:r>
        <w:rPr>
          <w:b/>
          <w:bCs/>
          <w:color w:val="0E5A60"/>
          <w:spacing w:val="40"/>
          <w:sz w:val="24"/>
          <w:szCs w:val="24"/>
        </w:rPr>
        <w:t xml:space="preserve">INTRODUCTORY MODULE</w:t>
      </w:r>
    </w:p>
    <w:p>
      <w:pPr>
        <w:spacing w:after="120"/>
        <w:jc w:val="center"/>
      </w:pPr>
      <w:r>
        <w:rPr>
          <w:b/>
          <w:bCs/>
          <w:color w:val="1D2426"/>
          <w:sz w:val="50"/>
          <w:szCs w:val="50"/>
        </w:rPr>
        <w:t xml:space="preserve">Dara's Coffee Cart</w:t>
      </w:r>
    </w:p>
    <w:p>
      <w:pPr>
        <w:spacing w:after="600"/>
        <w:jc w:val="center"/>
      </w:pPr>
      <w:r>
        <w:rPr>
          <w:i/>
          <w:iCs/>
          <w:color w:val="5A6567"/>
          <w:sz w:val="27"/>
          <w:szCs w:val="27"/>
        </w:rPr>
        <w:t xml:space="preserve">A First Encounter with the Four Ps</w:t>
      </w:r>
    </w:p>
    <w:p>
      <w:pPr>
        <w:spacing w:after="300"/>
        <w:jc w:val="center"/>
      </w:pPr>
      <w:r>
        <w:rPr>
          <w:color w:val="5A6567"/>
          <w:sz w:val="21"/>
          <w:szCs w:val="21"/>
        </w:rPr>
        <w:t xml:space="preserve">One session  |  400 words  |  No prior marketing knowledge assumed</w:t>
      </w:r>
    </w:p>
    <w:p>
      <w:pPr>
        <w:spacing w:after="1700"/>
        <w:jc w:val="center"/>
      </w:pPr>
      <w:r>
        <w:rPr>
          <w:color w:val="7A8385"/>
          <w:sz w:val="19"/>
          <w:szCs w:val="19"/>
        </w:rPr>
        <w:t xml:space="preserve">Module handbook, assignment brief, rubric and instructor answer key</w:t>
      </w:r>
    </w:p>
    <w:p>
      <w:pPr>
        <w:jc w:val="center"/>
      </w:pPr>
      <w:r>
        <w:rPr>
          <w:color w:val="7A8385"/>
          <w:sz w:val="17"/>
          <w:szCs w:val="17"/>
        </w:rPr>
        <w:t xml:space="preserve">Concepts drawn from Principles of Marketing (OpenStax, Rice University, 2023). CC BY 4.0</w:t>
      </w:r>
    </w:p>
    <w:p>
      <w:r>
        <w:br w:type="page"/>
      </w:r>
    </w:p>
    <w:p>
      <w:pPr>
        <w:pStyle w:val="Heading1"/>
        <w:spacing w:after="140" w:before="2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7A8385"/>
          <w:sz w:val="17"/>
          <w:szCs w:val="17"/>
        </w:rPr>
        <w:t xml:space="preserve">If the entries below are blank, open in Word, select all and press F9.</w:t>
      </w:r>
    </w:p>
    <w:p>
      <w:r>
        <w:br w:type="page"/>
      </w:r>
    </w:p>
    <w:p>
      <w:pPr>
        <w:pStyle w:val="Heading1"/>
        <w:spacing w:after="140" w:before="280"/>
      </w:pPr>
      <w:r>
        <w:t xml:space="preserve">Module Overview</w:t>
      </w:r>
    </w:p>
    <w:p>
      <w:pPr>
        <w:spacing w:after="120" w:line="276"/>
      </w:pPr>
      <w:r>
        <w:t xml:space="preserve">This module is a student’s first contact with the marketing mix. It assumes no prior study of marketing and can be completed in a single taught session of roughly ninety minutes, including the writing.</w:t>
      </w:r>
    </w:p>
    <w:p>
      <w:pPr>
        <w:spacing w:after="120" w:line="276"/>
      </w:pPr>
      <w:r>
        <w:t xml:space="preserve">The design principle is that the four Ps are only worth teaching as a system. Taught as four separate topics they read as a list to memorise; taught as four decisions that constrain one another they become a way of thinking.</w:t>
      </w:r>
    </w:p>
    <w:p>
      <w:pPr>
        <w:spacing w:after="120" w:line="276"/>
      </w:pPr>
      <w:r>
        <w:t xml:space="preserve">The task is therefore a single short essay rather than a set of boxes. Students must cover all four decisions, but they choose how to organise the argument, and that choice is itself assessed. A student who writes four paragraphs in a row has produced a list; one who leads with what Dara is actually selling and lets the four decisions fall out of it has produced an argument. The gap between those two essays is the gap between a Pass and a Distinction, and no amount of scaffolding would reveal it.</w:t>
      </w:r>
    </w:p>
    <w:p>
      <w:pPr>
        <w:spacing w:after="120" w:line="276"/>
      </w:pPr>
      <w:r>
        <w:t xml:space="preserve">The case is deliberately small. A coffee cart has no jargon barrier, and every student already has an instinct about where they would buy coffee and what they would pay. The instinct is the starting point; the book supplies the vocabulary to test it.</w:t>
      </w:r>
    </w:p>
    <w:p>
      <w:pPr>
        <w:pStyle w:val="Heading1"/>
        <w:spacing w:after="140" w:before="280"/>
      </w:pPr>
      <w:r>
        <w:t xml:space="preserve">Learning Outcomes</w:t>
      </w:r>
    </w:p>
    <w:p>
      <w:pPr>
        <w:spacing w:after="120" w:line="276"/>
      </w:pPr>
      <w:r>
        <w:t xml:space="preserve">On completing this module, students will be able to:</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1200"/>
        <w:gridCol w:w="6326"/>
        <w:gridCol w:w="1500"/>
      </w:tblGrid>
      <w:tr>
        <w:trPr>
          <w:tblHeader/>
        </w:trPr>
        <w:tc>
          <w:tcPr>
            <w:tcW w:type="dxa" w:w="1200"/>
            <w:shd w:fill="E3EFEF" w:color="auto" w:val="clear"/>
            <w:tcMar>
              <w:top w:type="dxa" w:w="80"/>
              <w:left w:type="dxa" w:w="110"/>
              <w:bottom w:type="dxa" w:w="80"/>
              <w:right w:type="dxa" w:w="110"/>
            </w:tcMar>
          </w:tcPr>
          <w:p>
            <w:pPr>
              <w:spacing w:after="0"/>
            </w:pPr>
            <w:r>
              <w:rPr>
                <w:b/>
                <w:bCs/>
                <w:color w:val="0E5A60"/>
                <w:sz w:val="19"/>
                <w:szCs w:val="19"/>
              </w:rPr>
              <w:t xml:space="preserve">Ref.</w:t>
            </w:r>
          </w:p>
        </w:tc>
        <w:tc>
          <w:tcPr>
            <w:tcW w:type="dxa" w:w="6326"/>
            <w:shd w:fill="E3EFEF" w:color="auto" w:val="clear"/>
            <w:tcMar>
              <w:top w:type="dxa" w:w="80"/>
              <w:left w:type="dxa" w:w="110"/>
              <w:bottom w:type="dxa" w:w="80"/>
              <w:right w:type="dxa" w:w="110"/>
            </w:tcMar>
          </w:tcPr>
          <w:p>
            <w:pPr>
              <w:spacing w:after="0"/>
            </w:pPr>
            <w:r>
              <w:rPr>
                <w:b/>
                <w:bCs/>
                <w:color w:val="0E5A60"/>
                <w:sz w:val="19"/>
                <w:szCs w:val="19"/>
              </w:rPr>
              <w:t xml:space="preserve">Outcome</w:t>
            </w:r>
          </w:p>
        </w:tc>
        <w:tc>
          <w:tcPr>
            <w:tcW w:type="dxa" w:w="1500"/>
            <w:shd w:fill="E3EFEF" w:color="auto" w:val="clear"/>
            <w:tcMar>
              <w:top w:type="dxa" w:w="80"/>
              <w:left w:type="dxa" w:w="110"/>
              <w:bottom w:type="dxa" w:w="80"/>
              <w:right w:type="dxa" w:w="110"/>
            </w:tcMar>
          </w:tcPr>
          <w:p>
            <w:pPr>
              <w:spacing w:after="0"/>
            </w:pPr>
            <w:r>
              <w:rPr>
                <w:b/>
                <w:bCs/>
                <w:color w:val="0E5A60"/>
                <w:sz w:val="19"/>
                <w:szCs w:val="19"/>
              </w:rPr>
              <w:t xml:space="preserve">Source</w:t>
            </w:r>
          </w:p>
        </w:tc>
      </w:tr>
      <w:tr>
        <w:tc>
          <w:tcPr>
            <w:tcW w:type="dxa" w:w="1200"/>
            <w:tcMar>
              <w:top w:type="dxa" w:w="80"/>
              <w:left w:type="dxa" w:w="110"/>
              <w:bottom w:type="dxa" w:w="80"/>
              <w:right w:type="dxa" w:w="110"/>
            </w:tcMar>
          </w:tcPr>
          <w:p>
            <w:pPr>
              <w:spacing w:after="0"/>
            </w:pPr>
            <w:r>
              <w:rPr>
                <w:b/>
                <w:bCs/>
                <w:sz w:val="18"/>
                <w:szCs w:val="18"/>
              </w:rPr>
              <w:t xml:space="preserve">MLO1</w:t>
            </w:r>
          </w:p>
        </w:tc>
        <w:tc>
          <w:tcPr>
            <w:tcW w:type="dxa" w:w="6326"/>
            <w:tcMar>
              <w:top w:type="dxa" w:w="80"/>
              <w:left w:type="dxa" w:w="110"/>
              <w:bottom w:type="dxa" w:w="80"/>
              <w:right w:type="dxa" w:w="110"/>
            </w:tcMar>
          </w:tcPr>
          <w:p>
            <w:pPr>
              <w:spacing w:after="0"/>
            </w:pPr>
            <w:r>
              <w:rPr>
                <w:sz w:val="18"/>
                <w:szCs w:val="18"/>
              </w:rPr>
              <w:t xml:space="preserve">Identify the four Ps of the marketing mix and explain what each one covers.</w:t>
            </w:r>
          </w:p>
        </w:tc>
        <w:tc>
          <w:tcPr>
            <w:tcW w:type="dxa" w:w="1500"/>
            <w:tcMar>
              <w:top w:type="dxa" w:w="80"/>
              <w:left w:type="dxa" w:w="110"/>
              <w:bottom w:type="dxa" w:w="80"/>
              <w:right w:type="dxa" w:w="110"/>
            </w:tcMar>
          </w:tcPr>
          <w:p>
            <w:pPr>
              <w:spacing w:after="0"/>
            </w:pPr>
            <w:r>
              <w:rPr>
                <w:color w:val="5A6567"/>
                <w:sz w:val="18"/>
                <w:szCs w:val="18"/>
              </w:rPr>
              <w:t xml:space="preserve">§1.2, p. 18</w:t>
            </w:r>
          </w:p>
        </w:tc>
      </w:tr>
      <w:tr>
        <w:tc>
          <w:tcPr>
            <w:tcW w:type="dxa" w:w="1200"/>
            <w:tcMar>
              <w:top w:type="dxa" w:w="80"/>
              <w:left w:type="dxa" w:w="110"/>
              <w:bottom w:type="dxa" w:w="80"/>
              <w:right w:type="dxa" w:w="110"/>
            </w:tcMar>
          </w:tcPr>
          <w:p>
            <w:pPr>
              <w:spacing w:after="0"/>
            </w:pPr>
            <w:r>
              <w:rPr>
                <w:b/>
                <w:bCs/>
                <w:sz w:val="18"/>
                <w:szCs w:val="18"/>
              </w:rPr>
              <w:t xml:space="preserve">MLO2</w:t>
            </w:r>
          </w:p>
        </w:tc>
        <w:tc>
          <w:tcPr>
            <w:tcW w:type="dxa" w:w="6326"/>
            <w:tcMar>
              <w:top w:type="dxa" w:w="80"/>
              <w:left w:type="dxa" w:w="110"/>
              <w:bottom w:type="dxa" w:w="80"/>
              <w:right w:type="dxa" w:w="110"/>
            </w:tcMar>
          </w:tcPr>
          <w:p>
            <w:pPr>
              <w:spacing w:after="0"/>
            </w:pPr>
            <w:r>
              <w:rPr>
                <w:sz w:val="18"/>
                <w:szCs w:val="18"/>
              </w:rPr>
              <w:t xml:space="preserve">Distinguish the core, actual and augmented layers of a product and say what a customer is really buying.</w:t>
            </w:r>
          </w:p>
        </w:tc>
        <w:tc>
          <w:tcPr>
            <w:tcW w:type="dxa" w:w="1500"/>
            <w:tcMar>
              <w:top w:type="dxa" w:w="80"/>
              <w:left w:type="dxa" w:w="110"/>
              <w:bottom w:type="dxa" w:w="80"/>
              <w:right w:type="dxa" w:w="110"/>
            </w:tcMar>
          </w:tcPr>
          <w:p>
            <w:pPr>
              <w:spacing w:after="0"/>
            </w:pPr>
            <w:r>
              <w:rPr>
                <w:color w:val="5A6567"/>
                <w:sz w:val="18"/>
                <w:szCs w:val="18"/>
              </w:rPr>
              <w:t xml:space="preserve">§9.1, p. 308</w:t>
            </w:r>
          </w:p>
        </w:tc>
      </w:tr>
      <w:tr>
        <w:tc>
          <w:tcPr>
            <w:tcW w:type="dxa" w:w="1200"/>
            <w:tcMar>
              <w:top w:type="dxa" w:w="80"/>
              <w:left w:type="dxa" w:w="110"/>
              <w:bottom w:type="dxa" w:w="80"/>
              <w:right w:type="dxa" w:w="110"/>
            </w:tcMar>
          </w:tcPr>
          <w:p>
            <w:pPr>
              <w:spacing w:after="0"/>
            </w:pPr>
            <w:r>
              <w:rPr>
                <w:b/>
                <w:bCs/>
                <w:sz w:val="18"/>
                <w:szCs w:val="18"/>
              </w:rPr>
              <w:t xml:space="preserve">MLO3</w:t>
            </w:r>
          </w:p>
        </w:tc>
        <w:tc>
          <w:tcPr>
            <w:tcW w:type="dxa" w:w="6326"/>
            <w:tcMar>
              <w:top w:type="dxa" w:w="80"/>
              <w:left w:type="dxa" w:w="110"/>
              <w:bottom w:type="dxa" w:w="80"/>
              <w:right w:type="dxa" w:w="110"/>
            </w:tcMar>
          </w:tcPr>
          <w:p>
            <w:pPr>
              <w:spacing w:after="0"/>
            </w:pPr>
            <w:r>
              <w:rPr>
                <w:sz w:val="18"/>
                <w:szCs w:val="18"/>
              </w:rPr>
              <w:t xml:space="preserve">Set a price for a simple offering and defend it against cost, customers and competition.</w:t>
            </w:r>
          </w:p>
        </w:tc>
        <w:tc>
          <w:tcPr>
            <w:tcW w:type="dxa" w:w="1500"/>
            <w:tcMar>
              <w:top w:type="dxa" w:w="80"/>
              <w:left w:type="dxa" w:w="110"/>
              <w:bottom w:type="dxa" w:w="80"/>
              <w:right w:type="dxa" w:w="110"/>
            </w:tcMar>
          </w:tcPr>
          <w:p>
            <w:pPr>
              <w:spacing w:after="0"/>
            </w:pPr>
            <w:r>
              <w:rPr>
                <w:color w:val="5A6567"/>
                <w:sz w:val="18"/>
                <w:szCs w:val="18"/>
              </w:rPr>
              <w:t xml:space="preserve">§12.1–12.2, pp. 406, 411</w:t>
            </w:r>
          </w:p>
        </w:tc>
      </w:tr>
      <w:tr>
        <w:tc>
          <w:tcPr>
            <w:tcW w:type="dxa" w:w="1200"/>
            <w:tcMar>
              <w:top w:type="dxa" w:w="80"/>
              <w:left w:type="dxa" w:w="110"/>
              <w:bottom w:type="dxa" w:w="80"/>
              <w:right w:type="dxa" w:w="110"/>
            </w:tcMar>
          </w:tcPr>
          <w:p>
            <w:pPr>
              <w:spacing w:after="0"/>
            </w:pPr>
            <w:r>
              <w:rPr>
                <w:b/>
                <w:bCs/>
                <w:sz w:val="18"/>
                <w:szCs w:val="18"/>
              </w:rPr>
              <w:t xml:space="preserve">MLO4</w:t>
            </w:r>
          </w:p>
        </w:tc>
        <w:tc>
          <w:tcPr>
            <w:tcW w:type="dxa" w:w="6326"/>
            <w:tcMar>
              <w:top w:type="dxa" w:w="80"/>
              <w:left w:type="dxa" w:w="110"/>
              <w:bottom w:type="dxa" w:w="80"/>
              <w:right w:type="dxa" w:w="110"/>
            </w:tcMar>
          </w:tcPr>
          <w:p>
            <w:pPr>
              <w:spacing w:after="0"/>
            </w:pPr>
            <w:r>
              <w:rPr>
                <w:sz w:val="18"/>
                <w:szCs w:val="18"/>
              </w:rPr>
              <w:t xml:space="preserve">Select promotional methods appropriate to a business with almost no budget.</w:t>
            </w:r>
          </w:p>
        </w:tc>
        <w:tc>
          <w:tcPr>
            <w:tcW w:type="dxa" w:w="1500"/>
            <w:tcMar>
              <w:top w:type="dxa" w:w="80"/>
              <w:left w:type="dxa" w:w="110"/>
              <w:bottom w:type="dxa" w:w="80"/>
              <w:right w:type="dxa" w:w="110"/>
            </w:tcMar>
          </w:tcPr>
          <w:p>
            <w:pPr>
              <w:spacing w:after="0"/>
            </w:pPr>
            <w:r>
              <w:rPr>
                <w:color w:val="5A6567"/>
                <w:sz w:val="18"/>
                <w:szCs w:val="18"/>
              </w:rPr>
              <w:t xml:space="preserve">§13.1, p. 438</w:t>
            </w:r>
          </w:p>
        </w:tc>
      </w:tr>
      <w:tr>
        <w:tc>
          <w:tcPr>
            <w:tcW w:type="dxa" w:w="1200"/>
            <w:tcMar>
              <w:top w:type="dxa" w:w="80"/>
              <w:left w:type="dxa" w:w="110"/>
              <w:bottom w:type="dxa" w:w="80"/>
              <w:right w:type="dxa" w:w="110"/>
            </w:tcMar>
          </w:tcPr>
          <w:p>
            <w:pPr>
              <w:spacing w:after="0"/>
            </w:pPr>
            <w:r>
              <w:rPr>
                <w:b/>
                <w:bCs/>
                <w:sz w:val="18"/>
                <w:szCs w:val="18"/>
              </w:rPr>
              <w:t xml:space="preserve">MLO5</w:t>
            </w:r>
          </w:p>
        </w:tc>
        <w:tc>
          <w:tcPr>
            <w:tcW w:type="dxa" w:w="6326"/>
            <w:tcMar>
              <w:top w:type="dxa" w:w="80"/>
              <w:left w:type="dxa" w:w="110"/>
              <w:bottom w:type="dxa" w:w="80"/>
              <w:right w:type="dxa" w:w="110"/>
            </w:tcMar>
          </w:tcPr>
          <w:p>
            <w:pPr>
              <w:spacing w:after="0"/>
            </w:pPr>
            <w:r>
              <w:rPr>
                <w:sz w:val="18"/>
                <w:szCs w:val="18"/>
              </w:rPr>
              <w:t xml:space="preserve">Organise short business advice as a connected argument in which one decision leads to the next.</w:t>
            </w:r>
          </w:p>
        </w:tc>
        <w:tc>
          <w:tcPr>
            <w:tcW w:type="dxa" w:w="1500"/>
            <w:tcMar>
              <w:top w:type="dxa" w:w="80"/>
              <w:left w:type="dxa" w:w="110"/>
              <w:bottom w:type="dxa" w:w="80"/>
              <w:right w:type="dxa" w:w="110"/>
            </w:tcMar>
          </w:tcPr>
          <w:p>
            <w:pPr>
              <w:spacing w:after="0"/>
            </w:pPr>
            <w:r>
              <w:rPr>
                <w:color w:val="5A6567"/>
                <w:sz w:val="18"/>
                <w:szCs w:val="18"/>
              </w:rPr>
              <w:t xml:space="preserve">§1.2, p. 18</w:t>
            </w:r>
          </w:p>
        </w:tc>
      </w:tr>
    </w:tbl>
    <w:p>
      <w:pPr>
        <w:pStyle w:val="Heading1"/>
        <w:spacing w:after="140" w:before="280"/>
      </w:pPr>
      <w:r>
        <w:t xml:space="preserve">Reading</w:t>
      </w:r>
    </w:p>
    <w:p>
      <w:pPr>
        <w:spacing w:after="120" w:line="276"/>
      </w:pPr>
      <w:r>
        <w:t xml:space="preserve">Students need §1.2 before they start. Everything else can be read as they go.</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1300"/>
        <w:gridCol w:w="5726"/>
        <w:gridCol w:w="2000"/>
      </w:tblGrid>
      <w:tr>
        <w:trPr>
          <w:tblHeader/>
        </w:trPr>
        <w:tc>
          <w:tcPr>
            <w:tcW w:type="dxa" w:w="1300"/>
            <w:shd w:fill="E3EFEF" w:color="auto" w:val="clear"/>
            <w:tcMar>
              <w:top w:type="dxa" w:w="80"/>
              <w:left w:type="dxa" w:w="110"/>
              <w:bottom w:type="dxa" w:w="80"/>
              <w:right w:type="dxa" w:w="110"/>
            </w:tcMar>
          </w:tcPr>
          <w:p>
            <w:pPr>
              <w:spacing w:after="0"/>
            </w:pPr>
            <w:r>
              <w:rPr>
                <w:b/>
                <w:bCs/>
                <w:color w:val="0E5A60"/>
                <w:sz w:val="19"/>
                <w:szCs w:val="19"/>
              </w:rPr>
              <w:t xml:space="preserve">Section</w:t>
            </w:r>
          </w:p>
        </w:tc>
        <w:tc>
          <w:tcPr>
            <w:tcW w:type="dxa" w:w="5726"/>
            <w:shd w:fill="E3EFEF" w:color="auto" w:val="clear"/>
            <w:tcMar>
              <w:top w:type="dxa" w:w="80"/>
              <w:left w:type="dxa" w:w="110"/>
              <w:bottom w:type="dxa" w:w="80"/>
              <w:right w:type="dxa" w:w="110"/>
            </w:tcMar>
          </w:tcPr>
          <w:p>
            <w:pPr>
              <w:spacing w:after="0"/>
            </w:pPr>
            <w:r>
              <w:rPr>
                <w:b/>
                <w:bCs/>
                <w:color w:val="0E5A60"/>
                <w:sz w:val="19"/>
                <w:szCs w:val="19"/>
              </w:rPr>
              <w:t xml:space="preserve">Title</w:t>
            </w:r>
          </w:p>
        </w:tc>
        <w:tc>
          <w:tcPr>
            <w:tcW w:type="dxa" w:w="2000"/>
            <w:shd w:fill="E3EFEF" w:color="auto" w:val="clear"/>
            <w:tcMar>
              <w:top w:type="dxa" w:w="80"/>
              <w:left w:type="dxa" w:w="110"/>
              <w:bottom w:type="dxa" w:w="80"/>
              <w:right w:type="dxa" w:w="110"/>
            </w:tcMar>
          </w:tcPr>
          <w:p>
            <w:pPr>
              <w:spacing w:after="0"/>
            </w:pPr>
            <w:r>
              <w:rPr>
                <w:b/>
                <w:bCs/>
                <w:color w:val="0E5A60"/>
                <w:sz w:val="19"/>
                <w:szCs w:val="19"/>
              </w:rPr>
              <w:t xml:space="preserve">When</w:t>
            </w:r>
          </w:p>
        </w:tc>
      </w:tr>
      <w:tr>
        <w:tc>
          <w:tcPr>
            <w:tcW w:type="dxa" w:w="1300"/>
            <w:shd w:fill="E3EFEF" w:color="auto" w:val="clear"/>
            <w:tcMar>
              <w:top w:type="dxa" w:w="80"/>
              <w:left w:type="dxa" w:w="110"/>
              <w:bottom w:type="dxa" w:w="80"/>
              <w:right w:type="dxa" w:w="110"/>
            </w:tcMar>
          </w:tcPr>
          <w:p>
            <w:pPr>
              <w:spacing w:after="0"/>
            </w:pPr>
            <w:r>
              <w:rPr>
                <w:b/>
                <w:bCs/>
                <w:sz w:val="18"/>
                <w:szCs w:val="18"/>
              </w:rPr>
              <w:t xml:space="preserve">§1.2</w:t>
            </w:r>
          </w:p>
        </w:tc>
        <w:tc>
          <w:tcPr>
            <w:tcW w:type="dxa" w:w="5726"/>
            <w:tcMar>
              <w:top w:type="dxa" w:w="80"/>
              <w:left w:type="dxa" w:w="110"/>
              <w:bottom w:type="dxa" w:w="80"/>
              <w:right w:type="dxa" w:w="110"/>
            </w:tcMar>
          </w:tcPr>
          <w:p>
            <w:pPr>
              <w:spacing w:after="0"/>
            </w:pPr>
            <w:r>
              <w:rPr>
                <w:b w:val="false"/>
                <w:bCs w:val="false"/>
                <w:sz w:val="18"/>
                <w:szCs w:val="18"/>
              </w:rPr>
              <w:t xml:space="preserve">The Marketing Mix and the 4Ps of Marketing (p. 18)</w:t>
            </w:r>
          </w:p>
        </w:tc>
        <w:tc>
          <w:tcPr>
            <w:tcW w:type="dxa" w:w="2000"/>
            <w:tcMar>
              <w:top w:type="dxa" w:w="80"/>
              <w:left w:type="dxa" w:w="110"/>
              <w:bottom w:type="dxa" w:w="80"/>
              <w:right w:type="dxa" w:w="110"/>
            </w:tcMar>
          </w:tcPr>
          <w:p>
            <w:pPr>
              <w:spacing w:after="0"/>
            </w:pPr>
            <w:r>
              <w:rPr>
                <w:b w:val="false"/>
                <w:bCs w:val="false"/>
                <w:sz w:val="18"/>
                <w:szCs w:val="18"/>
              </w:rPr>
              <w:t xml:space="preserve">Before starting</w:t>
            </w:r>
          </w:p>
        </w:tc>
      </w:tr>
      <w:tr>
        <w:tc>
          <w:tcPr>
            <w:tcW w:type="dxa" w:w="1300"/>
            <w:shd w:fill="E3EFEF" w:color="auto" w:val="clear"/>
            <w:tcMar>
              <w:top w:type="dxa" w:w="80"/>
              <w:left w:type="dxa" w:w="110"/>
              <w:bottom w:type="dxa" w:w="80"/>
              <w:right w:type="dxa" w:w="110"/>
            </w:tcMar>
          </w:tcPr>
          <w:p>
            <w:pPr>
              <w:spacing w:after="0"/>
            </w:pPr>
            <w:r>
              <w:rPr>
                <w:b/>
                <w:bCs/>
                <w:sz w:val="18"/>
                <w:szCs w:val="18"/>
              </w:rPr>
              <w:t xml:space="preserve">§9.1</w:t>
            </w:r>
          </w:p>
        </w:tc>
        <w:tc>
          <w:tcPr>
            <w:tcW w:type="dxa" w:w="5726"/>
            <w:tcMar>
              <w:top w:type="dxa" w:w="80"/>
              <w:left w:type="dxa" w:w="110"/>
              <w:bottom w:type="dxa" w:w="80"/>
              <w:right w:type="dxa" w:w="110"/>
            </w:tcMar>
          </w:tcPr>
          <w:p>
            <w:pPr>
              <w:spacing w:after="0"/>
            </w:pPr>
            <w:r>
              <w:rPr>
                <w:b w:val="false"/>
                <w:bCs w:val="false"/>
                <w:sz w:val="18"/>
                <w:szCs w:val="18"/>
              </w:rPr>
              <w:t xml:space="preserve">Products, Services, and Experiences (p. 308)</w:t>
            </w:r>
          </w:p>
        </w:tc>
        <w:tc>
          <w:tcPr>
            <w:tcW w:type="dxa" w:w="2000"/>
            <w:tcMar>
              <w:top w:type="dxa" w:w="80"/>
              <w:left w:type="dxa" w:w="110"/>
              <w:bottom w:type="dxa" w:w="80"/>
              <w:right w:type="dxa" w:w="110"/>
            </w:tcMar>
          </w:tcPr>
          <w:p>
            <w:pPr>
              <w:spacing w:after="0"/>
            </w:pPr>
            <w:r>
              <w:rPr>
                <w:b w:val="false"/>
                <w:bCs w:val="false"/>
                <w:sz w:val="18"/>
                <w:szCs w:val="18"/>
              </w:rPr>
              <w:t xml:space="preserve">For what she sells</w:t>
            </w:r>
          </w:p>
        </w:tc>
      </w:tr>
      <w:tr>
        <w:tc>
          <w:tcPr>
            <w:tcW w:type="dxa" w:w="1300"/>
            <w:shd w:fill="E3EFEF" w:color="auto" w:val="clear"/>
            <w:tcMar>
              <w:top w:type="dxa" w:w="80"/>
              <w:left w:type="dxa" w:w="110"/>
              <w:bottom w:type="dxa" w:w="80"/>
              <w:right w:type="dxa" w:w="110"/>
            </w:tcMar>
          </w:tcPr>
          <w:p>
            <w:pPr>
              <w:spacing w:after="0"/>
            </w:pPr>
            <w:r>
              <w:rPr>
                <w:b/>
                <w:bCs/>
                <w:sz w:val="18"/>
                <w:szCs w:val="18"/>
              </w:rPr>
              <w:t xml:space="preserve">§12.1</w:t>
            </w:r>
          </w:p>
        </w:tc>
        <w:tc>
          <w:tcPr>
            <w:tcW w:type="dxa" w:w="5726"/>
            <w:tcMar>
              <w:top w:type="dxa" w:w="80"/>
              <w:left w:type="dxa" w:w="110"/>
              <w:bottom w:type="dxa" w:w="80"/>
              <w:right w:type="dxa" w:w="110"/>
            </w:tcMar>
          </w:tcPr>
          <w:p>
            <w:pPr>
              <w:spacing w:after="0"/>
            </w:pPr>
            <w:r>
              <w:rPr>
                <w:b w:val="false"/>
                <w:bCs w:val="false"/>
                <w:sz w:val="18"/>
                <w:szCs w:val="18"/>
              </w:rPr>
              <w:t xml:space="preserve">Pricing and Its Role in the Marketing Mix (p. 406)</w:t>
            </w:r>
          </w:p>
        </w:tc>
        <w:tc>
          <w:tcPr>
            <w:tcW w:type="dxa" w:w="2000"/>
            <w:tcMar>
              <w:top w:type="dxa" w:w="80"/>
              <w:left w:type="dxa" w:w="110"/>
              <w:bottom w:type="dxa" w:w="80"/>
              <w:right w:type="dxa" w:w="110"/>
            </w:tcMar>
          </w:tcPr>
          <w:p>
            <w:pPr>
              <w:spacing w:after="0"/>
            </w:pPr>
            <w:r>
              <w:rPr>
                <w:b w:val="false"/>
                <w:bCs w:val="false"/>
                <w:sz w:val="18"/>
                <w:szCs w:val="18"/>
              </w:rPr>
              <w:t xml:space="preserve">For what she charges</w:t>
            </w:r>
          </w:p>
        </w:tc>
      </w:tr>
      <w:tr>
        <w:tc>
          <w:tcPr>
            <w:tcW w:type="dxa" w:w="1300"/>
            <w:shd w:fill="E3EFEF" w:color="auto" w:val="clear"/>
            <w:tcMar>
              <w:top w:type="dxa" w:w="80"/>
              <w:left w:type="dxa" w:w="110"/>
              <w:bottom w:type="dxa" w:w="80"/>
              <w:right w:type="dxa" w:w="110"/>
            </w:tcMar>
          </w:tcPr>
          <w:p>
            <w:pPr>
              <w:spacing w:after="0"/>
            </w:pPr>
            <w:r>
              <w:rPr>
                <w:b/>
                <w:bCs/>
                <w:sz w:val="18"/>
                <w:szCs w:val="18"/>
              </w:rPr>
              <w:t xml:space="preserve">§12.2</w:t>
            </w:r>
          </w:p>
        </w:tc>
        <w:tc>
          <w:tcPr>
            <w:tcW w:type="dxa" w:w="5726"/>
            <w:tcMar>
              <w:top w:type="dxa" w:w="80"/>
              <w:left w:type="dxa" w:w="110"/>
              <w:bottom w:type="dxa" w:w="80"/>
              <w:right w:type="dxa" w:w="110"/>
            </w:tcMar>
          </w:tcPr>
          <w:p>
            <w:pPr>
              <w:spacing w:after="0"/>
            </w:pPr>
            <w:r>
              <w:rPr>
                <w:b w:val="false"/>
                <w:bCs w:val="false"/>
                <w:sz w:val="18"/>
                <w:szCs w:val="18"/>
              </w:rPr>
              <w:t xml:space="preserve">The Five Critical Cs of Pricing (p. 411)</w:t>
            </w:r>
          </w:p>
        </w:tc>
        <w:tc>
          <w:tcPr>
            <w:tcW w:type="dxa" w:w="2000"/>
            <w:tcMar>
              <w:top w:type="dxa" w:w="80"/>
              <w:left w:type="dxa" w:w="110"/>
              <w:bottom w:type="dxa" w:w="80"/>
              <w:right w:type="dxa" w:w="110"/>
            </w:tcMar>
          </w:tcPr>
          <w:p>
            <w:pPr>
              <w:spacing w:after="0"/>
            </w:pPr>
            <w:r>
              <w:rPr>
                <w:b w:val="false"/>
                <w:bCs w:val="false"/>
                <w:sz w:val="18"/>
                <w:szCs w:val="18"/>
              </w:rPr>
              <w:t xml:space="preserve">For what she charges</w:t>
            </w:r>
          </w:p>
        </w:tc>
      </w:tr>
      <w:tr>
        <w:tc>
          <w:tcPr>
            <w:tcW w:type="dxa" w:w="1300"/>
            <w:shd w:fill="E3EFEF" w:color="auto" w:val="clear"/>
            <w:tcMar>
              <w:top w:type="dxa" w:w="80"/>
              <w:left w:type="dxa" w:w="110"/>
              <w:bottom w:type="dxa" w:w="80"/>
              <w:right w:type="dxa" w:w="110"/>
            </w:tcMar>
          </w:tcPr>
          <w:p>
            <w:pPr>
              <w:spacing w:after="0"/>
            </w:pPr>
            <w:r>
              <w:rPr>
                <w:b/>
                <w:bCs/>
                <w:sz w:val="18"/>
                <w:szCs w:val="18"/>
              </w:rPr>
              <w:t xml:space="preserve">§17.2</w:t>
            </w:r>
          </w:p>
        </w:tc>
        <w:tc>
          <w:tcPr>
            <w:tcW w:type="dxa" w:w="5726"/>
            <w:tcMar>
              <w:top w:type="dxa" w:w="80"/>
              <w:left w:type="dxa" w:w="110"/>
              <w:bottom w:type="dxa" w:w="80"/>
              <w:right w:type="dxa" w:w="110"/>
            </w:tcMar>
          </w:tcPr>
          <w:p>
            <w:pPr>
              <w:spacing w:after="0"/>
            </w:pPr>
            <w:r>
              <w:rPr>
                <w:b w:val="false"/>
                <w:bCs w:val="false"/>
                <w:sz w:val="18"/>
                <w:szCs w:val="18"/>
              </w:rPr>
              <w:t xml:space="preserve">Types of Marketing Channels (p. 582)</w:t>
            </w:r>
          </w:p>
        </w:tc>
        <w:tc>
          <w:tcPr>
            <w:tcW w:type="dxa" w:w="2000"/>
            <w:tcMar>
              <w:top w:type="dxa" w:w="80"/>
              <w:left w:type="dxa" w:w="110"/>
              <w:bottom w:type="dxa" w:w="80"/>
              <w:right w:type="dxa" w:w="110"/>
            </w:tcMar>
          </w:tcPr>
          <w:p>
            <w:pPr>
              <w:spacing w:after="0"/>
            </w:pPr>
            <w:r>
              <w:rPr>
                <w:b w:val="false"/>
                <w:bCs w:val="false"/>
                <w:sz w:val="18"/>
                <w:szCs w:val="18"/>
              </w:rPr>
              <w:t xml:space="preserve">For where she parks</w:t>
            </w:r>
          </w:p>
        </w:tc>
      </w:tr>
      <w:tr>
        <w:tc>
          <w:tcPr>
            <w:tcW w:type="dxa" w:w="1300"/>
            <w:shd w:fill="E3EFEF" w:color="auto" w:val="clear"/>
            <w:tcMar>
              <w:top w:type="dxa" w:w="80"/>
              <w:left w:type="dxa" w:w="110"/>
              <w:bottom w:type="dxa" w:w="80"/>
              <w:right w:type="dxa" w:w="110"/>
            </w:tcMar>
          </w:tcPr>
          <w:p>
            <w:pPr>
              <w:spacing w:after="0"/>
            </w:pPr>
            <w:r>
              <w:rPr>
                <w:b/>
                <w:bCs/>
                <w:sz w:val="18"/>
                <w:szCs w:val="18"/>
              </w:rPr>
              <w:t xml:space="preserve">§13.1</w:t>
            </w:r>
          </w:p>
        </w:tc>
        <w:tc>
          <w:tcPr>
            <w:tcW w:type="dxa" w:w="5726"/>
            <w:tcMar>
              <w:top w:type="dxa" w:w="80"/>
              <w:left w:type="dxa" w:w="110"/>
              <w:bottom w:type="dxa" w:w="80"/>
              <w:right w:type="dxa" w:w="110"/>
            </w:tcMar>
          </w:tcPr>
          <w:p>
            <w:pPr>
              <w:spacing w:after="0"/>
            </w:pPr>
            <w:r>
              <w:rPr>
                <w:b w:val="false"/>
                <w:bCs w:val="false"/>
                <w:sz w:val="18"/>
                <w:szCs w:val="18"/>
              </w:rPr>
              <w:t xml:space="preserve">The Promotion Mix and Its Elements (p. 438)</w:t>
            </w:r>
          </w:p>
        </w:tc>
        <w:tc>
          <w:tcPr>
            <w:tcW w:type="dxa" w:w="2000"/>
            <w:tcMar>
              <w:top w:type="dxa" w:w="80"/>
              <w:left w:type="dxa" w:w="110"/>
              <w:bottom w:type="dxa" w:w="80"/>
              <w:right w:type="dxa" w:w="110"/>
            </w:tcMar>
          </w:tcPr>
          <w:p>
            <w:pPr>
              <w:spacing w:after="0"/>
            </w:pPr>
            <w:r>
              <w:rPr>
                <w:b w:val="false"/>
                <w:bCs w:val="false"/>
                <w:sz w:val="18"/>
                <w:szCs w:val="18"/>
              </w:rPr>
              <w:t xml:space="preserve">For how people find out</w:t>
            </w:r>
          </w:p>
        </w:tc>
      </w:tr>
      <w:tr>
        <w:tc>
          <w:tcPr>
            <w:tcW w:type="dxa" w:w="1300"/>
            <w:shd w:fill="E3EFEF" w:color="auto" w:val="clear"/>
            <w:tcMar>
              <w:top w:type="dxa" w:w="80"/>
              <w:left w:type="dxa" w:w="110"/>
              <w:bottom w:type="dxa" w:w="80"/>
              <w:right w:type="dxa" w:w="110"/>
            </w:tcMar>
          </w:tcPr>
          <w:p>
            <w:pPr>
              <w:spacing w:after="0"/>
            </w:pPr>
            <w:r>
              <w:rPr>
                <w:b/>
                <w:bCs/>
                <w:sz w:val="18"/>
                <w:szCs w:val="18"/>
              </w:rPr>
              <w:t xml:space="preserve">§1.1</w:t>
            </w:r>
          </w:p>
        </w:tc>
        <w:tc>
          <w:tcPr>
            <w:tcW w:type="dxa" w:w="5726"/>
            <w:tcMar>
              <w:top w:type="dxa" w:w="80"/>
              <w:left w:type="dxa" w:w="110"/>
              <w:bottom w:type="dxa" w:w="80"/>
              <w:right w:type="dxa" w:w="110"/>
            </w:tcMar>
          </w:tcPr>
          <w:p>
            <w:pPr>
              <w:spacing w:after="0"/>
            </w:pPr>
            <w:r>
              <w:rPr>
                <w:b w:val="false"/>
                <w:bCs w:val="false"/>
                <w:sz w:val="18"/>
                <w:szCs w:val="18"/>
              </w:rPr>
              <w:t xml:space="preserve">What is marketing? (p. 12)</w:t>
            </w:r>
          </w:p>
        </w:tc>
        <w:tc>
          <w:tcPr>
            <w:tcW w:type="dxa" w:w="2000"/>
            <w:tcMar>
              <w:top w:type="dxa" w:w="80"/>
              <w:left w:type="dxa" w:w="110"/>
              <w:bottom w:type="dxa" w:w="80"/>
              <w:right w:type="dxa" w:w="110"/>
            </w:tcMar>
          </w:tcPr>
          <w:p>
            <w:pPr>
              <w:spacing w:after="0"/>
            </w:pPr>
            <w:r>
              <w:rPr>
                <w:b w:val="false"/>
                <w:bCs w:val="false"/>
                <w:sz w:val="18"/>
                <w:szCs w:val="18"/>
              </w:rPr>
              <w:t xml:space="preserve">Optional context</w:t>
            </w:r>
          </w:p>
        </w:tc>
      </w:tr>
    </w:tbl>
    <w:p>
      <w:pPr>
        <w:pStyle w:val="Heading1"/>
        <w:spacing w:after="140" w:before="280"/>
      </w:pPr>
      <w:r>
        <w:t xml:space="preserve">Key Concepts</w:t>
      </w:r>
    </w:p>
    <w:p>
      <w:pPr>
        <w:pStyle w:val="ListParagraph"/>
        <w:numPr>
          <w:ilvl w:val="0"/>
          <w:numId w:val="2"/>
        </w:numPr>
        <w:spacing w:after="60" w:line="276"/>
      </w:pPr>
      <w:r>
        <w:t xml:space="preserve">The marketing mix and the four Ps</w:t>
      </w:r>
    </w:p>
    <w:p>
      <w:pPr>
        <w:pStyle w:val="ListParagraph"/>
        <w:numPr>
          <w:ilvl w:val="0"/>
          <w:numId w:val="2"/>
        </w:numPr>
        <w:spacing w:after="60" w:line="276"/>
      </w:pPr>
      <w:r>
        <w:t xml:space="preserve">Core, actual and augmented product</w:t>
      </w:r>
    </w:p>
    <w:p>
      <w:pPr>
        <w:pStyle w:val="ListParagraph"/>
        <w:numPr>
          <w:ilvl w:val="0"/>
          <w:numId w:val="2"/>
        </w:numPr>
        <w:spacing w:after="60" w:line="276"/>
      </w:pPr>
      <w:r>
        <w:t xml:space="preserve">Consumer product categories — convenience, shopping, specialty, unsought</w:t>
      </w:r>
    </w:p>
    <w:p>
      <w:pPr>
        <w:pStyle w:val="ListParagraph"/>
        <w:numPr>
          <w:ilvl w:val="0"/>
          <w:numId w:val="2"/>
        </w:numPr>
        <w:spacing w:after="60" w:line="276"/>
      </w:pPr>
      <w:r>
        <w:t xml:space="preserve">The five critical Cs of pricing: cost, customers, channels of distribution, competition, compatibility</w:t>
      </w:r>
    </w:p>
    <w:p>
      <w:pPr>
        <w:pStyle w:val="ListParagraph"/>
        <w:numPr>
          <w:ilvl w:val="0"/>
          <w:numId w:val="2"/>
        </w:numPr>
        <w:spacing w:after="60" w:line="276"/>
      </w:pPr>
      <w:r>
        <w:t xml:space="preserve">Direct and indirect marketing channels</w:t>
      </w:r>
    </w:p>
    <w:p>
      <w:pPr>
        <w:pStyle w:val="ListParagraph"/>
        <w:numPr>
          <w:ilvl w:val="0"/>
          <w:numId w:val="2"/>
        </w:numPr>
        <w:spacing w:after="60" w:line="276"/>
      </w:pPr>
      <w:r>
        <w:t xml:space="preserve">The promotion mix and its elements</w:t>
      </w:r>
    </w:p>
    <w:p>
      <w:pPr>
        <w:pStyle w:val="ListParagraph"/>
        <w:numPr>
          <w:ilvl w:val="0"/>
          <w:numId w:val="2"/>
        </w:numPr>
        <w:spacing w:after="60" w:line="276"/>
      </w:pPr>
      <w:r>
        <w:t xml:space="preserve">Interdependence: how one P constrains the others</w:t>
      </w:r>
    </w:p>
    <w:p>
      <w:r>
        <w:br w:type="page"/>
      </w:r>
    </w:p>
    <w:p>
      <w:pPr>
        <w:pStyle w:val="Heading1"/>
        <w:spacing w:after="140" w:before="280"/>
      </w:pPr>
      <w:r>
        <w:t xml:space="preserve">The Case</w:t>
      </w:r>
    </w:p>
    <w:p>
      <w:pPr>
        <w:spacing w:after="120" w:line="276"/>
      </w:pPr>
      <w:r>
        <w:t xml:space="preserve">Dara is a student. She has saved enough to buy one coffee cart, and she has a licence to trade on campus. She has not decided what to sell, what to charge, where to park, or how anyone will find out she exists. She has asked you to decide, and to explain your reasoning to her.</w:t>
      </w:r>
    </w:p>
    <w:p>
      <w:pPr>
        <w:pStyle w:val="Heading2"/>
        <w:spacing w:after="140" w:before="280"/>
      </w:pPr>
      <w:r>
        <w:t xml:space="preserve">What it costs and what the competition charges</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3000"/>
        <w:gridCol w:w="6026"/>
      </w:tblGrid>
      <w:tr>
        <w:tc>
          <w:tcPr>
            <w:tcW w:type="dxa" w:w="3000"/>
            <w:shd w:fill="E3EFEF" w:color="auto" w:val="clear"/>
            <w:tcMar>
              <w:top w:type="dxa" w:w="80"/>
              <w:left w:type="dxa" w:w="110"/>
              <w:bottom w:type="dxa" w:w="80"/>
              <w:right w:type="dxa" w:w="110"/>
            </w:tcMar>
          </w:tcPr>
          <w:p>
            <w:pPr>
              <w:spacing w:after="0"/>
            </w:pPr>
            <w:r>
              <w:rPr>
                <w:b/>
                <w:bCs/>
                <w:sz w:val="18"/>
                <w:szCs w:val="18"/>
              </w:rPr>
              <w:t xml:space="preserve">€0.80</w:t>
            </w:r>
          </w:p>
        </w:tc>
        <w:tc>
          <w:tcPr>
            <w:tcW w:type="dxa" w:w="6026"/>
            <w:tcMar>
              <w:top w:type="dxa" w:w="80"/>
              <w:left w:type="dxa" w:w="110"/>
              <w:bottom w:type="dxa" w:w="80"/>
              <w:right w:type="dxa" w:w="110"/>
            </w:tcMar>
          </w:tcPr>
          <w:p>
            <w:pPr>
              <w:spacing w:after="0"/>
            </w:pPr>
            <w:r>
              <w:rPr>
                <w:b w:val="false"/>
                <w:bCs w:val="false"/>
                <w:sz w:val="18"/>
                <w:szCs w:val="18"/>
              </w:rPr>
              <w:t xml:space="preserve">What one cup costs Dara to make — beans, milk, cup, lid</w:t>
            </w:r>
          </w:p>
        </w:tc>
      </w:tr>
      <w:tr>
        <w:tc>
          <w:tcPr>
            <w:tcW w:type="dxa" w:w="3000"/>
            <w:shd w:fill="E3EFEF" w:color="auto" w:val="clear"/>
            <w:tcMar>
              <w:top w:type="dxa" w:w="80"/>
              <w:left w:type="dxa" w:w="110"/>
              <w:bottom w:type="dxa" w:w="80"/>
              <w:right w:type="dxa" w:w="110"/>
            </w:tcMar>
          </w:tcPr>
          <w:p>
            <w:pPr>
              <w:spacing w:after="0"/>
            </w:pPr>
            <w:r>
              <w:rPr>
                <w:b/>
                <w:bCs/>
                <w:sz w:val="18"/>
                <w:szCs w:val="18"/>
              </w:rPr>
              <w:t xml:space="preserve">€45</w:t>
            </w:r>
          </w:p>
        </w:tc>
        <w:tc>
          <w:tcPr>
            <w:tcW w:type="dxa" w:w="6026"/>
            <w:tcMar>
              <w:top w:type="dxa" w:w="80"/>
              <w:left w:type="dxa" w:w="110"/>
              <w:bottom w:type="dxa" w:w="80"/>
              <w:right w:type="dxa" w:w="110"/>
            </w:tcMar>
          </w:tcPr>
          <w:p>
            <w:pPr>
              <w:spacing w:after="0"/>
            </w:pPr>
            <w:r>
              <w:rPr>
                <w:b w:val="false"/>
                <w:bCs w:val="false"/>
                <w:sz w:val="18"/>
                <w:szCs w:val="18"/>
              </w:rPr>
              <w:t xml:space="preserve">Cart licence, per week</w:t>
            </w:r>
          </w:p>
        </w:tc>
      </w:tr>
      <w:tr>
        <w:tc>
          <w:tcPr>
            <w:tcW w:type="dxa" w:w="3000"/>
            <w:shd w:fill="E3EFEF" w:color="auto" w:val="clear"/>
            <w:tcMar>
              <w:top w:type="dxa" w:w="80"/>
              <w:left w:type="dxa" w:w="110"/>
              <w:bottom w:type="dxa" w:w="80"/>
              <w:right w:type="dxa" w:w="110"/>
            </w:tcMar>
          </w:tcPr>
          <w:p>
            <w:pPr>
              <w:spacing w:after="0"/>
            </w:pPr>
            <w:r>
              <w:rPr>
                <w:b/>
                <w:bCs/>
                <w:sz w:val="18"/>
                <w:szCs w:val="18"/>
              </w:rPr>
              <w:t xml:space="preserve">€3.20</w:t>
            </w:r>
          </w:p>
        </w:tc>
        <w:tc>
          <w:tcPr>
            <w:tcW w:type="dxa" w:w="6026"/>
            <w:tcMar>
              <w:top w:type="dxa" w:w="80"/>
              <w:left w:type="dxa" w:w="110"/>
              <w:bottom w:type="dxa" w:w="80"/>
              <w:right w:type="dxa" w:w="110"/>
            </w:tcMar>
          </w:tcPr>
          <w:p>
            <w:pPr>
              <w:spacing w:after="0"/>
            </w:pPr>
            <w:r>
              <w:rPr>
                <w:b w:val="false"/>
                <w:bCs w:val="false"/>
                <w:sz w:val="18"/>
                <w:szCs w:val="18"/>
              </w:rPr>
              <w:t xml:space="preserve">What the campus café charges for a coffee</w:t>
            </w:r>
          </w:p>
        </w:tc>
      </w:tr>
      <w:tr>
        <w:tc>
          <w:tcPr>
            <w:tcW w:type="dxa" w:w="3000"/>
            <w:shd w:fill="E3EFEF" w:color="auto" w:val="clear"/>
            <w:tcMar>
              <w:top w:type="dxa" w:w="80"/>
              <w:left w:type="dxa" w:w="110"/>
              <w:bottom w:type="dxa" w:w="80"/>
              <w:right w:type="dxa" w:w="110"/>
            </w:tcMar>
          </w:tcPr>
          <w:p>
            <w:pPr>
              <w:spacing w:after="0"/>
            </w:pPr>
            <w:r>
              <w:rPr>
                <w:b/>
                <w:bCs/>
                <w:sz w:val="18"/>
                <w:szCs w:val="18"/>
              </w:rPr>
              <w:t xml:space="preserve">9,000</w:t>
            </w:r>
          </w:p>
        </w:tc>
        <w:tc>
          <w:tcPr>
            <w:tcW w:type="dxa" w:w="6026"/>
            <w:tcMar>
              <w:top w:type="dxa" w:w="80"/>
              <w:left w:type="dxa" w:w="110"/>
              <w:bottom w:type="dxa" w:w="80"/>
              <w:right w:type="dxa" w:w="110"/>
            </w:tcMar>
          </w:tcPr>
          <w:p>
            <w:pPr>
              <w:spacing w:after="0"/>
            </w:pPr>
            <w:r>
              <w:rPr>
                <w:b w:val="false"/>
                <w:bCs w:val="false"/>
                <w:sz w:val="18"/>
                <w:szCs w:val="18"/>
              </w:rPr>
              <w:t xml:space="preserve">Students on campus</w:t>
            </w:r>
          </w:p>
        </w:tc>
      </w:tr>
    </w:tbl>
    <w:p>
      <w:pPr>
        <w:pStyle w:val="Heading2"/>
        <w:spacing w:after="140" w:before="280"/>
      </w:pPr>
      <w:r>
        <w:t xml:space="preserve">Where she could park</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2600"/>
        <w:gridCol w:w="2400"/>
        <w:gridCol w:w="4026"/>
      </w:tblGrid>
      <w:tr>
        <w:trPr>
          <w:tblHeader/>
        </w:trPr>
        <w:tc>
          <w:tcPr>
            <w:tcW w:type="dxa" w:w="2600"/>
            <w:shd w:fill="E3EFEF" w:color="auto" w:val="clear"/>
            <w:tcMar>
              <w:top w:type="dxa" w:w="80"/>
              <w:left w:type="dxa" w:w="110"/>
              <w:bottom w:type="dxa" w:w="80"/>
              <w:right w:type="dxa" w:w="110"/>
            </w:tcMar>
          </w:tcPr>
          <w:p>
            <w:pPr>
              <w:spacing w:after="0"/>
            </w:pPr>
            <w:r>
              <w:rPr>
                <w:b/>
                <w:bCs/>
                <w:color w:val="0E5A60"/>
                <w:sz w:val="19"/>
                <w:szCs w:val="19"/>
              </w:rPr>
              <w:t xml:space="preserve">Spot</w:t>
            </w:r>
          </w:p>
        </w:tc>
        <w:tc>
          <w:tcPr>
            <w:tcW w:type="dxa" w:w="2400"/>
            <w:shd w:fill="E3EFEF" w:color="auto" w:val="clear"/>
            <w:tcMar>
              <w:top w:type="dxa" w:w="80"/>
              <w:left w:type="dxa" w:w="110"/>
              <w:bottom w:type="dxa" w:w="80"/>
              <w:right w:type="dxa" w:w="110"/>
            </w:tcMar>
          </w:tcPr>
          <w:p>
            <w:pPr>
              <w:spacing w:after="0"/>
            </w:pPr>
            <w:r>
              <w:rPr>
                <w:b/>
                <w:bCs/>
                <w:color w:val="0E5A60"/>
                <w:sz w:val="19"/>
                <w:szCs w:val="19"/>
              </w:rPr>
              <w:t xml:space="preserve">People passing per day</w:t>
            </w:r>
          </w:p>
        </w:tc>
        <w:tc>
          <w:tcPr>
            <w:tcW w:type="dxa" w:w="4026"/>
            <w:shd w:fill="E3EFEF" w:color="auto" w:val="clear"/>
            <w:tcMar>
              <w:top w:type="dxa" w:w="80"/>
              <w:left w:type="dxa" w:w="110"/>
              <w:bottom w:type="dxa" w:w="80"/>
              <w:right w:type="dxa" w:w="110"/>
            </w:tcMar>
          </w:tcPr>
          <w:p>
            <w:pPr>
              <w:spacing w:after="0"/>
            </w:pPr>
            <w:r>
              <w:rPr>
                <w:b/>
                <w:bCs/>
                <w:color w:val="0E5A60"/>
                <w:sz w:val="19"/>
                <w:szCs w:val="19"/>
              </w:rPr>
              <w:t xml:space="preserve">Walk to the café</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Library steps</w:t>
            </w:r>
          </w:p>
        </w:tc>
        <w:tc>
          <w:tcPr>
            <w:tcW w:type="dxa" w:w="2400"/>
            <w:tcMar>
              <w:top w:type="dxa" w:w="80"/>
              <w:left w:type="dxa" w:w="110"/>
              <w:bottom w:type="dxa" w:w="80"/>
              <w:right w:type="dxa" w:w="110"/>
            </w:tcMar>
          </w:tcPr>
          <w:p>
            <w:pPr>
              <w:spacing w:after="0"/>
            </w:pPr>
            <w:r>
              <w:rPr>
                <w:b w:val="false"/>
                <w:bCs w:val="false"/>
                <w:sz w:val="18"/>
                <w:szCs w:val="18"/>
              </w:rPr>
              <w:t xml:space="preserve">1,200</w:t>
            </w:r>
          </w:p>
        </w:tc>
        <w:tc>
          <w:tcPr>
            <w:tcW w:type="dxa" w:w="4026"/>
            <w:tcMar>
              <w:top w:type="dxa" w:w="80"/>
              <w:left w:type="dxa" w:w="110"/>
              <w:bottom w:type="dxa" w:w="80"/>
              <w:right w:type="dxa" w:w="110"/>
            </w:tcMar>
          </w:tcPr>
          <w:p>
            <w:pPr>
              <w:spacing w:after="0"/>
            </w:pPr>
            <w:r>
              <w:rPr>
                <w:b w:val="false"/>
                <w:bCs w:val="false"/>
                <w:sz w:val="18"/>
                <w:szCs w:val="18"/>
              </w:rPr>
              <w:t xml:space="preserve">4 minutes</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Science block</w:t>
            </w:r>
          </w:p>
        </w:tc>
        <w:tc>
          <w:tcPr>
            <w:tcW w:type="dxa" w:w="2400"/>
            <w:tcMar>
              <w:top w:type="dxa" w:w="80"/>
              <w:left w:type="dxa" w:w="110"/>
              <w:bottom w:type="dxa" w:w="80"/>
              <w:right w:type="dxa" w:w="110"/>
            </w:tcMar>
          </w:tcPr>
          <w:p>
            <w:pPr>
              <w:spacing w:after="0"/>
            </w:pPr>
            <w:r>
              <w:rPr>
                <w:b w:val="false"/>
                <w:bCs w:val="false"/>
                <w:sz w:val="18"/>
                <w:szCs w:val="18"/>
              </w:rPr>
              <w:t xml:space="preserve">700</w:t>
            </w:r>
          </w:p>
        </w:tc>
        <w:tc>
          <w:tcPr>
            <w:tcW w:type="dxa" w:w="4026"/>
            <w:tcMar>
              <w:top w:type="dxa" w:w="80"/>
              <w:left w:type="dxa" w:w="110"/>
              <w:bottom w:type="dxa" w:w="80"/>
              <w:right w:type="dxa" w:w="110"/>
            </w:tcMar>
          </w:tcPr>
          <w:p>
            <w:pPr>
              <w:spacing w:after="0"/>
            </w:pPr>
            <w:r>
              <w:rPr>
                <w:b w:val="false"/>
                <w:bCs w:val="false"/>
                <w:sz w:val="18"/>
                <w:szCs w:val="18"/>
              </w:rPr>
              <w:t xml:space="preserve">11 minutes</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Sports centre</w:t>
            </w:r>
          </w:p>
        </w:tc>
        <w:tc>
          <w:tcPr>
            <w:tcW w:type="dxa" w:w="2400"/>
            <w:tcMar>
              <w:top w:type="dxa" w:w="80"/>
              <w:left w:type="dxa" w:w="110"/>
              <w:bottom w:type="dxa" w:w="80"/>
              <w:right w:type="dxa" w:w="110"/>
            </w:tcMar>
          </w:tcPr>
          <w:p>
            <w:pPr>
              <w:spacing w:after="0"/>
            </w:pPr>
            <w:r>
              <w:rPr>
                <w:b w:val="false"/>
                <w:bCs w:val="false"/>
                <w:sz w:val="18"/>
                <w:szCs w:val="18"/>
              </w:rPr>
              <w:t xml:space="preserve">400</w:t>
            </w:r>
          </w:p>
        </w:tc>
        <w:tc>
          <w:tcPr>
            <w:tcW w:type="dxa" w:w="4026"/>
            <w:tcMar>
              <w:top w:type="dxa" w:w="80"/>
              <w:left w:type="dxa" w:w="110"/>
              <w:bottom w:type="dxa" w:w="80"/>
              <w:right w:type="dxa" w:w="110"/>
            </w:tcMar>
          </w:tcPr>
          <w:p>
            <w:pPr>
              <w:spacing w:after="0"/>
            </w:pPr>
            <w:r>
              <w:rPr>
                <w:b w:val="false"/>
                <w:bCs w:val="false"/>
                <w:sz w:val="18"/>
                <w:szCs w:val="18"/>
              </w:rPr>
              <w:t xml:space="preserve">14 minutes — nothing else sold there</w:t>
            </w:r>
          </w:p>
        </w:tc>
      </w:tr>
    </w:tbl>
    <w:p>
      <w:pPr>
        <w:pStyle w:val="Heading2"/>
        <w:spacing w:after="140" w:before="280"/>
      </w:pPr>
      <w:r>
        <w:t xml:space="preserve">What students said</w:t>
      </w:r>
    </w:p>
    <w:p>
      <w:pPr>
        <w:spacing w:after="120" w:line="276"/>
      </w:pPr>
      <w:r>
        <w:t xml:space="preserve">A survey of 200 students found:</w:t>
      </w:r>
    </w:p>
    <w:p>
      <w:pPr>
        <w:pStyle w:val="ListParagraph"/>
        <w:numPr>
          <w:ilvl w:val="0"/>
          <w:numId w:val="2"/>
        </w:numPr>
        <w:spacing w:after="60" w:line="276"/>
      </w:pPr>
      <w:r>
        <w:t xml:space="preserve">62% would buy coffee between classes if it were closer than the café</w:t>
      </w:r>
    </w:p>
    <w:p>
      <w:pPr>
        <w:pStyle w:val="ListParagraph"/>
        <w:numPr>
          <w:ilvl w:val="0"/>
          <w:numId w:val="2"/>
        </w:numPr>
        <w:spacing w:after="60" w:line="276"/>
      </w:pPr>
      <w:r>
        <w:t xml:space="preserve">41% would pay more for oat milk</w:t>
      </w:r>
    </w:p>
    <w:p>
      <w:pPr>
        <w:pStyle w:val="ListParagraph"/>
        <w:numPr>
          <w:ilvl w:val="0"/>
          <w:numId w:val="2"/>
        </w:numPr>
        <w:spacing w:after="60" w:line="276"/>
      </w:pPr>
      <w:r>
        <w:t xml:space="preserve">28% only drink tea</w:t>
      </w:r>
    </w:p>
    <w:p>
      <w:pPr>
        <w:pBdr>
          <w:left w:val="single" w:color="C9A227" w:sz="18" w:space="12"/>
        </w:pBdr>
        <w:shd w:fill="F7F0E2" w:color="auto" w:val="clear"/>
        <w:spacing w:after="140" w:before="140" w:line="276"/>
      </w:pPr>
      <w:r>
        <w:rPr>
          <w:i/>
          <w:iCs/>
          <w:sz w:val="20"/>
          <w:szCs w:val="20"/>
        </w:rPr>
        <w:t xml:space="preserve">The catch: Dara has one cart and can only be in one place at a time.</w:t>
      </w:r>
    </w:p>
    <w:p>
      <w:pPr>
        <w:pStyle w:val="Heading1"/>
        <w:spacing w:after="140" w:before="280"/>
      </w:pPr>
      <w:r>
        <w:t xml:space="preserve">The Task</w:t>
      </w:r>
    </w:p>
    <w:p>
      <w:pPr>
        <w:pBdr>
          <w:left w:val="single" w:color="C9A227" w:sz="18" w:space="12"/>
        </w:pBdr>
        <w:shd w:fill="F7F0E2" w:color="auto" w:val="clear"/>
        <w:spacing w:after="140" w:before="140" w:line="276"/>
      </w:pPr>
      <w:r>
        <w:rPr>
          <w:i/>
          <w:iCs/>
          <w:sz w:val="20"/>
          <w:szCs w:val="20"/>
        </w:rPr>
        <w:t xml:space="preserve">Write about 400 words advising Dara. Your advice must cover what she sells, what she charges, where she parks and how students find out the cart exists — but how you organise it is your decision.</w:t>
      </w:r>
    </w:p>
    <w:p>
      <w:pPr>
        <w:spacing w:after="120" w:line="276"/>
      </w:pPr>
      <w:r>
        <w:t xml:space="preserve">There are no boxes to fill in and no part marks. You are writing one piece of advice to one person, and it should read that way — as something Dara could act on, not as an exercise you were set.</w:t>
      </w:r>
    </w:p>
    <w:p>
      <w:pPr>
        <w:spacing w:after="120" w:line="276"/>
      </w:pPr>
      <w:r>
        <w:t xml:space="preserve">Every one of the four decisions must be made and defended. Telling her what she could do is not advising her. Where the case does not tell you something, assume it, say you have assumed it, and carry on.</w:t>
      </w:r>
    </w:p>
    <w:p>
      <w:pPr>
        <w:pStyle w:val="Heading2"/>
        <w:spacing w:after="140" w:before="280"/>
      </w:pPr>
      <w:r>
        <w:t xml:space="preserve">How people usually structure this</w:t>
      </w:r>
    </w:p>
    <w:p>
      <w:pPr>
        <w:spacing w:after="120" w:line="276"/>
      </w:pPr>
      <w:r>
        <w:t xml:space="preserve">The shape of the essay is yours to choose, and it is assessed. Three shapes that work, in roughly ascending order of what they can earn:</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2200"/>
        <w:gridCol w:w="6826"/>
      </w:tblGrid>
      <w:tr>
        <w:trPr>
          <w:tblHeader/>
        </w:trPr>
        <w:tc>
          <w:tcPr>
            <w:tcW w:type="dxa" w:w="2200"/>
            <w:shd w:fill="E3EFEF" w:color="auto" w:val="clear"/>
            <w:tcMar>
              <w:top w:type="dxa" w:w="80"/>
              <w:left w:type="dxa" w:w="110"/>
              <w:bottom w:type="dxa" w:w="80"/>
              <w:right w:type="dxa" w:w="110"/>
            </w:tcMar>
          </w:tcPr>
          <w:p>
            <w:pPr>
              <w:spacing w:after="0"/>
            </w:pPr>
            <w:r>
              <w:rPr>
                <w:b/>
                <w:bCs/>
                <w:color w:val="0E5A60"/>
                <w:sz w:val="19"/>
                <w:szCs w:val="19"/>
              </w:rPr>
              <w:t xml:space="preserve">Shape</w:t>
            </w:r>
          </w:p>
        </w:tc>
        <w:tc>
          <w:tcPr>
            <w:tcW w:type="dxa" w:w="6826"/>
            <w:shd w:fill="E3EFEF" w:color="auto" w:val="clear"/>
            <w:tcMar>
              <w:top w:type="dxa" w:w="80"/>
              <w:left w:type="dxa" w:w="110"/>
              <w:bottom w:type="dxa" w:w="80"/>
              <w:right w:type="dxa" w:w="110"/>
            </w:tcMar>
          </w:tcPr>
          <w:p>
            <w:pPr>
              <w:spacing w:after="0"/>
            </w:pPr>
            <w:r>
              <w:rPr>
                <w:b/>
                <w:bCs/>
                <w:color w:val="0E5A60"/>
                <w:sz w:val="19"/>
                <w:szCs w:val="19"/>
              </w:rPr>
              <w:t xml:space="preserve">What it is, and what it costs you</w:t>
            </w:r>
          </w:p>
        </w:tc>
      </w:tr>
      <w:tr>
        <w:tc>
          <w:tcPr>
            <w:tcW w:type="dxa" w:w="2200"/>
            <w:shd w:fill="E3EFEF" w:color="auto" w:val="clear"/>
            <w:tcMar>
              <w:top w:type="dxa" w:w="80"/>
              <w:left w:type="dxa" w:w="110"/>
              <w:bottom w:type="dxa" w:w="80"/>
              <w:right w:type="dxa" w:w="110"/>
            </w:tcMar>
          </w:tcPr>
          <w:p>
            <w:pPr>
              <w:spacing w:after="0"/>
            </w:pPr>
            <w:r>
              <w:rPr>
                <w:b/>
                <w:bCs/>
                <w:sz w:val="18"/>
                <w:szCs w:val="18"/>
              </w:rPr>
              <w:t xml:space="preserve">By decision</w:t>
            </w:r>
          </w:p>
        </w:tc>
        <w:tc>
          <w:tcPr>
            <w:tcW w:type="dxa" w:w="6826"/>
            <w:tcMar>
              <w:top w:type="dxa" w:w="80"/>
              <w:left w:type="dxa" w:w="110"/>
              <w:bottom w:type="dxa" w:w="80"/>
              <w:right w:type="dxa" w:w="110"/>
            </w:tcMar>
          </w:tcPr>
          <w:p>
            <w:pPr>
              <w:spacing w:after="0"/>
            </w:pPr>
            <w:r>
              <w:rPr>
                <w:sz w:val="18"/>
                <w:szCs w:val="18"/>
              </w:rPr>
              <w:t xml:space="preserve">Take the four in turn: product, price, place, promotion. Safe, easy to plan, and hard to push past a Merit — four paragraphs in a row tend to read as four separate answers however good each one is. Choose it and you must work to connect them as you go.</w:t>
            </w:r>
          </w:p>
        </w:tc>
      </w:tr>
      <w:tr>
        <w:tc>
          <w:tcPr>
            <w:tcW w:type="dxa" w:w="2200"/>
            <w:shd w:fill="E3EFEF" w:color="auto" w:val="clear"/>
            <w:tcMar>
              <w:top w:type="dxa" w:w="80"/>
              <w:left w:type="dxa" w:w="110"/>
              <w:bottom w:type="dxa" w:w="80"/>
              <w:right w:type="dxa" w:w="110"/>
            </w:tcMar>
          </w:tcPr>
          <w:p>
            <w:pPr>
              <w:spacing w:after="0"/>
            </w:pPr>
            <w:r>
              <w:rPr>
                <w:b/>
                <w:bCs/>
                <w:sz w:val="18"/>
                <w:szCs w:val="18"/>
              </w:rPr>
              <w:t xml:space="preserve">By comparison</w:t>
            </w:r>
          </w:p>
        </w:tc>
        <w:tc>
          <w:tcPr>
            <w:tcW w:type="dxa" w:w="6826"/>
            <w:tcMar>
              <w:top w:type="dxa" w:w="80"/>
              <w:left w:type="dxa" w:w="110"/>
              <w:bottom w:type="dxa" w:w="80"/>
              <w:right w:type="dxa" w:w="110"/>
            </w:tcMar>
          </w:tcPr>
          <w:p>
            <w:pPr>
              <w:spacing w:after="0"/>
            </w:pPr>
            <w:r>
              <w:rPr>
                <w:sz w:val="18"/>
                <w:szCs w:val="18"/>
              </w:rPr>
              <w:t xml:space="preserve">Set out two plausible plans for the cart — say, the library at a low price against a quieter spot at a higher one — and defend one. The comparison forces the reasoning to the surface and makes the trade-offs impossible to dodge.</w:t>
            </w:r>
          </w:p>
        </w:tc>
      </w:tr>
      <w:tr>
        <w:tc>
          <w:tcPr>
            <w:tcW w:type="dxa" w:w="2200"/>
            <w:shd w:fill="E3EFEF" w:color="auto" w:val="clear"/>
            <w:tcMar>
              <w:top w:type="dxa" w:w="80"/>
              <w:left w:type="dxa" w:w="110"/>
              <w:bottom w:type="dxa" w:w="80"/>
              <w:right w:type="dxa" w:w="110"/>
            </w:tcMar>
          </w:tcPr>
          <w:p>
            <w:pPr>
              <w:spacing w:after="0"/>
            </w:pPr>
            <w:r>
              <w:rPr>
                <w:b/>
                <w:bCs/>
                <w:sz w:val="18"/>
                <w:szCs w:val="18"/>
              </w:rPr>
              <w:t xml:space="preserve">By argument</w:t>
            </w:r>
          </w:p>
        </w:tc>
        <w:tc>
          <w:tcPr>
            <w:tcW w:type="dxa" w:w="6826"/>
            <w:tcMar>
              <w:top w:type="dxa" w:w="80"/>
              <w:left w:type="dxa" w:w="110"/>
              <w:bottom w:type="dxa" w:w="80"/>
              <w:right w:type="dxa" w:w="110"/>
            </w:tcMar>
          </w:tcPr>
          <w:p>
            <w:pPr>
              <w:spacing w:after="0"/>
            </w:pPr>
            <w:r>
              <w:rPr>
                <w:sz w:val="18"/>
                <w:szCs w:val="18"/>
              </w:rPr>
              <w:t xml:space="preserve">Open with what Dara is actually selling, then show each of the four decisions following from it. The hardest to plan and the highest ceiling: done well, the reader never has to be told the decisions connect, because they can see it.</w:t>
            </w:r>
          </w:p>
        </w:tc>
      </w:tr>
    </w:tbl>
    <w:p>
      <w:pPr>
        <w:spacing w:before="160"/>
      </w:pPr>
      <w:r>
        <w:t xml:space="preserve">You may use headings or not, and write in the first person or not. None of that is marked. What is marked is whether the essay reads as one argument or four.</w:t>
      </w:r>
    </w:p>
    <w:p>
      <w:pPr>
        <w:pStyle w:val="Heading1"/>
        <w:spacing w:after="140" w:before="280"/>
      </w:pPr>
      <w:r>
        <w:t xml:space="preserve">Rules</w:t>
      </w:r>
    </w:p>
    <w:p>
      <w:pPr>
        <w:pStyle w:val="ListParagraph"/>
        <w:numPr>
          <w:ilvl w:val="0"/>
          <w:numId w:val="2"/>
        </w:numPr>
        <w:spacing w:after="60" w:line="276"/>
      </w:pPr>
      <w:r>
        <w:t xml:space="preserve">Use only the book. Sections are listed above. Cite like §9.1 (p. 308).</w:t>
      </w:r>
    </w:p>
    <w:p>
      <w:pPr>
        <w:pStyle w:val="ListParagraph"/>
        <w:numPr>
          <w:ilvl w:val="0"/>
          <w:numId w:val="2"/>
        </w:numPr>
        <w:spacing w:after="60" w:line="276"/>
      </w:pPr>
      <w:r>
        <w:t xml:space="preserve">Decide, do not survey. “She could charge €2 or €3” earns nothing; “€2.80, because…” earns the marks.</w:t>
      </w:r>
    </w:p>
    <w:p>
      <w:pPr>
        <w:pStyle w:val="ListParagraph"/>
        <w:numPr>
          <w:ilvl w:val="0"/>
          <w:numId w:val="2"/>
        </w:numPr>
        <w:spacing w:after="60" w:line="276"/>
      </w:pPr>
      <w:r>
        <w:t xml:space="preserve">Use the numbers you have been given. A reason that ignores the case figures is an opinion, not an argument.</w:t>
      </w:r>
    </w:p>
    <w:p>
      <w:pPr>
        <w:pStyle w:val="ListParagraph"/>
        <w:numPr>
          <w:ilvl w:val="0"/>
          <w:numId w:val="2"/>
        </w:numPr>
        <w:spacing w:after="60" w:line="276"/>
      </w:pPr>
      <w:r>
        <w:t xml:space="preserve">All four decisions must appear. An essay covering three is incomplete however well it is written.</w:t>
      </w:r>
    </w:p>
    <w:p>
      <w:pPr>
        <w:pStyle w:val="ListParagraph"/>
        <w:numPr>
          <w:ilvl w:val="0"/>
          <w:numId w:val="2"/>
        </w:numPr>
        <w:spacing w:after="60" w:line="276"/>
      </w:pPr>
      <w:r>
        <w:t xml:space="preserve">About 400 words. Nobody will count to the word, but 200 words has not done the task and 700 has not been edited.</w:t>
      </w:r>
    </w:p>
    <w:p>
      <w:r>
        <w:br w:type="page"/>
      </w:r>
    </w:p>
    <w:p>
      <w:pPr>
        <w:pStyle w:val="Heading1"/>
        <w:spacing w:after="140" w:before="280"/>
      </w:pPr>
      <w:r>
        <w:t xml:space="preserve">Marking Rubric</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2300"/>
        <w:gridCol w:w="1900"/>
        <w:gridCol w:w="4826"/>
      </w:tblGrid>
      <w:tr>
        <w:trPr>
          <w:tblHeader/>
        </w:trPr>
        <w:tc>
          <w:tcPr>
            <w:tcW w:type="dxa" w:w="2300"/>
            <w:shd w:fill="E3EFEF" w:color="auto" w:val="clear"/>
            <w:tcMar>
              <w:top w:type="dxa" w:w="80"/>
              <w:left w:type="dxa" w:w="110"/>
              <w:bottom w:type="dxa" w:w="80"/>
              <w:right w:type="dxa" w:w="110"/>
            </w:tcMar>
          </w:tcPr>
          <w:p>
            <w:pPr>
              <w:spacing w:after="0"/>
            </w:pPr>
            <w:r>
              <w:rPr>
                <w:b/>
                <w:bCs/>
                <w:color w:val="0E5A60"/>
                <w:sz w:val="19"/>
                <w:szCs w:val="19"/>
              </w:rPr>
              <w:t xml:space="preserve">Criterion</w:t>
            </w:r>
          </w:p>
        </w:tc>
        <w:tc>
          <w:tcPr>
            <w:tcW w:type="dxa" w:w="1900"/>
            <w:shd w:fill="E3EFEF" w:color="auto" w:val="clear"/>
            <w:tcMar>
              <w:top w:type="dxa" w:w="80"/>
              <w:left w:type="dxa" w:w="110"/>
              <w:bottom w:type="dxa" w:w="80"/>
              <w:right w:type="dxa" w:w="110"/>
            </w:tcMar>
          </w:tcPr>
          <w:p>
            <w:pPr>
              <w:spacing w:after="0"/>
            </w:pPr>
            <w:r>
              <w:rPr>
                <w:b/>
                <w:bCs/>
                <w:color w:val="0E5A60"/>
                <w:sz w:val="19"/>
                <w:szCs w:val="19"/>
              </w:rPr>
              <w:t xml:space="preserve">Band</w:t>
            </w:r>
          </w:p>
        </w:tc>
        <w:tc>
          <w:tcPr>
            <w:tcW w:type="dxa" w:w="4826"/>
            <w:shd w:fill="E3EFEF" w:color="auto" w:val="clear"/>
            <w:tcMar>
              <w:top w:type="dxa" w:w="80"/>
              <w:left w:type="dxa" w:w="110"/>
              <w:bottom w:type="dxa" w:w="80"/>
              <w:right w:type="dxa" w:w="110"/>
            </w:tcMar>
          </w:tcPr>
          <w:p>
            <w:pPr>
              <w:spacing w:after="0"/>
            </w:pPr>
            <w:r>
              <w:rPr>
                <w:b/>
                <w:bCs/>
                <w:color w:val="0E5A60"/>
                <w:sz w:val="19"/>
                <w:szCs w:val="19"/>
              </w:rPr>
              <w:t xml:space="preserve">Descriptor</w:t>
            </w:r>
          </w:p>
        </w:tc>
      </w:tr>
      <w:tr>
        <w:tc>
          <w:tcPr>
            <w:tcW w:type="dxa" w:w="2300"/>
            <w:vMerge w:val="restart"/>
            <w:shd w:fill="E3EFEF" w:color="auto" w:val="clear"/>
            <w:tcMar>
              <w:top w:type="dxa" w:w="80"/>
              <w:left w:type="dxa" w:w="110"/>
              <w:bottom w:type="dxa" w:w="80"/>
              <w:right w:type="dxa" w:w="110"/>
            </w:tcMar>
            <w:vAlign w:val="center"/>
          </w:tcPr>
          <w:p>
            <w:pPr>
              <w:spacing w:after="40"/>
            </w:pPr>
            <w:r>
              <w:rPr>
                <w:b/>
                <w:bCs/>
                <w:sz w:val="18"/>
                <w:szCs w:val="18"/>
              </w:rPr>
              <w:t xml:space="preserve">Advice given, not options listed</w:t>
            </w:r>
          </w:p>
          <w:p>
            <w:pPr>
              <w:spacing w:after="0"/>
            </w:pPr>
            <w:r>
              <w:rPr>
                <w:b/>
                <w:bCs/>
                <w:color w:val="0E5A60"/>
                <w:sz w:val="18"/>
                <w:szCs w:val="18"/>
              </w:rPr>
              <w:t xml:space="preserve">25%</w:t>
            </w:r>
          </w:p>
        </w:tc>
        <w:tc>
          <w:tcPr>
            <w:tcW w:type="dxa" w:w="1900"/>
            <w:tcMar>
              <w:top w:type="dxa" w:w="80"/>
              <w:left w:type="dxa" w:w="110"/>
              <w:bottom w:type="dxa" w:w="80"/>
              <w:right w:type="dxa" w:w="110"/>
            </w:tcMar>
          </w:tcPr>
          <w:p>
            <w:pPr>
              <w:spacing w:after="0"/>
            </w:pPr>
            <w:r>
              <w:rPr>
                <w:b/>
                <w:bCs/>
                <w:sz w:val="17"/>
                <w:szCs w:val="17"/>
              </w:rPr>
              <w:t xml:space="preserve">Excellent (70-100)</w:t>
            </w:r>
          </w:p>
        </w:tc>
        <w:tc>
          <w:tcPr>
            <w:tcW w:type="dxa" w:w="4826"/>
            <w:tcMar>
              <w:top w:type="dxa" w:w="80"/>
              <w:left w:type="dxa" w:w="110"/>
              <w:bottom w:type="dxa" w:w="80"/>
              <w:right w:type="dxa" w:w="110"/>
            </w:tcMar>
          </w:tcPr>
          <w:p>
            <w:pPr>
              <w:spacing w:after="0"/>
            </w:pPr>
            <w:r>
              <w:rPr>
                <w:sz w:val="17"/>
                <w:szCs w:val="17"/>
              </w:rPr>
              <w:t xml:space="preserve">All four decisions made and defended, and at least one defended against the alternative rejected. Reads as advice a person could act on.</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Good (60-69)</w:t>
            </w:r>
          </w:p>
        </w:tc>
        <w:tc>
          <w:tcPr>
            <w:tcW w:type="dxa" w:w="4826"/>
            <w:tcMar>
              <w:top w:type="dxa" w:w="80"/>
              <w:left w:type="dxa" w:w="110"/>
              <w:bottom w:type="dxa" w:w="80"/>
              <w:right w:type="dxa" w:w="110"/>
            </w:tcMar>
          </w:tcPr>
          <w:p>
            <w:pPr>
              <w:spacing w:after="0"/>
            </w:pPr>
            <w:r>
              <w:rPr>
                <w:sz w:val="17"/>
                <w:szCs w:val="17"/>
              </w:rPr>
              <w:t xml:space="preserve">All four decisions made, each with a sound reason.</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Satisfactory (50-59)</w:t>
            </w:r>
          </w:p>
        </w:tc>
        <w:tc>
          <w:tcPr>
            <w:tcW w:type="dxa" w:w="4826"/>
            <w:tcMar>
              <w:top w:type="dxa" w:w="80"/>
              <w:left w:type="dxa" w:w="110"/>
              <w:bottom w:type="dxa" w:w="80"/>
              <w:right w:type="dxa" w:w="110"/>
            </w:tcMar>
          </w:tcPr>
          <w:p>
            <w:pPr>
              <w:spacing w:after="0"/>
            </w:pPr>
            <w:r>
              <w:rPr>
                <w:sz w:val="17"/>
                <w:szCs w:val="17"/>
              </w:rPr>
              <w:t xml:space="preserve">Decisions made but some reasons thin, generic, or true of any business.</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Needs improvement (0-49)</w:t>
            </w:r>
          </w:p>
        </w:tc>
        <w:tc>
          <w:tcPr>
            <w:tcW w:type="dxa" w:w="4826"/>
            <w:tcMar>
              <w:top w:type="dxa" w:w="80"/>
              <w:left w:type="dxa" w:w="110"/>
              <w:bottom w:type="dxa" w:w="80"/>
              <w:right w:type="dxa" w:w="110"/>
            </w:tcMar>
          </w:tcPr>
          <w:p>
            <w:pPr>
              <w:spacing w:after="0"/>
            </w:pPr>
            <w:r>
              <w:rPr>
                <w:sz w:val="17"/>
                <w:szCs w:val="17"/>
              </w:rPr>
              <w:t xml:space="preserve">Options described without choosing, a decision missing, or reasons absent.</w:t>
            </w:r>
          </w:p>
        </w:tc>
      </w:tr>
      <w:tr>
        <w:tc>
          <w:tcPr>
            <w:tcW w:type="dxa" w:w="2300"/>
            <w:vMerge w:val="restart"/>
            <w:shd w:fill="E3EFEF" w:color="auto" w:val="clear"/>
            <w:tcMar>
              <w:top w:type="dxa" w:w="80"/>
              <w:left w:type="dxa" w:w="110"/>
              <w:bottom w:type="dxa" w:w="80"/>
              <w:right w:type="dxa" w:w="110"/>
            </w:tcMar>
            <w:vAlign w:val="center"/>
          </w:tcPr>
          <w:p>
            <w:pPr>
              <w:spacing w:after="40"/>
            </w:pPr>
            <w:r>
              <w:rPr>
                <w:b/>
                <w:bCs/>
                <w:sz w:val="18"/>
                <w:szCs w:val="18"/>
              </w:rPr>
              <w:t xml:space="preserve">Reasoning from the case</w:t>
            </w:r>
          </w:p>
          <w:p>
            <w:pPr>
              <w:spacing w:after="0"/>
            </w:pPr>
            <w:r>
              <w:rPr>
                <w:b/>
                <w:bCs/>
                <w:color w:val="0E5A60"/>
                <w:sz w:val="18"/>
                <w:szCs w:val="18"/>
              </w:rPr>
              <w:t xml:space="preserve">25%</w:t>
            </w:r>
          </w:p>
        </w:tc>
        <w:tc>
          <w:tcPr>
            <w:tcW w:type="dxa" w:w="1900"/>
            <w:tcMar>
              <w:top w:type="dxa" w:w="80"/>
              <w:left w:type="dxa" w:w="110"/>
              <w:bottom w:type="dxa" w:w="80"/>
              <w:right w:type="dxa" w:w="110"/>
            </w:tcMar>
          </w:tcPr>
          <w:p>
            <w:pPr>
              <w:spacing w:after="0"/>
            </w:pPr>
            <w:r>
              <w:rPr>
                <w:b/>
                <w:bCs/>
                <w:sz w:val="17"/>
                <w:szCs w:val="17"/>
              </w:rPr>
              <w:t xml:space="preserve">Excellent (70-100)</w:t>
            </w:r>
          </w:p>
        </w:tc>
        <w:tc>
          <w:tcPr>
            <w:tcW w:type="dxa" w:w="4826"/>
            <w:tcMar>
              <w:top w:type="dxa" w:w="80"/>
              <w:left w:type="dxa" w:w="110"/>
              <w:bottom w:type="dxa" w:w="80"/>
              <w:right w:type="dxa" w:w="110"/>
            </w:tcMar>
          </w:tcPr>
          <w:p>
            <w:pPr>
              <w:spacing w:after="0"/>
            </w:pPr>
            <w:r>
              <w:rPr>
                <w:sz w:val="17"/>
                <w:szCs w:val="17"/>
              </w:rPr>
              <w:t xml:space="preserve">The figures drive the argument rather than decorate it. The student notices something in the data most readers walk past.</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Good (60-69)</w:t>
            </w:r>
          </w:p>
        </w:tc>
        <w:tc>
          <w:tcPr>
            <w:tcW w:type="dxa" w:w="4826"/>
            <w:tcMar>
              <w:top w:type="dxa" w:w="80"/>
              <w:left w:type="dxa" w:w="110"/>
              <w:bottom w:type="dxa" w:w="80"/>
              <w:right w:type="dxa" w:w="110"/>
            </w:tcMar>
          </w:tcPr>
          <w:p>
            <w:pPr>
              <w:spacing w:after="0"/>
            </w:pPr>
            <w:r>
              <w:rPr>
                <w:sz w:val="17"/>
                <w:szCs w:val="17"/>
              </w:rPr>
              <w:t xml:space="preserve">Relevant figures used accurately to support the decisions.</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Satisfactory (50-59)</w:t>
            </w:r>
          </w:p>
        </w:tc>
        <w:tc>
          <w:tcPr>
            <w:tcW w:type="dxa" w:w="4826"/>
            <w:tcMar>
              <w:top w:type="dxa" w:w="80"/>
              <w:left w:type="dxa" w:w="110"/>
              <w:bottom w:type="dxa" w:w="80"/>
              <w:right w:type="dxa" w:w="110"/>
            </w:tcMar>
          </w:tcPr>
          <w:p>
            <w:pPr>
              <w:spacing w:after="0"/>
            </w:pPr>
            <w:r>
              <w:rPr>
                <w:sz w:val="17"/>
                <w:szCs w:val="17"/>
              </w:rPr>
              <w:t xml:space="preserve">The obvious figures quoted, but not made to do work.</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Needs improvement (0-49)</w:t>
            </w:r>
          </w:p>
        </w:tc>
        <w:tc>
          <w:tcPr>
            <w:tcW w:type="dxa" w:w="4826"/>
            <w:tcMar>
              <w:top w:type="dxa" w:w="80"/>
              <w:left w:type="dxa" w:w="110"/>
              <w:bottom w:type="dxa" w:w="80"/>
              <w:right w:type="dxa" w:w="110"/>
            </w:tcMar>
          </w:tcPr>
          <w:p>
            <w:pPr>
              <w:spacing w:after="0"/>
            </w:pPr>
            <w:r>
              <w:rPr>
                <w:sz w:val="17"/>
                <w:szCs w:val="17"/>
              </w:rPr>
              <w:t xml:space="preserve">Figures ignored, misread, or replaced by assertion.</w:t>
            </w:r>
          </w:p>
        </w:tc>
      </w:tr>
      <w:tr>
        <w:tc>
          <w:tcPr>
            <w:tcW w:type="dxa" w:w="2300"/>
            <w:vMerge w:val="restart"/>
            <w:shd w:fill="E3EFEF" w:color="auto" w:val="clear"/>
            <w:tcMar>
              <w:top w:type="dxa" w:w="80"/>
              <w:left w:type="dxa" w:w="110"/>
              <w:bottom w:type="dxa" w:w="80"/>
              <w:right w:type="dxa" w:w="110"/>
            </w:tcMar>
            <w:vAlign w:val="center"/>
          </w:tcPr>
          <w:p>
            <w:pPr>
              <w:spacing w:after="40"/>
            </w:pPr>
            <w:r>
              <w:rPr>
                <w:b/>
                <w:bCs/>
                <w:sz w:val="18"/>
                <w:szCs w:val="18"/>
              </w:rPr>
              <w:t xml:space="preserve">Use of the book</w:t>
            </w:r>
          </w:p>
          <w:p>
            <w:pPr>
              <w:spacing w:after="0"/>
            </w:pPr>
            <w:r>
              <w:rPr>
                <w:b/>
                <w:bCs/>
                <w:color w:val="0E5A60"/>
                <w:sz w:val="18"/>
                <w:szCs w:val="18"/>
              </w:rPr>
              <w:t xml:space="preserve">20%</w:t>
            </w:r>
          </w:p>
        </w:tc>
        <w:tc>
          <w:tcPr>
            <w:tcW w:type="dxa" w:w="1900"/>
            <w:tcMar>
              <w:top w:type="dxa" w:w="80"/>
              <w:left w:type="dxa" w:w="110"/>
              <w:bottom w:type="dxa" w:w="80"/>
              <w:right w:type="dxa" w:w="110"/>
            </w:tcMar>
          </w:tcPr>
          <w:p>
            <w:pPr>
              <w:spacing w:after="0"/>
            </w:pPr>
            <w:r>
              <w:rPr>
                <w:b/>
                <w:bCs/>
                <w:sz w:val="17"/>
                <w:szCs w:val="17"/>
              </w:rPr>
              <w:t xml:space="preserve">Excellent (70-100)</w:t>
            </w:r>
          </w:p>
        </w:tc>
        <w:tc>
          <w:tcPr>
            <w:tcW w:type="dxa" w:w="4826"/>
            <w:tcMar>
              <w:top w:type="dxa" w:w="80"/>
              <w:left w:type="dxa" w:w="110"/>
              <w:bottom w:type="dxa" w:w="80"/>
              <w:right w:type="dxa" w:w="110"/>
            </w:tcMar>
          </w:tcPr>
          <w:p>
            <w:pPr>
              <w:spacing w:after="0"/>
            </w:pPr>
            <w:r>
              <w:rPr>
                <w:sz w:val="17"/>
                <w:szCs w:val="17"/>
              </w:rPr>
              <w:t xml:space="preserve">Concepts used as instruments — a classification or idea changes what the student concludes. Cited accurately.</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Good (60-69)</w:t>
            </w:r>
          </w:p>
        </w:tc>
        <w:tc>
          <w:tcPr>
            <w:tcW w:type="dxa" w:w="4826"/>
            <w:tcMar>
              <w:top w:type="dxa" w:w="80"/>
              <w:left w:type="dxa" w:w="110"/>
              <w:bottom w:type="dxa" w:w="80"/>
              <w:right w:type="dxa" w:w="110"/>
            </w:tcMar>
          </w:tcPr>
          <w:p>
            <w:pPr>
              <w:spacing w:after="0"/>
            </w:pPr>
            <w:r>
              <w:rPr>
                <w:sz w:val="17"/>
                <w:szCs w:val="17"/>
              </w:rPr>
              <w:t xml:space="preserve">Correct concepts applied correctly and cited.</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Satisfactory (50-59)</w:t>
            </w:r>
          </w:p>
        </w:tc>
        <w:tc>
          <w:tcPr>
            <w:tcW w:type="dxa" w:w="4826"/>
            <w:tcMar>
              <w:top w:type="dxa" w:w="80"/>
              <w:left w:type="dxa" w:w="110"/>
              <w:bottom w:type="dxa" w:w="80"/>
              <w:right w:type="dxa" w:w="110"/>
            </w:tcMar>
          </w:tcPr>
          <w:p>
            <w:pPr>
              <w:spacing w:after="0"/>
            </w:pPr>
            <w:r>
              <w:rPr>
                <w:sz w:val="17"/>
                <w:szCs w:val="17"/>
              </w:rPr>
              <w:t xml:space="preserve">Concepts named but used as labels rather than applied.</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Needs improvement (0-49)</w:t>
            </w:r>
          </w:p>
        </w:tc>
        <w:tc>
          <w:tcPr>
            <w:tcW w:type="dxa" w:w="4826"/>
            <w:tcMar>
              <w:top w:type="dxa" w:w="80"/>
              <w:left w:type="dxa" w:w="110"/>
              <w:bottom w:type="dxa" w:w="80"/>
              <w:right w:type="dxa" w:w="110"/>
            </w:tcMar>
          </w:tcPr>
          <w:p>
            <w:pPr>
              <w:spacing w:after="0"/>
            </w:pPr>
            <w:r>
              <w:rPr>
                <w:sz w:val="17"/>
                <w:szCs w:val="17"/>
              </w:rPr>
              <w:t xml:space="preserve">No use of the book, or concepts misunderstood.</w:t>
            </w:r>
          </w:p>
        </w:tc>
      </w:tr>
      <w:tr>
        <w:tc>
          <w:tcPr>
            <w:tcW w:type="dxa" w:w="2300"/>
            <w:vMerge w:val="restart"/>
            <w:shd w:fill="E3EFEF" w:color="auto" w:val="clear"/>
            <w:tcMar>
              <w:top w:type="dxa" w:w="80"/>
              <w:left w:type="dxa" w:w="110"/>
              <w:bottom w:type="dxa" w:w="80"/>
              <w:right w:type="dxa" w:w="110"/>
            </w:tcMar>
            <w:vAlign w:val="center"/>
          </w:tcPr>
          <w:p>
            <w:pPr>
              <w:spacing w:after="40"/>
            </w:pPr>
            <w:r>
              <w:rPr>
                <w:b/>
                <w:bCs/>
                <w:sz w:val="18"/>
                <w:szCs w:val="18"/>
              </w:rPr>
              <w:t xml:space="preserve">Structure as argument</w:t>
            </w:r>
          </w:p>
          <w:p>
            <w:pPr>
              <w:spacing w:after="0"/>
            </w:pPr>
            <w:r>
              <w:rPr>
                <w:b/>
                <w:bCs/>
                <w:color w:val="0E5A60"/>
                <w:sz w:val="18"/>
                <w:szCs w:val="18"/>
              </w:rPr>
              <w:t xml:space="preserve">20%</w:t>
            </w:r>
          </w:p>
        </w:tc>
        <w:tc>
          <w:tcPr>
            <w:tcW w:type="dxa" w:w="1900"/>
            <w:tcMar>
              <w:top w:type="dxa" w:w="80"/>
              <w:left w:type="dxa" w:w="110"/>
              <w:bottom w:type="dxa" w:w="80"/>
              <w:right w:type="dxa" w:w="110"/>
            </w:tcMar>
          </w:tcPr>
          <w:p>
            <w:pPr>
              <w:spacing w:after="0"/>
            </w:pPr>
            <w:r>
              <w:rPr>
                <w:b/>
                <w:bCs/>
                <w:sz w:val="17"/>
                <w:szCs w:val="17"/>
              </w:rPr>
              <w:t xml:space="preserve">Excellent (70-100)</w:t>
            </w:r>
          </w:p>
        </w:tc>
        <w:tc>
          <w:tcPr>
            <w:tcW w:type="dxa" w:w="4826"/>
            <w:tcMar>
              <w:top w:type="dxa" w:w="80"/>
              <w:left w:type="dxa" w:w="110"/>
              <w:bottom w:type="dxa" w:w="80"/>
              <w:right w:type="dxa" w:w="110"/>
            </w:tcMar>
          </w:tcPr>
          <w:p>
            <w:pPr>
              <w:spacing w:after="0"/>
            </w:pPr>
            <w:r>
              <w:rPr>
                <w:sz w:val="17"/>
                <w:szCs w:val="17"/>
              </w:rPr>
              <w:t xml:space="preserve">The essay has a spine. One decision visibly leads to the next, and the reader is never told the four connect because they can see it. The shape chosen suits the argument.</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Good (60-69)</w:t>
            </w:r>
          </w:p>
        </w:tc>
        <w:tc>
          <w:tcPr>
            <w:tcW w:type="dxa" w:w="4826"/>
            <w:tcMar>
              <w:top w:type="dxa" w:w="80"/>
              <w:left w:type="dxa" w:w="110"/>
              <w:bottom w:type="dxa" w:w="80"/>
              <w:right w:type="dxa" w:w="110"/>
            </w:tcMar>
          </w:tcPr>
          <w:p>
            <w:pPr>
              <w:spacing w:after="0"/>
            </w:pPr>
            <w:r>
              <w:rPr>
                <w:sz w:val="17"/>
                <w:szCs w:val="17"/>
              </w:rPr>
              <w:t xml:space="preserve">Connections between decisions made explicitly and they hold up.</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Satisfactory (50-59)</w:t>
            </w:r>
          </w:p>
        </w:tc>
        <w:tc>
          <w:tcPr>
            <w:tcW w:type="dxa" w:w="4826"/>
            <w:tcMar>
              <w:top w:type="dxa" w:w="80"/>
              <w:left w:type="dxa" w:w="110"/>
              <w:bottom w:type="dxa" w:w="80"/>
              <w:right w:type="dxa" w:w="110"/>
            </w:tcMar>
          </w:tcPr>
          <w:p>
            <w:pPr>
              <w:spacing w:after="0"/>
            </w:pPr>
            <w:r>
              <w:rPr>
                <w:sz w:val="17"/>
                <w:szCs w:val="17"/>
              </w:rPr>
              <w:t xml:space="preserve">Four decisions in sequence, with connection asserted at the end rather than built in.</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Needs improvement (0-49)</w:t>
            </w:r>
          </w:p>
        </w:tc>
        <w:tc>
          <w:tcPr>
            <w:tcW w:type="dxa" w:w="4826"/>
            <w:tcMar>
              <w:top w:type="dxa" w:w="80"/>
              <w:left w:type="dxa" w:w="110"/>
              <w:bottom w:type="dxa" w:w="80"/>
              <w:right w:type="dxa" w:w="110"/>
            </w:tcMar>
          </w:tcPr>
          <w:p>
            <w:pPr>
              <w:spacing w:after="0"/>
            </w:pPr>
            <w:r>
              <w:rPr>
                <w:sz w:val="17"/>
                <w:szCs w:val="17"/>
              </w:rPr>
              <w:t xml:space="preserve">Four unconnected paragraphs, or no discernible order at all.</w:t>
            </w:r>
          </w:p>
        </w:tc>
      </w:tr>
      <w:tr>
        <w:tc>
          <w:tcPr>
            <w:tcW w:type="dxa" w:w="2300"/>
            <w:vMerge w:val="restart"/>
            <w:shd w:fill="E3EFEF" w:color="auto" w:val="clear"/>
            <w:tcMar>
              <w:top w:type="dxa" w:w="80"/>
              <w:left w:type="dxa" w:w="110"/>
              <w:bottom w:type="dxa" w:w="80"/>
              <w:right w:type="dxa" w:w="110"/>
            </w:tcMar>
            <w:vAlign w:val="center"/>
          </w:tcPr>
          <w:p>
            <w:pPr>
              <w:spacing w:after="40"/>
            </w:pPr>
            <w:r>
              <w:rPr>
                <w:b/>
                <w:bCs/>
                <w:sz w:val="18"/>
                <w:szCs w:val="18"/>
              </w:rPr>
              <w:t xml:space="preserve">Clarity and length</w:t>
            </w:r>
          </w:p>
          <w:p>
            <w:pPr>
              <w:spacing w:after="0"/>
            </w:pPr>
            <w:r>
              <w:rPr>
                <w:b/>
                <w:bCs/>
                <w:color w:val="0E5A60"/>
                <w:sz w:val="18"/>
                <w:szCs w:val="18"/>
              </w:rPr>
              <w:t xml:space="preserve">10%</w:t>
            </w:r>
          </w:p>
        </w:tc>
        <w:tc>
          <w:tcPr>
            <w:tcW w:type="dxa" w:w="1900"/>
            <w:tcMar>
              <w:top w:type="dxa" w:w="80"/>
              <w:left w:type="dxa" w:w="110"/>
              <w:bottom w:type="dxa" w:w="80"/>
              <w:right w:type="dxa" w:w="110"/>
            </w:tcMar>
          </w:tcPr>
          <w:p>
            <w:pPr>
              <w:spacing w:after="0"/>
            </w:pPr>
            <w:r>
              <w:rPr>
                <w:b/>
                <w:bCs/>
                <w:sz w:val="17"/>
                <w:szCs w:val="17"/>
              </w:rPr>
              <w:t xml:space="preserve">Excellent (70-100)</w:t>
            </w:r>
          </w:p>
        </w:tc>
        <w:tc>
          <w:tcPr>
            <w:tcW w:type="dxa" w:w="4826"/>
            <w:tcMar>
              <w:top w:type="dxa" w:w="80"/>
              <w:left w:type="dxa" w:w="110"/>
              <w:bottom w:type="dxa" w:w="80"/>
              <w:right w:type="dxa" w:w="110"/>
            </w:tcMar>
          </w:tcPr>
          <w:p>
            <w:pPr>
              <w:spacing w:after="0"/>
            </w:pPr>
            <w:r>
              <w:rPr>
                <w:sz w:val="17"/>
                <w:szCs w:val="17"/>
              </w:rPr>
              <w:t xml:space="preserve">Economical and clear. Roughly the right length. Nothing padded.</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Good (60-69)</w:t>
            </w:r>
          </w:p>
        </w:tc>
        <w:tc>
          <w:tcPr>
            <w:tcW w:type="dxa" w:w="4826"/>
            <w:tcMar>
              <w:top w:type="dxa" w:w="80"/>
              <w:left w:type="dxa" w:w="110"/>
              <w:bottom w:type="dxa" w:w="80"/>
              <w:right w:type="dxa" w:w="110"/>
            </w:tcMar>
          </w:tcPr>
          <w:p>
            <w:pPr>
              <w:spacing w:after="0"/>
            </w:pPr>
            <w:r>
              <w:rPr>
                <w:sz w:val="17"/>
                <w:szCs w:val="17"/>
              </w:rPr>
              <w:t xml:space="preserve">Clear and near the length.</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Satisfactory (50-59)</w:t>
            </w:r>
          </w:p>
        </w:tc>
        <w:tc>
          <w:tcPr>
            <w:tcW w:type="dxa" w:w="4826"/>
            <w:tcMar>
              <w:top w:type="dxa" w:w="80"/>
              <w:left w:type="dxa" w:w="110"/>
              <w:bottom w:type="dxa" w:w="80"/>
              <w:right w:type="dxa" w:w="110"/>
            </w:tcMar>
          </w:tcPr>
          <w:p>
            <w:pPr>
              <w:spacing w:after="0"/>
            </w:pPr>
            <w:r>
              <w:rPr>
                <w:sz w:val="17"/>
                <w:szCs w:val="17"/>
              </w:rPr>
              <w:t xml:space="preserve">Readable but padded, or noticeably short.</w:t>
            </w:r>
          </w:p>
        </w:tc>
      </w:tr>
      <w:tr>
        <w:tc>
          <w:tcPr>
            <w:vMerge w:val="continue"/>
          </w:tcPr>
          <w:p/>
        </w:tc>
        <w:tc>
          <w:tcPr>
            <w:tcW w:type="dxa" w:w="1900"/>
            <w:tcMar>
              <w:top w:type="dxa" w:w="80"/>
              <w:left w:type="dxa" w:w="110"/>
              <w:bottom w:type="dxa" w:w="80"/>
              <w:right w:type="dxa" w:w="110"/>
            </w:tcMar>
          </w:tcPr>
          <w:p>
            <w:pPr>
              <w:spacing w:after="0"/>
            </w:pPr>
            <w:r>
              <w:rPr>
                <w:b/>
                <w:bCs/>
                <w:sz w:val="17"/>
                <w:szCs w:val="17"/>
              </w:rPr>
              <w:t xml:space="preserve">Needs improvement (0-49)</w:t>
            </w:r>
          </w:p>
        </w:tc>
        <w:tc>
          <w:tcPr>
            <w:tcW w:type="dxa" w:w="4826"/>
            <w:tcMar>
              <w:top w:type="dxa" w:w="80"/>
              <w:left w:type="dxa" w:w="110"/>
              <w:bottom w:type="dxa" w:w="80"/>
              <w:right w:type="dxa" w:w="110"/>
            </w:tcMar>
          </w:tcPr>
          <w:p>
            <w:pPr>
              <w:spacing w:after="0"/>
            </w:pPr>
            <w:r>
              <w:rPr>
                <w:sz w:val="17"/>
                <w:szCs w:val="17"/>
              </w:rPr>
              <w:t xml:space="preserve">Unclear, or substantially over or under length.</w:t>
            </w:r>
          </w:p>
        </w:tc>
      </w:tr>
    </w:tbl>
    <w:p>
      <w:pPr>
        <w:pStyle w:val="Heading1"/>
        <w:spacing w:after="140" w:before="280"/>
      </w:pPr>
      <w:r>
        <w:t xml:space="preserve">Grading Scale</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1900"/>
        <w:gridCol w:w="1700"/>
        <w:gridCol w:w="5426"/>
      </w:tblGrid>
      <w:tr>
        <w:trPr>
          <w:tblHeader/>
        </w:trPr>
        <w:tc>
          <w:tcPr>
            <w:tcW w:type="dxa" w:w="1900"/>
            <w:shd w:fill="E3EFEF" w:color="auto" w:val="clear"/>
            <w:tcMar>
              <w:top w:type="dxa" w:w="80"/>
              <w:left w:type="dxa" w:w="110"/>
              <w:bottom w:type="dxa" w:w="80"/>
              <w:right w:type="dxa" w:w="110"/>
            </w:tcMar>
          </w:tcPr>
          <w:p>
            <w:pPr>
              <w:spacing w:after="0"/>
            </w:pPr>
            <w:r>
              <w:rPr>
                <w:b/>
                <w:bCs/>
                <w:color w:val="0E5A60"/>
                <w:sz w:val="19"/>
                <w:szCs w:val="19"/>
              </w:rPr>
              <w:t xml:space="preserve">Band</w:t>
            </w:r>
          </w:p>
        </w:tc>
        <w:tc>
          <w:tcPr>
            <w:tcW w:type="dxa" w:w="1700"/>
            <w:shd w:fill="E3EFEF" w:color="auto" w:val="clear"/>
            <w:tcMar>
              <w:top w:type="dxa" w:w="80"/>
              <w:left w:type="dxa" w:w="110"/>
              <w:bottom w:type="dxa" w:w="80"/>
              <w:right w:type="dxa" w:w="110"/>
            </w:tcMar>
          </w:tcPr>
          <w:p>
            <w:pPr>
              <w:spacing w:after="0"/>
            </w:pPr>
            <w:r>
              <w:rPr>
                <w:b/>
                <w:bCs/>
                <w:color w:val="0E5A60"/>
                <w:sz w:val="19"/>
                <w:szCs w:val="19"/>
              </w:rPr>
              <w:t xml:space="preserve">Mark</w:t>
            </w:r>
          </w:p>
        </w:tc>
        <w:tc>
          <w:tcPr>
            <w:tcW w:type="dxa" w:w="5426"/>
            <w:shd w:fill="E3EFEF" w:color="auto" w:val="clear"/>
            <w:tcMar>
              <w:top w:type="dxa" w:w="80"/>
              <w:left w:type="dxa" w:w="110"/>
              <w:bottom w:type="dxa" w:w="80"/>
              <w:right w:type="dxa" w:w="110"/>
            </w:tcMar>
          </w:tcPr>
          <w:p>
            <w:pPr>
              <w:spacing w:after="0"/>
            </w:pPr>
            <w:r>
              <w:rPr>
                <w:b/>
                <w:bCs/>
                <w:color w:val="0E5A60"/>
                <w:sz w:val="19"/>
                <w:szCs w:val="19"/>
              </w:rPr>
              <w:t xml:space="preserve">Meaning</w:t>
            </w:r>
          </w:p>
        </w:tc>
      </w:tr>
      <w:tr>
        <w:tc>
          <w:tcPr>
            <w:tcW w:type="dxa" w:w="1900"/>
            <w:shd w:fill="E3EFEF" w:color="auto" w:val="clear"/>
            <w:tcMar>
              <w:top w:type="dxa" w:w="80"/>
              <w:left w:type="dxa" w:w="110"/>
              <w:bottom w:type="dxa" w:w="80"/>
              <w:right w:type="dxa" w:w="110"/>
            </w:tcMar>
          </w:tcPr>
          <w:p>
            <w:pPr>
              <w:spacing w:after="0"/>
            </w:pPr>
            <w:r>
              <w:rPr>
                <w:b/>
                <w:bCs/>
                <w:sz w:val="18"/>
                <w:szCs w:val="18"/>
              </w:rPr>
              <w:t xml:space="preserve">Distinction</w:t>
            </w:r>
          </w:p>
        </w:tc>
        <w:tc>
          <w:tcPr>
            <w:tcW w:type="dxa" w:w="1700"/>
            <w:tcMar>
              <w:top w:type="dxa" w:w="80"/>
              <w:left w:type="dxa" w:w="110"/>
              <w:bottom w:type="dxa" w:w="80"/>
              <w:right w:type="dxa" w:w="110"/>
            </w:tcMar>
          </w:tcPr>
          <w:p>
            <w:pPr>
              <w:spacing w:after="0"/>
            </w:pPr>
            <w:r>
              <w:rPr>
                <w:sz w:val="18"/>
                <w:szCs w:val="18"/>
              </w:rPr>
              <w:t xml:space="preserve">70-100</w:t>
            </w:r>
          </w:p>
        </w:tc>
        <w:tc>
          <w:tcPr>
            <w:tcW w:type="dxa" w:w="5426"/>
            <w:tcMar>
              <w:top w:type="dxa" w:w="80"/>
              <w:left w:type="dxa" w:w="110"/>
              <w:bottom w:type="dxa" w:w="80"/>
              <w:right w:type="dxa" w:w="110"/>
            </w:tcMar>
          </w:tcPr>
          <w:p>
            <w:pPr>
              <w:spacing w:after="0"/>
            </w:pPr>
            <w:r>
              <w:rPr>
                <w:sz w:val="18"/>
                <w:szCs w:val="18"/>
              </w:rPr>
              <w:t xml:space="preserve">The essay has a spine: one insight, and four decisions visibly following from it. Says what is NOT on the cart and why. Uses a figure most students walk past.</w:t>
            </w:r>
          </w:p>
        </w:tc>
      </w:tr>
      <w:tr>
        <w:tc>
          <w:tcPr>
            <w:tcW w:type="dxa" w:w="1900"/>
            <w:shd w:fill="E3EFEF" w:color="auto" w:val="clear"/>
            <w:tcMar>
              <w:top w:type="dxa" w:w="80"/>
              <w:left w:type="dxa" w:w="110"/>
              <w:bottom w:type="dxa" w:w="80"/>
              <w:right w:type="dxa" w:w="110"/>
            </w:tcMar>
          </w:tcPr>
          <w:p>
            <w:pPr>
              <w:spacing w:after="0"/>
            </w:pPr>
            <w:r>
              <w:rPr>
                <w:b/>
                <w:bCs/>
                <w:sz w:val="18"/>
                <w:szCs w:val="18"/>
              </w:rPr>
              <w:t xml:space="preserve">Merit</w:t>
            </w:r>
          </w:p>
        </w:tc>
        <w:tc>
          <w:tcPr>
            <w:tcW w:type="dxa" w:w="1700"/>
            <w:tcMar>
              <w:top w:type="dxa" w:w="80"/>
              <w:left w:type="dxa" w:w="110"/>
              <w:bottom w:type="dxa" w:w="80"/>
              <w:right w:type="dxa" w:w="110"/>
            </w:tcMar>
          </w:tcPr>
          <w:p>
            <w:pPr>
              <w:spacing w:after="0"/>
            </w:pPr>
            <w:r>
              <w:rPr>
                <w:sz w:val="18"/>
                <w:szCs w:val="18"/>
              </w:rPr>
              <w:t xml:space="preserve">60-69</w:t>
            </w:r>
          </w:p>
        </w:tc>
        <w:tc>
          <w:tcPr>
            <w:tcW w:type="dxa" w:w="5426"/>
            <w:tcMar>
              <w:top w:type="dxa" w:w="80"/>
              <w:left w:type="dxa" w:w="110"/>
              <w:bottom w:type="dxa" w:w="80"/>
              <w:right w:type="dxa" w:w="110"/>
            </w:tcMar>
          </w:tcPr>
          <w:p>
            <w:pPr>
              <w:spacing w:after="0"/>
            </w:pPr>
            <w:r>
              <w:rPr>
                <w:sz w:val="18"/>
                <w:szCs w:val="18"/>
              </w:rPr>
              <w:t xml:space="preserve">Four well-defended decisions, with connections drawn explicitly between at least two of them.</w:t>
            </w:r>
          </w:p>
        </w:tc>
      </w:tr>
      <w:tr>
        <w:tc>
          <w:tcPr>
            <w:tcW w:type="dxa" w:w="1900"/>
            <w:shd w:fill="E3EFEF" w:color="auto" w:val="clear"/>
            <w:tcMar>
              <w:top w:type="dxa" w:w="80"/>
              <w:left w:type="dxa" w:w="110"/>
              <w:bottom w:type="dxa" w:w="80"/>
              <w:right w:type="dxa" w:w="110"/>
            </w:tcMar>
          </w:tcPr>
          <w:p>
            <w:pPr>
              <w:spacing w:after="0"/>
            </w:pPr>
            <w:r>
              <w:rPr>
                <w:b/>
                <w:bCs/>
                <w:sz w:val="18"/>
                <w:szCs w:val="18"/>
              </w:rPr>
              <w:t xml:space="preserve">Pass</w:t>
            </w:r>
          </w:p>
        </w:tc>
        <w:tc>
          <w:tcPr>
            <w:tcW w:type="dxa" w:w="1700"/>
            <w:tcMar>
              <w:top w:type="dxa" w:w="80"/>
              <w:left w:type="dxa" w:w="110"/>
              <w:bottom w:type="dxa" w:w="80"/>
              <w:right w:type="dxa" w:w="110"/>
            </w:tcMar>
          </w:tcPr>
          <w:p>
            <w:pPr>
              <w:spacing w:after="0"/>
            </w:pPr>
            <w:r>
              <w:rPr>
                <w:sz w:val="18"/>
                <w:szCs w:val="18"/>
              </w:rPr>
              <w:t xml:space="preserve">50-59</w:t>
            </w:r>
          </w:p>
        </w:tc>
        <w:tc>
          <w:tcPr>
            <w:tcW w:type="dxa" w:w="5426"/>
            <w:tcMar>
              <w:top w:type="dxa" w:w="80"/>
              <w:left w:type="dxa" w:w="110"/>
              <w:bottom w:type="dxa" w:w="80"/>
              <w:right w:type="dxa" w:w="110"/>
            </w:tcMar>
          </w:tcPr>
          <w:p>
            <w:pPr>
              <w:spacing w:after="0"/>
            </w:pPr>
            <w:r>
              <w:rPr>
                <w:sz w:val="18"/>
                <w:szCs w:val="18"/>
              </w:rPr>
              <w:t xml:space="preserve">Four decisions with reasons, set out in sequence. Connection asserted rather than built in.</w:t>
            </w:r>
          </w:p>
        </w:tc>
      </w:tr>
      <w:tr>
        <w:tc>
          <w:tcPr>
            <w:tcW w:type="dxa" w:w="1900"/>
            <w:shd w:fill="E3EFEF" w:color="auto" w:val="clear"/>
            <w:tcMar>
              <w:top w:type="dxa" w:w="80"/>
              <w:left w:type="dxa" w:w="110"/>
              <w:bottom w:type="dxa" w:w="80"/>
              <w:right w:type="dxa" w:w="110"/>
            </w:tcMar>
          </w:tcPr>
          <w:p>
            <w:pPr>
              <w:spacing w:after="0"/>
            </w:pPr>
            <w:r>
              <w:rPr>
                <w:b/>
                <w:bCs/>
                <w:sz w:val="18"/>
                <w:szCs w:val="18"/>
              </w:rPr>
              <w:t xml:space="preserve">Fail</w:t>
            </w:r>
          </w:p>
        </w:tc>
        <w:tc>
          <w:tcPr>
            <w:tcW w:type="dxa" w:w="1700"/>
            <w:tcMar>
              <w:top w:type="dxa" w:w="80"/>
              <w:left w:type="dxa" w:w="110"/>
              <w:bottom w:type="dxa" w:w="80"/>
              <w:right w:type="dxa" w:w="110"/>
            </w:tcMar>
          </w:tcPr>
          <w:p>
            <w:pPr>
              <w:spacing w:after="0"/>
            </w:pPr>
            <w:r>
              <w:rPr>
                <w:sz w:val="18"/>
                <w:szCs w:val="18"/>
              </w:rPr>
              <w:t xml:space="preserve">0-49</w:t>
            </w:r>
          </w:p>
        </w:tc>
        <w:tc>
          <w:tcPr>
            <w:tcW w:type="dxa" w:w="5426"/>
            <w:tcMar>
              <w:top w:type="dxa" w:w="80"/>
              <w:left w:type="dxa" w:w="110"/>
              <w:bottom w:type="dxa" w:w="80"/>
              <w:right w:type="dxa" w:w="110"/>
            </w:tcMar>
          </w:tcPr>
          <w:p>
            <w:pPr>
              <w:spacing w:after="0"/>
            </w:pPr>
            <w:r>
              <w:rPr>
                <w:sz w:val="18"/>
                <w:szCs w:val="18"/>
              </w:rPr>
              <w:t xml:space="preserve">Options listed without deciding, a decision missing, reasons absent, or the case figures unused.</w:t>
            </w:r>
          </w:p>
        </w:tc>
      </w:tr>
    </w:tbl>
    <w:p>
      <w:r>
        <w:br w:type="page"/>
      </w:r>
    </w:p>
    <w:p>
      <w:pPr>
        <w:pStyle w:val="Heading1"/>
        <w:spacing w:after="140" w:before="280"/>
      </w:pPr>
      <w:r>
        <w:t xml:space="preserve">Instructor Answer Key</w:t>
      </w:r>
    </w:p>
    <w:p>
      <w:pPr>
        <w:spacing w:after="120" w:line="276"/>
      </w:pPr>
      <w:r>
        <w:rPr>
          <w:b/>
          <w:bCs/>
          <w:color w:val="8C4A1E"/>
        </w:rPr>
        <w:t xml:space="preserve">Not for circulation to students.</w:t>
      </w:r>
    </w:p>
    <w:p>
      <w:pPr>
        <w:spacing w:after="120" w:line="276"/>
      </w:pPr>
      <w:r>
        <w:t xml:space="preserve">The essay below is what a Distinction looks like at this length. It uses the by-argument shape, which is the highest-ceiling option and the one fewest students will attempt. It is not the only correct answer: the decisions themselves are all contestable, and a well-argued essay reaching different conclusions should mark higher than a weakly argued copy of this one.</w:t>
      </w:r>
    </w:p>
    <w:p>
      <w:pPr>
        <w:pStyle w:val="Heading2"/>
        <w:spacing w:after="140" w:before="280"/>
      </w:pPr>
      <w:r>
        <w:t xml:space="preserve">Model essay (379 words)</w:t>
      </w:r>
    </w:p>
    <w:p>
      <w:pPr>
        <w:pBdr>
          <w:left w:val="single" w:color="C9A227" w:sz="18" w:space="12"/>
        </w:pBdr>
        <w:shd w:fill="F7F0E2" w:color="auto" w:val="clear"/>
        <w:spacing w:after="140" w:before="140" w:line="276"/>
      </w:pPr>
      <w:r>
        <w:rPr>
          <w:i/>
          <w:iCs/>
          <w:sz w:val="20"/>
          <w:szCs w:val="20"/>
        </w:rPr>
        <w:t xml:space="preserve">Dara is not selling coffee. She is selling the eight minutes a student would otherwise spend walking to the campus café, and every decision she makes should follow from that.</w:t>
      </w:r>
    </w:p>
    <w:p>
      <w:pPr>
        <w:pBdr>
          <w:left w:val="single" w:color="C9A227" w:sz="18" w:space="12"/>
        </w:pBdr>
        <w:shd w:fill="F7F0E2" w:color="auto" w:val="clear"/>
        <w:spacing w:after="140" w:before="140" w:line="276"/>
      </w:pPr>
      <w:r>
        <w:rPr>
          <w:i/>
          <w:iCs/>
          <w:sz w:val="20"/>
          <w:szCs w:val="20"/>
        </w:rPr>
        <w:t xml:space="preserve">The survey says so plainly: 62% would buy between classes if the cart were closer than the café. That is a statement about time, not about taste. The core product (§9.1, p. 308) is convenience, and the cup in the hand only has to be good enough not to undo it.</w:t>
      </w:r>
    </w:p>
    <w:p>
      <w:pPr>
        <w:pBdr>
          <w:left w:val="single" w:color="C9A227" w:sz="18" w:space="12"/>
        </w:pBdr>
        <w:shd w:fill="F7F0E2" w:color="auto" w:val="clear"/>
        <w:spacing w:after="140" w:before="140" w:line="276"/>
      </w:pPr>
      <w:r>
        <w:rPr>
          <w:i/>
          <w:iCs/>
          <w:sz w:val="20"/>
          <w:szCs w:val="20"/>
        </w:rPr>
        <w:t xml:space="preserve">That settles what goes on the cart. Coffee, tea and hot chocolate, with oat milk as a paid option, and nothing to eat. Tea costs almost nothing to add and 28% of students drink only tea, so leaving it off would forfeit a quarter of the market for no saving. Food is the harder call, and the answer is still no: preparing it slows service, and speed is the thing being sold.</w:t>
      </w:r>
    </w:p>
    <w:p>
      <w:pPr>
        <w:pBdr>
          <w:left w:val="single" w:color="C9A227" w:sz="18" w:space="12"/>
        </w:pBdr>
        <w:shd w:fill="F7F0E2" w:color="auto" w:val="clear"/>
        <w:spacing w:after="140" w:before="140" w:line="276"/>
      </w:pPr>
      <w:r>
        <w:rPr>
          <w:i/>
          <w:iCs/>
          <w:sz w:val="20"/>
          <w:szCs w:val="20"/>
        </w:rPr>
        <w:t xml:space="preserve">It also settles where she parks, which is the decision most people get wrong. The library has the most footfall at 1,200 a day, but the café is four minutes away, so the advantage she is selling barely exists there. At the science block the walk is eleven minutes and 700 people still pass. Footfall is not the measure; footfall without a convenient alternative is. She should park at the science block, between classes.</w:t>
      </w:r>
    </w:p>
    <w:p>
      <w:pPr>
        <w:pBdr>
          <w:left w:val="single" w:color="C9A227" w:sz="18" w:space="12"/>
        </w:pBdr>
        <w:shd w:fill="F7F0E2" w:color="auto" w:val="clear"/>
        <w:spacing w:after="140" w:before="140" w:line="276"/>
      </w:pPr>
      <w:r>
        <w:rPr>
          <w:i/>
          <w:iCs/>
          <w:sz w:val="20"/>
          <w:szCs w:val="20"/>
        </w:rPr>
        <w:t xml:space="preserve">Price follows from both. Because her advantage is proximity rather than cheapness, undercutting heavily would give away margin for a benefit nobody asked for. At €2.80 she sits just under the café’s €3.20, keeps €2.00 a cup, and covers the €45 licence in about 23 cups a week. Survival is not the question; volume is.</w:t>
      </w:r>
    </w:p>
    <w:p>
      <w:pPr>
        <w:pBdr>
          <w:left w:val="single" w:color="C9A227" w:sz="18" w:space="12"/>
        </w:pBdr>
        <w:shd w:fill="F7F0E2" w:color="auto" w:val="clear"/>
        <w:spacing w:after="140" w:before="140" w:line="276"/>
      </w:pPr>
      <w:r>
        <w:rPr>
          <w:i/>
          <w:iCs/>
          <w:sz w:val="20"/>
          <w:szCs w:val="20"/>
        </w:rPr>
        <w:t xml:space="preserve">Promotion costs her almost nothing, because she is standing in front of her market. Of the elements in §13.1 (p. 438) she should use personal selling and sales promotion rather than advertising, which she cannot afford. Being in the same place at the same time each day makes her findable, a loyalty card turns a first cup into a habit, and word of mouth across 9,000 students does the rest.</w:t>
      </w:r>
    </w:p>
    <w:p>
      <w:pPr>
        <w:pBdr>
          <w:left w:val="single" w:color="C9A227" w:sz="18" w:space="12"/>
        </w:pBdr>
        <w:shd w:fill="F7F0E2" w:color="auto" w:val="clear"/>
        <w:spacing w:after="140" w:before="140" w:line="276"/>
      </w:pPr>
      <w:r>
        <w:rPr>
          <w:i/>
          <w:iCs/>
          <w:sz w:val="20"/>
          <w:szCs w:val="20"/>
        </w:rPr>
        <w:t xml:space="preserve">Change any one of these and the others move. Put the cart on the library steps and the price has to fall to beat the café on something other than distance — and the margin goes with it.</w:t>
      </w:r>
    </w:p>
    <w:p>
      <w:pPr>
        <w:pStyle w:val="Heading2"/>
        <w:spacing w:after="140" w:before="280"/>
      </w:pPr>
      <w:r>
        <w:t xml:space="preserve">What earns the top band</w:t>
      </w:r>
    </w:p>
    <w:p>
      <w:pPr>
        <w:spacing w:after="120" w:line="276"/>
      </w:pPr>
      <w:r>
        <w:t xml:space="preserve">When marking at speed, these are the six things to look for. An essay showing four or more of them is a Distinction.</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2600"/>
        <w:gridCol w:w="6426"/>
      </w:tblGrid>
      <w:tr>
        <w:trPr>
          <w:tblHeader/>
        </w:trPr>
        <w:tc>
          <w:tcPr>
            <w:tcW w:type="dxa" w:w="2600"/>
            <w:shd w:fill="E3EFEF" w:color="auto" w:val="clear"/>
            <w:tcMar>
              <w:top w:type="dxa" w:w="80"/>
              <w:left w:type="dxa" w:w="110"/>
              <w:bottom w:type="dxa" w:w="80"/>
              <w:right w:type="dxa" w:w="110"/>
            </w:tcMar>
          </w:tcPr>
          <w:p>
            <w:pPr>
              <w:spacing w:after="0"/>
            </w:pPr>
            <w:r>
              <w:rPr>
                <w:b/>
                <w:bCs/>
                <w:color w:val="0E5A60"/>
                <w:sz w:val="19"/>
                <w:szCs w:val="19"/>
              </w:rPr>
              <w:t xml:space="preserve">Marker</w:t>
            </w:r>
          </w:p>
        </w:tc>
        <w:tc>
          <w:tcPr>
            <w:tcW w:type="dxa" w:w="6426"/>
            <w:shd w:fill="E3EFEF" w:color="auto" w:val="clear"/>
            <w:tcMar>
              <w:top w:type="dxa" w:w="80"/>
              <w:left w:type="dxa" w:w="110"/>
              <w:bottom w:type="dxa" w:w="80"/>
              <w:right w:type="dxa" w:w="110"/>
            </w:tcMar>
          </w:tcPr>
          <w:p>
            <w:pPr>
              <w:spacing w:after="0"/>
            </w:pPr>
            <w:r>
              <w:rPr>
                <w:b/>
                <w:bCs/>
                <w:color w:val="0E5A60"/>
                <w:sz w:val="19"/>
                <w:szCs w:val="19"/>
              </w:rPr>
              <w:t xml:space="preserve">What it looks like</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The opening move</w:t>
            </w:r>
          </w:p>
        </w:tc>
        <w:tc>
          <w:tcPr>
            <w:tcW w:type="dxa" w:w="6426"/>
            <w:tcMar>
              <w:top w:type="dxa" w:w="80"/>
              <w:left w:type="dxa" w:w="110"/>
              <w:bottom w:type="dxa" w:w="80"/>
              <w:right w:type="dxa" w:w="110"/>
            </w:tcMar>
          </w:tcPr>
          <w:p>
            <w:pPr>
              <w:spacing w:after="0"/>
            </w:pPr>
            <w:r>
              <w:rPr>
                <w:sz w:val="18"/>
                <w:szCs w:val="18"/>
              </w:rPr>
              <w:t xml:space="preserve">The first sentence says what Dara is really selling, and it is not coffee. Everything after it is downstream. An essay that opens “The four Ps are…” has started from the textbook rather than the problem.</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An exclusion, justified</w:t>
            </w:r>
          </w:p>
        </w:tc>
        <w:tc>
          <w:tcPr>
            <w:tcW w:type="dxa" w:w="6426"/>
            <w:tcMar>
              <w:top w:type="dxa" w:w="80"/>
              <w:left w:type="dxa" w:w="110"/>
              <w:bottom w:type="dxa" w:w="80"/>
              <w:right w:type="dxa" w:w="110"/>
            </w:tcMar>
          </w:tcPr>
          <w:p>
            <w:pPr>
              <w:spacing w:after="0"/>
            </w:pPr>
            <w:r>
              <w:rPr>
                <w:sz w:val="18"/>
                <w:szCs w:val="18"/>
              </w:rPr>
              <w:t xml:space="preserve">Says what is NOT on the cart, and justifies it by the core benefit rather than by simplicity. “No food, because food slows service and speed is what she sells” uses one decision to protect another.</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The rejected obvious answer</w:t>
            </w:r>
          </w:p>
        </w:tc>
        <w:tc>
          <w:tcPr>
            <w:tcW w:type="dxa" w:w="6426"/>
            <w:tcMar>
              <w:top w:type="dxa" w:w="80"/>
              <w:left w:type="dxa" w:w="110"/>
              <w:bottom w:type="dxa" w:w="80"/>
              <w:right w:type="dxa" w:w="110"/>
            </w:tcMar>
          </w:tcPr>
          <w:p>
            <w:pPr>
              <w:spacing w:after="0"/>
            </w:pPr>
            <w:r>
              <w:rPr>
                <w:sz w:val="18"/>
                <w:szCs w:val="18"/>
              </w:rPr>
              <w:t xml:space="preserve">The library is the trap. Taking it without addressing the four-minute walk caps the essay at a Pass; rejecting it and saying why is the clearest single Distinction marker here.</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A figure made to work</w:t>
            </w:r>
          </w:p>
        </w:tc>
        <w:tc>
          <w:tcPr>
            <w:tcW w:type="dxa" w:w="6426"/>
            <w:tcMar>
              <w:top w:type="dxa" w:w="80"/>
              <w:left w:type="dxa" w:w="110"/>
              <w:bottom w:type="dxa" w:w="80"/>
              <w:right w:type="dxa" w:w="110"/>
            </w:tcMar>
          </w:tcPr>
          <w:p>
            <w:pPr>
              <w:spacing w:after="0"/>
            </w:pPr>
            <w:r>
              <w:rPr>
                <w:sz w:val="18"/>
                <w:szCs w:val="18"/>
              </w:rPr>
              <w:t xml:space="preserve">Most students quote the 41% oat milk because it sounds like a marketing fact. Few notice 28% tea-only is a structural exclusion of a quarter of the market for the price of a teabag.</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Arithmetic interpreted</w:t>
            </w:r>
          </w:p>
        </w:tc>
        <w:tc>
          <w:tcPr>
            <w:tcW w:type="dxa" w:w="6426"/>
            <w:tcMar>
              <w:top w:type="dxa" w:w="80"/>
              <w:left w:type="dxa" w:w="110"/>
              <w:bottom w:type="dxa" w:w="80"/>
              <w:right w:type="dxa" w:w="110"/>
            </w:tcMar>
          </w:tcPr>
          <w:p>
            <w:pPr>
              <w:spacing w:after="0"/>
            </w:pPr>
            <w:r>
              <w:rPr>
                <w:sz w:val="18"/>
                <w:szCs w:val="18"/>
              </w:rPr>
              <w:t xml:space="preserve">45 ÷ 2.00 = 22.5 cups a week is the sum. “So the licence is not the constraint” is the insight. Award the second, not the first.</w:t>
            </w:r>
          </w:p>
        </w:tc>
      </w:tr>
      <w:tr>
        <w:tc>
          <w:tcPr>
            <w:tcW w:type="dxa" w:w="2600"/>
            <w:shd w:fill="E3EFEF" w:color="auto" w:val="clear"/>
            <w:tcMar>
              <w:top w:type="dxa" w:w="80"/>
              <w:left w:type="dxa" w:w="110"/>
              <w:bottom w:type="dxa" w:w="80"/>
              <w:right w:type="dxa" w:w="110"/>
            </w:tcMar>
          </w:tcPr>
          <w:p>
            <w:pPr>
              <w:spacing w:after="0"/>
            </w:pPr>
            <w:r>
              <w:rPr>
                <w:b/>
                <w:bCs/>
                <w:sz w:val="18"/>
                <w:szCs w:val="18"/>
              </w:rPr>
              <w:t xml:space="preserve">A counterfactual with a cost</w:t>
            </w:r>
          </w:p>
        </w:tc>
        <w:tc>
          <w:tcPr>
            <w:tcW w:type="dxa" w:w="6426"/>
            <w:tcMar>
              <w:top w:type="dxa" w:w="80"/>
              <w:left w:type="dxa" w:w="110"/>
              <w:bottom w:type="dxa" w:w="80"/>
              <w:right w:type="dxa" w:w="110"/>
            </w:tcMar>
          </w:tcPr>
          <w:p>
            <w:pPr>
              <w:spacing w:after="0"/>
            </w:pPr>
            <w:r>
              <w:rPr>
                <w:sz w:val="18"/>
                <w:szCs w:val="18"/>
              </w:rPr>
              <w:t xml:space="preserve">The closing move runs a change through the system and follows it to a consequence — move the cart, the price falls, the margin goes — rather than just noting things are connected.</w:t>
            </w:r>
          </w:p>
        </w:tc>
      </w:tr>
    </w:tbl>
    <w:p>
      <w:pPr>
        <w:pStyle w:val="Heading2"/>
        <w:spacing w:after="140" w:before="280"/>
      </w:pPr>
      <w:r>
        <w:t xml:space="preserve">Defensible alternatives</w:t>
      </w:r>
    </w:p>
    <w:p>
      <w:pPr>
        <w:spacing w:after="120" w:line="276"/>
      </w:pPr>
      <w:r>
        <w:t xml:space="preserve">Mark the reasoning, not the menu. All of these can reach the top band:</w:t>
      </w:r>
    </w:p>
    <w:p>
      <w:pPr>
        <w:pStyle w:val="ListParagraph"/>
        <w:numPr>
          <w:ilvl w:val="0"/>
          <w:numId w:val="2"/>
        </w:numPr>
        <w:spacing w:after="60" w:line="276"/>
      </w:pPr>
      <w:r>
        <w:t xml:space="preserve">Coffee only — if the student argues focus and excludes the 28% deliberately rather than by oversight.</w:t>
      </w:r>
    </w:p>
    <w:p>
      <w:pPr>
        <w:pStyle w:val="ListParagraph"/>
        <w:numPr>
          <w:ilvl w:val="0"/>
          <w:numId w:val="2"/>
        </w:numPr>
        <w:spacing w:after="60" w:line="276"/>
      </w:pPr>
      <w:r>
        <w:t xml:space="preserve">A pastry on the cart — if they confront the speed cost and decide basket value is worth it.</w:t>
      </w:r>
    </w:p>
    <w:p>
      <w:pPr>
        <w:pStyle w:val="ListParagraph"/>
        <w:numPr>
          <w:ilvl w:val="0"/>
          <w:numId w:val="2"/>
        </w:numPr>
        <w:spacing w:after="60" w:line="276"/>
      </w:pPr>
      <w:r>
        <w:t xml:space="preserve">Any price from roughly €2.50 to €3.20 with reasoning. Below about €2.00 they must say what they bought with the margin they gave up.</w:t>
      </w:r>
    </w:p>
    <w:p>
      <w:pPr>
        <w:pStyle w:val="ListParagraph"/>
        <w:numPr>
          <w:ilvl w:val="0"/>
          <w:numId w:val="2"/>
        </w:numPr>
        <w:spacing w:after="60" w:line="276"/>
      </w:pPr>
      <w:r>
        <w:t xml:space="preserve">The sports centre — if they face the 400 figure honestly and argue the no-competition case.</w:t>
      </w:r>
    </w:p>
    <w:p>
      <w:pPr>
        <w:pStyle w:val="ListParagraph"/>
        <w:numPr>
          <w:ilvl w:val="0"/>
          <w:numId w:val="2"/>
        </w:numPr>
        <w:spacing w:after="60" w:line="276"/>
      </w:pPr>
      <w:r>
        <w:t xml:space="preserve">The library — if they explain how she beats the café on something other than proximity. This is the hardest position to hold and worth real credit when held.</w:t>
      </w:r>
    </w:p>
    <w:p>
      <w:pPr>
        <w:pStyle w:val="ListParagraph"/>
        <w:numPr>
          <w:ilvl w:val="0"/>
          <w:numId w:val="2"/>
        </w:numPr>
        <w:spacing w:after="60" w:line="276"/>
      </w:pPr>
      <w:r>
        <w:t xml:space="preserve">Social media as promotion — if they say what it is for and acknowledge it costs time rather than money.</w:t>
      </w:r>
    </w:p>
    <w:p>
      <w:pPr>
        <w:pStyle w:val="Heading2"/>
        <w:spacing w:after="140" w:before="280"/>
      </w:pPr>
      <w:r>
        <w:t xml:space="preserve">What cannot reach the top band</w:t>
      </w:r>
    </w:p>
    <w:p>
      <w:pPr>
        <w:pStyle w:val="ListParagraph"/>
        <w:numPr>
          <w:ilvl w:val="0"/>
          <w:numId w:val="2"/>
        </w:numPr>
        <w:spacing w:after="60" w:line="276"/>
      </w:pPr>
      <w:r>
        <w:t xml:space="preserve">Four paragraphs in a row with a closing sentence saying the decisions work together. That is the list, relabelled.</w:t>
      </w:r>
    </w:p>
    <w:p>
      <w:pPr>
        <w:pStyle w:val="ListParagraph"/>
        <w:numPr>
          <w:ilvl w:val="0"/>
          <w:numId w:val="2"/>
        </w:numPr>
        <w:spacing w:after="60" w:line="276"/>
      </w:pPr>
      <w:r>
        <w:t xml:space="preserve">“They all fit because they all target students.” True of every possible answer, therefore worth nothing.</w:t>
      </w:r>
    </w:p>
    <w:p>
      <w:pPr>
        <w:pStyle w:val="ListParagraph"/>
        <w:numPr>
          <w:ilvl w:val="0"/>
          <w:numId w:val="2"/>
        </w:numPr>
        <w:spacing w:after="60" w:line="276"/>
      </w:pPr>
      <w:r>
        <w:t xml:space="preserve">Any essay that does not decide. Marks are for advice, and “she could either…” is not advice.</w:t>
      </w:r>
    </w:p>
    <w:p>
      <w:r>
        <w:br w:type="page"/>
      </w:r>
    </w:p>
    <w:p>
      <w:pPr>
        <w:pStyle w:val="Heading1"/>
        <w:spacing w:after="140" w:before="280"/>
      </w:pPr>
      <w:r>
        <w:t xml:space="preserve">Running the Module Live</w:t>
      </w:r>
    </w:p>
    <w:p>
      <w:pPr>
        <w:spacing w:after="120" w:line="276"/>
      </w:pPr>
      <w:r>
        <w:t xml:space="preserve">The module is built to be attempted in the room rather than taken away, which changes how it should be run. Because the task is an open essay, the one thing worth forcing early is the choice of shape — students who start writing without deciding how to organise it default to four paragraphs in a row and discover too late that they have written a list.</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1500"/>
        <w:gridCol w:w="2200"/>
        <w:gridCol w:w="5326"/>
      </w:tblGrid>
      <w:tr>
        <w:trPr>
          <w:tblHeader/>
        </w:trPr>
        <w:tc>
          <w:tcPr>
            <w:tcW w:type="dxa" w:w="1500"/>
            <w:shd w:fill="E3EFEF" w:color="auto" w:val="clear"/>
            <w:tcMar>
              <w:top w:type="dxa" w:w="80"/>
              <w:left w:type="dxa" w:w="110"/>
              <w:bottom w:type="dxa" w:w="80"/>
              <w:right w:type="dxa" w:w="110"/>
            </w:tcMar>
          </w:tcPr>
          <w:p>
            <w:pPr>
              <w:spacing w:after="0"/>
            </w:pPr>
            <w:r>
              <w:rPr>
                <w:b/>
                <w:bCs/>
                <w:color w:val="0E5A60"/>
                <w:sz w:val="19"/>
                <w:szCs w:val="19"/>
              </w:rPr>
              <w:t xml:space="preserve">Time</w:t>
            </w:r>
          </w:p>
        </w:tc>
        <w:tc>
          <w:tcPr>
            <w:tcW w:type="dxa" w:w="2200"/>
            <w:shd w:fill="E3EFEF" w:color="auto" w:val="clear"/>
            <w:tcMar>
              <w:top w:type="dxa" w:w="80"/>
              <w:left w:type="dxa" w:w="110"/>
              <w:bottom w:type="dxa" w:w="80"/>
              <w:right w:type="dxa" w:w="110"/>
            </w:tcMar>
          </w:tcPr>
          <w:p>
            <w:pPr>
              <w:spacing w:after="0"/>
            </w:pPr>
            <w:r>
              <w:rPr>
                <w:b/>
                <w:bCs/>
                <w:color w:val="0E5A60"/>
                <w:sz w:val="19"/>
                <w:szCs w:val="19"/>
              </w:rPr>
              <w:t xml:space="preserve">What happens</w:t>
            </w:r>
          </w:p>
        </w:tc>
        <w:tc>
          <w:tcPr>
            <w:tcW w:type="dxa" w:w="5326"/>
            <w:shd w:fill="E3EFEF" w:color="auto" w:val="clear"/>
            <w:tcMar>
              <w:top w:type="dxa" w:w="80"/>
              <w:left w:type="dxa" w:w="110"/>
              <w:bottom w:type="dxa" w:w="80"/>
              <w:right w:type="dxa" w:w="110"/>
            </w:tcMar>
          </w:tcPr>
          <w:p>
            <w:pPr>
              <w:spacing w:after="0"/>
            </w:pPr>
            <w:r>
              <w:rPr>
                <w:b/>
                <w:bCs/>
                <w:color w:val="0E5A60"/>
                <w:sz w:val="19"/>
                <w:szCs w:val="19"/>
              </w:rPr>
              <w:t xml:space="preserve">Notes</w:t>
            </w:r>
          </w:p>
        </w:tc>
      </w:tr>
      <w:tr>
        <w:tc>
          <w:tcPr>
            <w:tcW w:type="dxa" w:w="1500"/>
            <w:tcMar>
              <w:top w:type="dxa" w:w="80"/>
              <w:left w:type="dxa" w:w="110"/>
              <w:bottom w:type="dxa" w:w="80"/>
              <w:right w:type="dxa" w:w="110"/>
            </w:tcMar>
          </w:tcPr>
          <w:p>
            <w:pPr>
              <w:spacing w:after="0"/>
            </w:pPr>
            <w:r>
              <w:rPr>
                <w:b w:val="false"/>
                <w:bCs w:val="false"/>
                <w:sz w:val="18"/>
                <w:szCs w:val="18"/>
              </w:rPr>
              <w:t xml:space="preserve">0–10 min</w:t>
            </w:r>
          </w:p>
        </w:tc>
        <w:tc>
          <w:tcPr>
            <w:tcW w:type="dxa" w:w="2200"/>
            <w:tcMar>
              <w:top w:type="dxa" w:w="80"/>
              <w:left w:type="dxa" w:w="110"/>
              <w:bottom w:type="dxa" w:w="80"/>
              <w:right w:type="dxa" w:w="110"/>
            </w:tcMar>
          </w:tcPr>
          <w:p>
            <w:pPr>
              <w:spacing w:after="0"/>
            </w:pPr>
            <w:r>
              <w:rPr>
                <w:b w:val="false"/>
                <w:bCs w:val="false"/>
                <w:sz w:val="18"/>
                <w:szCs w:val="18"/>
              </w:rPr>
              <w:t xml:space="preserve">Read §1.2</w:t>
            </w:r>
          </w:p>
        </w:tc>
        <w:tc>
          <w:tcPr>
            <w:tcW w:type="dxa" w:w="5326"/>
            <w:tcMar>
              <w:top w:type="dxa" w:w="80"/>
              <w:left w:type="dxa" w:w="110"/>
              <w:bottom w:type="dxa" w:w="80"/>
              <w:right w:type="dxa" w:w="110"/>
            </w:tcMar>
          </w:tcPr>
          <w:p>
            <w:pPr>
              <w:spacing w:after="0"/>
            </w:pPr>
            <w:r>
              <w:rPr>
                <w:b w:val="false"/>
                <w:bCs w:val="false"/>
                <w:sz w:val="18"/>
                <w:szCs w:val="18"/>
              </w:rPr>
              <w:t xml:space="preserve">Two pages. Do not lecture the four Ps first — the reading is better than the summary, and the task teaches them anyway.</w:t>
            </w:r>
          </w:p>
        </w:tc>
      </w:tr>
      <w:tr>
        <w:tc>
          <w:tcPr>
            <w:tcW w:type="dxa" w:w="1500"/>
            <w:tcMar>
              <w:top w:type="dxa" w:w="80"/>
              <w:left w:type="dxa" w:w="110"/>
              <w:bottom w:type="dxa" w:w="80"/>
              <w:right w:type="dxa" w:w="110"/>
            </w:tcMar>
          </w:tcPr>
          <w:p>
            <w:pPr>
              <w:spacing w:after="0"/>
            </w:pPr>
            <w:r>
              <w:rPr>
                <w:b w:val="false"/>
                <w:bCs w:val="false"/>
                <w:sz w:val="18"/>
                <w:szCs w:val="18"/>
              </w:rPr>
              <w:t xml:space="preserve">10–20 min</w:t>
            </w:r>
          </w:p>
        </w:tc>
        <w:tc>
          <w:tcPr>
            <w:tcW w:type="dxa" w:w="2200"/>
            <w:tcMar>
              <w:top w:type="dxa" w:w="80"/>
              <w:left w:type="dxa" w:w="110"/>
              <w:bottom w:type="dxa" w:w="80"/>
              <w:right w:type="dxa" w:w="110"/>
            </w:tcMar>
          </w:tcPr>
          <w:p>
            <w:pPr>
              <w:spacing w:after="0"/>
            </w:pPr>
            <w:r>
              <w:rPr>
                <w:b w:val="false"/>
                <w:bCs w:val="false"/>
                <w:sz w:val="18"/>
                <w:szCs w:val="18"/>
              </w:rPr>
              <w:t xml:space="preserve">Case, then choose a shape</w:t>
            </w:r>
          </w:p>
        </w:tc>
        <w:tc>
          <w:tcPr>
            <w:tcW w:type="dxa" w:w="5326"/>
            <w:tcMar>
              <w:top w:type="dxa" w:w="80"/>
              <w:left w:type="dxa" w:w="110"/>
              <w:bottom w:type="dxa" w:w="80"/>
              <w:right w:type="dxa" w:w="110"/>
            </w:tcMar>
          </w:tcPr>
          <w:p>
            <w:pPr>
              <w:spacing w:after="0"/>
            </w:pPr>
            <w:r>
              <w:rPr>
                <w:b w:val="false"/>
                <w:bCs w:val="false"/>
                <w:sz w:val="18"/>
                <w:szCs w:val="18"/>
              </w:rPr>
              <w:t xml:space="preserve">Have each student say out loud which of the three shapes they are taking before they write a word. Naming it commits them to it, and you learn instantly who is reaching.</w:t>
            </w:r>
          </w:p>
        </w:tc>
      </w:tr>
      <w:tr>
        <w:tc>
          <w:tcPr>
            <w:tcW w:type="dxa" w:w="1500"/>
            <w:tcMar>
              <w:top w:type="dxa" w:w="80"/>
              <w:left w:type="dxa" w:w="110"/>
              <w:bottom w:type="dxa" w:w="80"/>
              <w:right w:type="dxa" w:w="110"/>
            </w:tcMar>
          </w:tcPr>
          <w:p>
            <w:pPr>
              <w:spacing w:after="0"/>
            </w:pPr>
            <w:r>
              <w:rPr>
                <w:b w:val="false"/>
                <w:bCs w:val="false"/>
                <w:sz w:val="18"/>
                <w:szCs w:val="18"/>
              </w:rPr>
              <w:t xml:space="preserve">20–70 min</w:t>
            </w:r>
          </w:p>
        </w:tc>
        <w:tc>
          <w:tcPr>
            <w:tcW w:type="dxa" w:w="2200"/>
            <w:tcMar>
              <w:top w:type="dxa" w:w="80"/>
              <w:left w:type="dxa" w:w="110"/>
              <w:bottom w:type="dxa" w:w="80"/>
              <w:right w:type="dxa" w:w="110"/>
            </w:tcMar>
          </w:tcPr>
          <w:p>
            <w:pPr>
              <w:spacing w:after="0"/>
            </w:pPr>
            <w:r>
              <w:rPr>
                <w:b w:val="false"/>
                <w:bCs w:val="false"/>
                <w:sz w:val="18"/>
                <w:szCs w:val="18"/>
              </w:rPr>
              <w:t xml:space="preserve">They write</w:t>
            </w:r>
          </w:p>
        </w:tc>
        <w:tc>
          <w:tcPr>
            <w:tcW w:type="dxa" w:w="5326"/>
            <w:tcMar>
              <w:top w:type="dxa" w:w="80"/>
              <w:left w:type="dxa" w:w="110"/>
              <w:bottom w:type="dxa" w:w="80"/>
              <w:right w:type="dxa" w:w="110"/>
            </w:tcMar>
          </w:tcPr>
          <w:p>
            <w:pPr>
              <w:spacing w:after="0"/>
            </w:pPr>
            <w:r>
              <w:rPr>
                <w:b w:val="false"/>
                <w:bCs w:val="false"/>
                <w:sz w:val="18"/>
                <w:szCs w:val="18"/>
              </w:rPr>
              <w:t xml:space="preserve">Circulate. The two most useful interventions are "why not the other one?" and "what does that decision force you to do next?"</w:t>
            </w:r>
          </w:p>
        </w:tc>
      </w:tr>
      <w:tr>
        <w:tc>
          <w:tcPr>
            <w:tcW w:type="dxa" w:w="1500"/>
            <w:tcMar>
              <w:top w:type="dxa" w:w="80"/>
              <w:left w:type="dxa" w:w="110"/>
              <w:bottom w:type="dxa" w:w="80"/>
              <w:right w:type="dxa" w:w="110"/>
            </w:tcMar>
          </w:tcPr>
          <w:p>
            <w:pPr>
              <w:spacing w:after="0"/>
            </w:pPr>
            <w:r>
              <w:rPr>
                <w:b w:val="false"/>
                <w:bCs w:val="false"/>
                <w:sz w:val="18"/>
                <w:szCs w:val="18"/>
              </w:rPr>
              <w:t xml:space="preserve">70–75 min</w:t>
            </w:r>
          </w:p>
        </w:tc>
        <w:tc>
          <w:tcPr>
            <w:tcW w:type="dxa" w:w="2200"/>
            <w:tcMar>
              <w:top w:type="dxa" w:w="80"/>
              <w:left w:type="dxa" w:w="110"/>
              <w:bottom w:type="dxa" w:w="80"/>
              <w:right w:type="dxa" w:w="110"/>
            </w:tcMar>
          </w:tcPr>
          <w:p>
            <w:pPr>
              <w:spacing w:after="0"/>
            </w:pPr>
            <w:r>
              <w:rPr>
                <w:b w:val="false"/>
                <w:bCs w:val="false"/>
                <w:sz w:val="18"/>
                <w:szCs w:val="18"/>
              </w:rPr>
              <w:t xml:space="preserve">Edit down</w:t>
            </w:r>
          </w:p>
        </w:tc>
        <w:tc>
          <w:tcPr>
            <w:tcW w:type="dxa" w:w="5326"/>
            <w:tcMar>
              <w:top w:type="dxa" w:w="80"/>
              <w:left w:type="dxa" w:w="110"/>
              <w:bottom w:type="dxa" w:w="80"/>
              <w:right w:type="dxa" w:w="110"/>
            </w:tcMar>
          </w:tcPr>
          <w:p>
            <w:pPr>
              <w:spacing w:after="0"/>
            </w:pPr>
            <w:r>
              <w:rPr>
                <w:b w:val="false"/>
                <w:bCs w:val="false"/>
                <w:sz w:val="18"/>
                <w:szCs w:val="18"/>
              </w:rPr>
              <w:t xml:space="preserve">Hand back five minutes purely for cutting. An essay is where length discipline is actually learned, and first drafts run long.</w:t>
            </w:r>
          </w:p>
        </w:tc>
      </w:tr>
      <w:tr>
        <w:tc>
          <w:tcPr>
            <w:tcW w:type="dxa" w:w="1500"/>
            <w:tcMar>
              <w:top w:type="dxa" w:w="80"/>
              <w:left w:type="dxa" w:w="110"/>
              <w:bottom w:type="dxa" w:w="80"/>
              <w:right w:type="dxa" w:w="110"/>
            </w:tcMar>
          </w:tcPr>
          <w:p>
            <w:pPr>
              <w:spacing w:after="0"/>
            </w:pPr>
            <w:r>
              <w:rPr>
                <w:b w:val="false"/>
                <w:bCs w:val="false"/>
                <w:sz w:val="18"/>
                <w:szCs w:val="18"/>
              </w:rPr>
              <w:t xml:space="preserve">75–90 min</w:t>
            </w:r>
          </w:p>
        </w:tc>
        <w:tc>
          <w:tcPr>
            <w:tcW w:type="dxa" w:w="2200"/>
            <w:tcMar>
              <w:top w:type="dxa" w:w="80"/>
              <w:left w:type="dxa" w:w="110"/>
              <w:bottom w:type="dxa" w:w="80"/>
              <w:right w:type="dxa" w:w="110"/>
            </w:tcMar>
          </w:tcPr>
          <w:p>
            <w:pPr>
              <w:spacing w:after="0"/>
            </w:pPr>
            <w:r>
              <w:rPr>
                <w:b w:val="false"/>
                <w:bCs w:val="false"/>
                <w:sz w:val="18"/>
                <w:szCs w:val="18"/>
              </w:rPr>
              <w:t xml:space="preserve">Debrief</w:t>
            </w:r>
          </w:p>
        </w:tc>
        <w:tc>
          <w:tcPr>
            <w:tcW w:type="dxa" w:w="5326"/>
            <w:tcMar>
              <w:top w:type="dxa" w:w="80"/>
              <w:left w:type="dxa" w:w="110"/>
              <w:bottom w:type="dxa" w:w="80"/>
              <w:right w:type="dxa" w:w="110"/>
            </w:tcMar>
          </w:tcPr>
          <w:p>
            <w:pPr>
              <w:spacing w:after="0"/>
            </w:pPr>
            <w:r>
              <w:rPr>
                <w:b w:val="false"/>
                <w:bCs w:val="false"/>
                <w:sz w:val="18"/>
                <w:szCs w:val="18"/>
              </w:rPr>
              <w:t xml:space="preserve">Show of hands on where they parked the cart. Split the room by spot, then ask each group what their choice forced them to do about price.</w:t>
            </w:r>
          </w:p>
        </w:tc>
      </w:tr>
    </w:tbl>
    <w:p>
      <w:pPr>
        <w:pStyle w:val="Heading2"/>
        <w:spacing w:after="140" w:before="280"/>
      </w:pPr>
      <w:r>
        <w:t xml:space="preserve">The two predictable failures</w:t>
      </w:r>
    </w:p>
    <w:p>
      <w:pPr>
        <w:spacing w:after="120" w:line="276"/>
      </w:pPr>
      <w:r>
        <w:t xml:space="preserve">Most of the room will choose the library because 1,200 is the biggest number. That is the teachable moment of the session: the biggest market is not the best market when you cannot serve it with a benefit anyone wants. Hold the debrief on this rather than on the answers.</w:t>
      </w:r>
    </w:p>
    <w:p>
      <w:pPr>
        <w:spacing w:after="120" w:line="276"/>
      </w:pPr>
      <w:r>
        <w:t xml:space="preserve">The second is structural, and it is the one the essay format exists to expose. Most students will write four paragraphs in a row and add a closing line saying the decisions fit together. Read one of those aloud next to the model essay in the answer key and ask the room which one Dara could actually act on — the difference lands faster than any explanation of it.</w:t>
      </w:r>
    </w:p>
    <w:p>
      <w:pPr>
        <w:pStyle w:val="Heading2"/>
        <w:spacing w:after="140" w:before="280"/>
      </w:pPr>
      <w:r>
        <w:t xml:space="preserve">Companion tool</w:t>
      </w:r>
    </w:p>
    <w:p>
      <w:pPr>
        <w:spacing w:after="120" w:line="276"/>
      </w:pPr>
      <w:r>
        <w:t xml:space="preserve">A study partner is available as a web page alongside this module. It answers questions, explains any term a student does not know, and reads their draft to say what is missing — but it is instructed never to name a product, a price, a spot or a promotional method, and never to write a sentence a student could paste in. It offers only sections of this book and the book’s own Link to Learning resources.</w:t>
      </w:r>
    </w:p>
    <w:p>
      <w:pPr>
        <w:spacing w:after="120" w:line="276"/>
      </w:pPr>
      <w:r>
        <w:rPr>
          <w:i/>
          <w:iCs/>
          <w:color w:val="8C4A1E"/>
        </w:rPr>
        <w:t xml:space="preserve">The page is private until shared. Students cannot open it until you share it from the page’s Share menu.</w:t>
      </w:r>
    </w:p>
    <w:p>
      <w:pPr>
        <w:spacing w:after="120" w:line="276"/>
      </w:pPr>
      <w:r>
        <w:rPr>
          <w:i/>
          <w:iCs/>
          <w:color w:val="8C4A1E"/>
        </w:rPr>
        <w:t xml:space="preserve">Note: the current version of that tool is built around five separate writing boxes, which matches an earlier version of this task rather than the essay above. It still works as a question-and-answer partner and its refusals are unchanged, but the boxes no longer mirror what students are asked to produce.</w:t>
      </w:r>
    </w:p>
    <w:p>
      <w:pPr>
        <w:pStyle w:val="Heading1"/>
        <w:spacing w:after="140" w:before="280"/>
      </w:pPr>
      <w:r>
        <w:t xml:space="preserve">Level Adaptation</w:t>
      </w:r>
    </w:p>
    <w:tbl>
      <w:tblPr>
        <w:tblW w:type="dxa" w:w="9026"/>
        <w:tblBorders>
          <w:top w:val="single" w:color="D3DCDA" w:sz="2"/>
          <w:left w:val="single" w:color="D3DCDA" w:sz="2"/>
          <w:bottom w:val="single" w:color="D3DCDA" w:sz="2"/>
          <w:right w:val="single" w:color="D3DCDA" w:sz="2"/>
          <w:insideH w:val="single" w:color="D3DCDA" w:sz="2"/>
          <w:insideV w:val="single" w:color="D3DCDA" w:sz="2"/>
        </w:tblBorders>
      </w:tblPr>
      <w:tblGrid>
        <w:gridCol w:w="2200"/>
        <w:gridCol w:w="3413"/>
        <w:gridCol w:w="3413"/>
      </w:tblGrid>
      <w:tr>
        <w:trPr>
          <w:tblHeader/>
        </w:trPr>
        <w:tc>
          <w:tcPr>
            <w:tcW w:type="dxa" w:w="2200"/>
            <w:shd w:fill="E3EFEF" w:color="auto" w:val="clear"/>
            <w:tcMar>
              <w:top w:type="dxa" w:w="80"/>
              <w:left w:type="dxa" w:w="110"/>
              <w:bottom w:type="dxa" w:w="80"/>
              <w:right w:type="dxa" w:w="110"/>
            </w:tcMar>
          </w:tcPr>
          <w:p>
            <w:pPr>
              <w:spacing w:after="0"/>
            </w:pPr>
            <w:r>
              <w:rPr>
                <w:b/>
                <w:bCs/>
                <w:color w:val="0E5A60"/>
                <w:sz w:val="19"/>
                <w:szCs w:val="19"/>
              </w:rPr>
              <w:t xml:space="preserve">Element</w:t>
            </w:r>
          </w:p>
        </w:tc>
        <w:tc>
          <w:tcPr>
            <w:tcW w:type="dxa" w:w="3413"/>
            <w:shd w:fill="E3EFEF" w:color="auto" w:val="clear"/>
            <w:tcMar>
              <w:top w:type="dxa" w:w="80"/>
              <w:left w:type="dxa" w:w="110"/>
              <w:bottom w:type="dxa" w:w="80"/>
              <w:right w:type="dxa" w:w="110"/>
            </w:tcMar>
          </w:tcPr>
          <w:p>
            <w:pPr>
              <w:spacing w:after="0"/>
            </w:pPr>
            <w:r>
              <w:rPr>
                <w:b/>
                <w:bCs/>
                <w:color w:val="0E5A60"/>
                <w:sz w:val="19"/>
                <w:szCs w:val="19"/>
              </w:rPr>
              <w:t xml:space="preserve">To simplify</w:t>
            </w:r>
          </w:p>
        </w:tc>
        <w:tc>
          <w:tcPr>
            <w:tcW w:type="dxa" w:w="3413"/>
            <w:shd w:fill="E3EFEF" w:color="auto" w:val="clear"/>
            <w:tcMar>
              <w:top w:type="dxa" w:w="80"/>
              <w:left w:type="dxa" w:w="110"/>
              <w:bottom w:type="dxa" w:w="80"/>
              <w:right w:type="dxa" w:w="110"/>
            </w:tcMar>
          </w:tcPr>
          <w:p>
            <w:pPr>
              <w:spacing w:after="0"/>
            </w:pPr>
            <w:r>
              <w:rPr>
                <w:b/>
                <w:bCs/>
                <w:color w:val="0E5A60"/>
                <w:sz w:val="19"/>
                <w:szCs w:val="19"/>
              </w:rPr>
              <w:t xml:space="preserve">To extend</w:t>
            </w:r>
          </w:p>
        </w:tc>
      </w:tr>
      <w:tr>
        <w:tc>
          <w:tcPr>
            <w:tcW w:type="dxa" w:w="2200"/>
            <w:shd w:fill="E3EFEF" w:color="auto" w:val="clear"/>
            <w:tcMar>
              <w:top w:type="dxa" w:w="80"/>
              <w:left w:type="dxa" w:w="110"/>
              <w:bottom w:type="dxa" w:w="80"/>
              <w:right w:type="dxa" w:w="110"/>
            </w:tcMar>
          </w:tcPr>
          <w:p>
            <w:pPr>
              <w:spacing w:after="0"/>
            </w:pPr>
            <w:r>
              <w:rPr>
                <w:sz w:val="18"/>
                <w:szCs w:val="18"/>
              </w:rPr>
              <w:t xml:space="preserve">Structure</w:t>
            </w:r>
          </w:p>
        </w:tc>
        <w:tc>
          <w:tcPr>
            <w:tcW w:type="dxa" w:w="3413"/>
            <w:tcMar>
              <w:top w:type="dxa" w:w="80"/>
              <w:left w:type="dxa" w:w="110"/>
              <w:bottom w:type="dxa" w:w="80"/>
              <w:right w:type="dxa" w:w="110"/>
            </w:tcMar>
          </w:tcPr>
          <w:p>
            <w:pPr>
              <w:spacing w:after="0"/>
            </w:pPr>
            <w:r>
              <w:rPr>
                <w:sz w:val="18"/>
                <w:szCs w:val="18"/>
              </w:rPr>
              <w:t xml:space="preserve">Prescribe the by-decision shape and supply four sub-headings.</w:t>
            </w:r>
          </w:p>
        </w:tc>
        <w:tc>
          <w:tcPr>
            <w:tcW w:type="dxa" w:w="3413"/>
            <w:tcMar>
              <w:top w:type="dxa" w:w="80"/>
              <w:left w:type="dxa" w:w="110"/>
              <w:bottom w:type="dxa" w:w="80"/>
              <w:right w:type="dxa" w:w="110"/>
            </w:tcMar>
          </w:tcPr>
          <w:p>
            <w:pPr>
              <w:spacing w:after="0"/>
            </w:pPr>
            <w:r>
              <w:rPr>
                <w:sz w:val="18"/>
                <w:szCs w:val="18"/>
              </w:rPr>
              <w:t xml:space="preserve">Remove the three shapes entirely and let them find their own.</w:t>
            </w:r>
          </w:p>
        </w:tc>
      </w:tr>
      <w:tr>
        <w:tc>
          <w:tcPr>
            <w:tcW w:type="dxa" w:w="2200"/>
            <w:shd w:fill="E3EFEF" w:color="auto" w:val="clear"/>
            <w:tcMar>
              <w:top w:type="dxa" w:w="80"/>
              <w:left w:type="dxa" w:w="110"/>
              <w:bottom w:type="dxa" w:w="80"/>
              <w:right w:type="dxa" w:w="110"/>
            </w:tcMar>
          </w:tcPr>
          <w:p>
            <w:pPr>
              <w:spacing w:after="0"/>
            </w:pPr>
            <w:r>
              <w:rPr>
                <w:sz w:val="18"/>
                <w:szCs w:val="18"/>
              </w:rPr>
              <w:t xml:space="preserve">Numbers</w:t>
            </w:r>
          </w:p>
        </w:tc>
        <w:tc>
          <w:tcPr>
            <w:tcW w:type="dxa" w:w="3413"/>
            <w:tcMar>
              <w:top w:type="dxa" w:w="80"/>
              <w:left w:type="dxa" w:w="110"/>
              <w:bottom w:type="dxa" w:w="80"/>
              <w:right w:type="dxa" w:w="110"/>
            </w:tcMar>
          </w:tcPr>
          <w:p>
            <w:pPr>
              <w:spacing w:after="0"/>
            </w:pPr>
            <w:r>
              <w:rPr>
                <w:sz w:val="18"/>
                <w:szCs w:val="18"/>
              </w:rPr>
              <w:t xml:space="preserve">State the €45-licence break-even for them and ask them to interpret it.</w:t>
            </w:r>
          </w:p>
        </w:tc>
        <w:tc>
          <w:tcPr>
            <w:tcW w:type="dxa" w:w="3413"/>
            <w:tcMar>
              <w:top w:type="dxa" w:w="80"/>
              <w:left w:type="dxa" w:w="110"/>
              <w:bottom w:type="dxa" w:w="80"/>
              <w:right w:type="dxa" w:w="110"/>
            </w:tcMar>
          </w:tcPr>
          <w:p>
            <w:pPr>
              <w:spacing w:after="0"/>
            </w:pPr>
            <w:r>
              <w:rPr>
                <w:sz w:val="18"/>
                <w:szCs w:val="18"/>
              </w:rPr>
              <w:t xml:space="preserve">Require a daily volume estimate for the chosen spot and a stated conversion assumption.</w:t>
            </w:r>
          </w:p>
        </w:tc>
      </w:tr>
      <w:tr>
        <w:tc>
          <w:tcPr>
            <w:tcW w:type="dxa" w:w="2200"/>
            <w:shd w:fill="E3EFEF" w:color="auto" w:val="clear"/>
            <w:tcMar>
              <w:top w:type="dxa" w:w="80"/>
              <w:left w:type="dxa" w:w="110"/>
              <w:bottom w:type="dxa" w:w="80"/>
              <w:right w:type="dxa" w:w="110"/>
            </w:tcMar>
          </w:tcPr>
          <w:p>
            <w:pPr>
              <w:spacing w:after="0"/>
            </w:pPr>
            <w:r>
              <w:rPr>
                <w:sz w:val="18"/>
                <w:szCs w:val="18"/>
              </w:rPr>
              <w:t xml:space="preserve">Evidence</w:t>
            </w:r>
          </w:p>
        </w:tc>
        <w:tc>
          <w:tcPr>
            <w:tcW w:type="dxa" w:w="3413"/>
            <w:tcMar>
              <w:top w:type="dxa" w:w="80"/>
              <w:left w:type="dxa" w:w="110"/>
              <w:bottom w:type="dxa" w:w="80"/>
              <w:right w:type="dxa" w:w="110"/>
            </w:tcMar>
          </w:tcPr>
          <w:p>
            <w:pPr>
              <w:spacing w:after="0"/>
            </w:pPr>
            <w:r>
              <w:rPr>
                <w:sz w:val="18"/>
                <w:szCs w:val="18"/>
              </w:rPr>
              <w:t xml:space="preserve">Point them to the survey findings explicitly in each part.</w:t>
            </w:r>
          </w:p>
        </w:tc>
        <w:tc>
          <w:tcPr>
            <w:tcW w:type="dxa" w:w="3413"/>
            <w:tcMar>
              <w:top w:type="dxa" w:w="80"/>
              <w:left w:type="dxa" w:w="110"/>
              <w:bottom w:type="dxa" w:w="80"/>
              <w:right w:type="dxa" w:w="110"/>
            </w:tcMar>
          </w:tcPr>
          <w:p>
            <w:pPr>
              <w:spacing w:after="0"/>
            </w:pPr>
            <w:r>
              <w:rPr>
                <w:sz w:val="18"/>
                <w:szCs w:val="18"/>
              </w:rPr>
              <w:t xml:space="preserve">Remove the survey figures from the brief and let them ask for the data they need.</w:t>
            </w:r>
          </w:p>
        </w:tc>
      </w:tr>
      <w:tr>
        <w:tc>
          <w:tcPr>
            <w:tcW w:type="dxa" w:w="2200"/>
            <w:shd w:fill="E3EFEF" w:color="auto" w:val="clear"/>
            <w:tcMar>
              <w:top w:type="dxa" w:w="80"/>
              <w:left w:type="dxa" w:w="110"/>
              <w:bottom w:type="dxa" w:w="80"/>
              <w:right w:type="dxa" w:w="110"/>
            </w:tcMar>
          </w:tcPr>
          <w:p>
            <w:pPr>
              <w:spacing w:after="0"/>
            </w:pPr>
            <w:r>
              <w:rPr>
                <w:sz w:val="18"/>
                <w:szCs w:val="18"/>
              </w:rPr>
              <w:t xml:space="preserve">Length</w:t>
            </w:r>
          </w:p>
        </w:tc>
        <w:tc>
          <w:tcPr>
            <w:tcW w:type="dxa" w:w="3413"/>
            <w:tcMar>
              <w:top w:type="dxa" w:w="80"/>
              <w:left w:type="dxa" w:w="110"/>
              <w:bottom w:type="dxa" w:w="80"/>
              <w:right w:type="dxa" w:w="110"/>
            </w:tcMar>
          </w:tcPr>
          <w:p>
            <w:pPr>
              <w:spacing w:after="0"/>
            </w:pPr>
            <w:r>
              <w:rPr>
                <w:sz w:val="18"/>
                <w:szCs w:val="18"/>
              </w:rPr>
              <w:t xml:space="preserve">Reduce to 250 words.</w:t>
            </w:r>
          </w:p>
        </w:tc>
        <w:tc>
          <w:tcPr>
            <w:tcW w:type="dxa" w:w="3413"/>
            <w:tcMar>
              <w:top w:type="dxa" w:w="80"/>
              <w:left w:type="dxa" w:w="110"/>
              <w:bottom w:type="dxa" w:w="80"/>
              <w:right w:type="dxa" w:w="110"/>
            </w:tcMar>
          </w:tcPr>
          <w:p>
            <w:pPr>
              <w:spacing w:after="0"/>
            </w:pPr>
            <w:r>
              <w:rPr>
                <w:sz w:val="18"/>
                <w:szCs w:val="18"/>
              </w:rPr>
              <w:t xml:space="preserve">Raise to 800 and require the counterfactual in Part 5 to be fully worked.</w:t>
            </w:r>
          </w:p>
        </w:tc>
      </w:tr>
      <w:tr>
        <w:tc>
          <w:tcPr>
            <w:tcW w:type="dxa" w:w="2200"/>
            <w:shd w:fill="E3EFEF" w:color="auto" w:val="clear"/>
            <w:tcMar>
              <w:top w:type="dxa" w:w="80"/>
              <w:left w:type="dxa" w:w="110"/>
              <w:bottom w:type="dxa" w:w="80"/>
              <w:right w:type="dxa" w:w="110"/>
            </w:tcMar>
          </w:tcPr>
          <w:p>
            <w:pPr>
              <w:spacing w:after="0"/>
            </w:pPr>
            <w:r>
              <w:rPr>
                <w:sz w:val="18"/>
                <w:szCs w:val="18"/>
              </w:rPr>
              <w:t xml:space="preserve">Book</w:t>
            </w:r>
          </w:p>
        </w:tc>
        <w:tc>
          <w:tcPr>
            <w:tcW w:type="dxa" w:w="3413"/>
            <w:tcMar>
              <w:top w:type="dxa" w:w="80"/>
              <w:left w:type="dxa" w:w="110"/>
              <w:bottom w:type="dxa" w:w="80"/>
              <w:right w:type="dxa" w:w="110"/>
            </w:tcMar>
          </w:tcPr>
          <w:p>
            <w:pPr>
              <w:spacing w:after="0"/>
            </w:pPr>
            <w:r>
              <w:rPr>
                <w:sz w:val="18"/>
                <w:szCs w:val="18"/>
              </w:rPr>
              <w:t xml:space="preserve">Give §1.2 as a handout.</w:t>
            </w:r>
          </w:p>
        </w:tc>
        <w:tc>
          <w:tcPr>
            <w:tcW w:type="dxa" w:w="3413"/>
            <w:tcMar>
              <w:top w:type="dxa" w:w="80"/>
              <w:left w:type="dxa" w:w="110"/>
              <w:bottom w:type="dxa" w:w="80"/>
              <w:right w:type="dxa" w:w="110"/>
            </w:tcMar>
          </w:tcPr>
          <w:p>
            <w:pPr>
              <w:spacing w:after="0"/>
            </w:pPr>
            <w:r>
              <w:rPr>
                <w:sz w:val="18"/>
                <w:szCs w:val="18"/>
              </w:rPr>
              <w:t xml:space="preserve">Require §9.1’s product classification to be applied explicitly and defended.</w:t>
            </w:r>
          </w:p>
        </w:tc>
      </w:tr>
    </w:tbl>
    <w:p>
      <w:pPr>
        <w:pStyle w:val="Heading1"/>
        <w:spacing w:after="140" w:before="280"/>
      </w:pPr>
      <w:r>
        <w:t xml:space="preserve">Source and Attribution</w:t>
      </w:r>
    </w:p>
    <w:p>
      <w:pPr>
        <w:spacing w:after="120" w:line="276"/>
      </w:pPr>
      <w:r>
        <w:t xml:space="preserve">Concepts, sections and page references are drawn from Principles of Marketing by Maria Gomez Albrecht, Mark Green and Linda Hoffman, published by OpenStax, Rice University, 2023.</w:t>
      </w:r>
    </w:p>
    <w:p>
      <w:pPr>
        <w:spacing w:after="120" w:line="276"/>
      </w:pPr>
      <w:r>
        <w:t xml:space="preserve">The source text is licensed under a Creative Commons Attribution 4.0 International License (CC BY 4.0), permitting use, adaptation and redistribution including commercially, provided attribution is retained.</w:t>
      </w:r>
    </w:p>
    <w:p>
      <w:pPr>
        <w:spacing w:after="120" w:line="276"/>
      </w:pPr>
      <w:r>
        <w:rPr>
          <w:b/>
          <w:bCs/>
        </w:rPr>
        <w:t xml:space="preserve">Access for free at openstax.org</w:t>
      </w:r>
    </w:p>
    <w:p>
      <w:pPr>
        <w:spacing w:after="120" w:line="276"/>
      </w:pPr>
      <w:r>
        <w:rPr>
          <w:sz w:val="19"/>
          <w:szCs w:val="19"/>
        </w:rPr>
        <w:t xml:space="preserve">https://openstax.org/details/books/principles-marketing</w:t>
      </w:r>
    </w:p>
    <w:p>
      <w:pPr>
        <w:spacing w:before="160"/>
      </w:pPr>
      <w:r>
        <w:t xml:space="preserve">The Dara’s Coffee Cart case, its figures, the task, rubric, grading scale, answer key and session plan are original teaching materials. Dara and the campus are fictional.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95"/>
        <w:sz w:val="16"/>
        <w:szCs w:val="16"/>
      </w:rPr>
      <w:t xml:space="preserve">Dara's Coffee Cart  |  Introductory Module  |  </w:t>
    </w:r>
    <w:r>
      <w:rPr>
        <w:color w:val="8A9395"/>
        <w:sz w:val="16"/>
        <w:szCs w:val="16"/>
      </w:rPr>
      <w:fldChar w:fldCharType="begin"/>
      <w:instrText xml:space="preserve">PAGE</w:instrText>
      <w:fldChar w:fldCharType="separate"/>
      <w:fldChar w:fldCharType="end"/>
    </w:r>
    <w:r>
      <w:rPr>
        <w:color w:val="8A9395"/>
        <w:sz w:val="16"/>
        <w:szCs w:val="16"/>
      </w:rPr>
      <w:t xml:space="preserve">  |  Access for free at openstax.org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4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0E5A60"/>
      <w:sz w:val="32"/>
      <w:szCs w:val="32"/>
    </w:rPr>
  </w:style>
  <w:style w:type="paragraph" w:styleId="Heading2">
    <w:name w:val="Heading 2"/>
    <w:basedOn w:val="Normal"/>
    <w:next w:val="Normal"/>
    <w:qFormat/>
    <w:pPr>
      <w:spacing w:after="140" w:before="300"/>
    </w:pPr>
    <w:rPr>
      <w:rFonts w:ascii="Calibri" w:cs="Calibri" w:eastAsia="Calibri" w:hAnsi="Calibri"/>
      <w:b/>
      <w:bCs/>
      <w:color w:val="1D242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Dara's Coffee Cart - Introductory Module</dc:title>
  <dc:creator>Course design</dc:creator>
  <dc:description>A first encounter with the four Ps</dc:description>
  <cp:lastModifiedBy>Un-named</cp:lastModifiedBy>
  <cp:revision>1</cp:revision>
  <dcterms:created xsi:type="dcterms:W3CDTF">2026-09-19T21:21:36.520Z</dcterms:created>
  <dcterms:modified xsi:type="dcterms:W3CDTF">2026-09-19T21:21:36.520Z</dcterms:modified>
</cp:coreProperties>
</file>

<file path=docProps/custom.xml><?xml version="1.0" encoding="utf-8"?>
<Properties xmlns="http://schemas.openxmlformats.org/officeDocument/2006/custom-properties" xmlns:vt="http://schemas.openxmlformats.org/officeDocument/2006/docPropsVTypes"/>
</file>