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E3A8A"/>
          <w:sz w:val="27"/>
        </w:rPr>
        <w:t>DEPARTMENT OF ARTIFICIAL INTELLIGENCE &amp; DATA SCIENCE</w:t>
        <w:br/>
      </w:r>
      <w:r>
        <w:rPr>
          <w:rFonts w:ascii="Calibri" w:hAnsi="Calibri"/>
          <w:b/>
          <w:color w:val="0F172A"/>
          <w:sz w:val="22"/>
        </w:rPr>
        <w:t>SVKM's Dwarkadas J. Sanghvi College of Engineering (DJSCE), Mumbai</w:t>
        <w:br/>
      </w:r>
      <w:r>
        <w:rPr>
          <w:rFonts w:ascii="Calibri" w:hAnsi="Calibri"/>
          <w:color w:val="64748B"/>
          <w:sz w:val="18"/>
        </w:rPr>
        <w:t>Academic Year: 2026–27 (Odd Semester) | Final Year B.Tech. (Sem VII) | Course Code: DJS23ITELX12</w:t>
        <w:br/>
      </w:r>
    </w:p>
    <w:p>
      <w:pPr>
        <w:spacing w:before="120" w:after="200"/>
        <w:jc w:val="center"/>
      </w:pPr>
      <w:r>
        <w:rPr>
          <w:rFonts w:ascii="Calibri" w:hAnsi="Calibri"/>
          <w:b/>
          <w:color w:val="1E3A8A"/>
          <w:sz w:val="30"/>
        </w:rPr>
        <w:t>TUTORIAL 1: LITERATURE REVIEW AND RESEARCH GAP</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single" w:sz="6" w:space="0" w:color="CBD5E1"/>
          <w:left w:val="none"/>
          <w:right w:val="none"/>
        </w:tblBorders>
      </w:tblPr>
      <w:tblGrid>
        <w:gridCol w:w="4824"/>
        <w:gridCol w:w="4824"/>
      </w:tblGrid>
      <w:tr>
        <w:tc>
          <w:tcPr>
            <w:tcW w:type="dxa" w:w="2880"/>
            <w:tcMar>
              <w:top w:w="80" w:type="dxa"/>
              <w:bottom w:w="80" w:type="dxa"/>
              <w:left w:w="120" w:type="dxa"/>
              <w:right w:w="120" w:type="dxa"/>
            </w:tcMar>
            <w:shd w:fill="F8FAFC"/>
          </w:tcPr>
          <w:p>
            <w:pPr>
              <w:spacing w:after="0"/>
            </w:pPr>
            <w:r>
              <w:rPr>
                <w:rFonts w:ascii="Calibri" w:hAnsi="Calibri"/>
                <w:b/>
                <w:color w:val="0F172A"/>
                <w:sz w:val="19"/>
              </w:rPr>
              <w:t>Student Name:</w:t>
            </w:r>
          </w:p>
        </w:tc>
        <w:tc>
          <w:tcPr>
            <w:tcW w:type="dxa" w:w="6768"/>
            <w:tcMar>
              <w:top w:w="80" w:type="dxa"/>
              <w:bottom w:w="80" w:type="dxa"/>
              <w:left w:w="120" w:type="dxa"/>
              <w:right w:w="120" w:type="dxa"/>
            </w:tcMar>
            <w:shd w:fill="F8FAFC"/>
          </w:tcPr>
          <w:p>
            <w:pPr>
              <w:spacing w:after="0"/>
            </w:pPr>
            <w:r>
              <w:rPr>
                <w:rFonts w:ascii="Calibri" w:hAnsi="Calibri"/>
                <w:color w:val="1E293B"/>
                <w:sz w:val="19"/>
              </w:rPr>
              <w:t>Varun Gupta</w:t>
            </w:r>
          </w:p>
        </w:tc>
      </w:tr>
      <w:tr>
        <w:tc>
          <w:tcPr>
            <w:tcW w:type="dxa" w:w="2880"/>
            <w:tcMar>
              <w:top w:w="80" w:type="dxa"/>
              <w:bottom w:w="80" w:type="dxa"/>
              <w:left w:w="120" w:type="dxa"/>
              <w:right w:w="120" w:type="dxa"/>
            </w:tcMar>
            <w:shd w:fill="FFFFFF"/>
          </w:tcPr>
          <w:p>
            <w:pPr>
              <w:spacing w:after="0"/>
            </w:pPr>
            <w:r>
              <w:rPr>
                <w:rFonts w:ascii="Calibri" w:hAnsi="Calibri"/>
                <w:b/>
                <w:color w:val="0F172A"/>
                <w:sz w:val="19"/>
              </w:rPr>
              <w:t>SAP ID / Roll No.:</w:t>
            </w:r>
          </w:p>
        </w:tc>
        <w:tc>
          <w:tcPr>
            <w:tcW w:type="dxa" w:w="6768"/>
            <w:tcMar>
              <w:top w:w="80" w:type="dxa"/>
              <w:bottom w:w="80" w:type="dxa"/>
              <w:left w:w="120" w:type="dxa"/>
              <w:right w:w="120" w:type="dxa"/>
            </w:tcMar>
            <w:shd w:fill="FFFFFF"/>
          </w:tcPr>
          <w:p>
            <w:pPr>
              <w:spacing w:after="0"/>
            </w:pPr>
            <w:r>
              <w:rPr>
                <w:rFonts w:ascii="Calibri" w:hAnsi="Calibri"/>
                <w:b/>
                <w:color w:val="1E3A8A"/>
                <w:sz w:val="19"/>
              </w:rPr>
              <w:t>60018230100</w:t>
            </w:r>
          </w:p>
        </w:tc>
      </w:tr>
      <w:tr>
        <w:tc>
          <w:tcPr>
            <w:tcW w:type="dxa" w:w="2880"/>
            <w:tcMar>
              <w:top w:w="80" w:type="dxa"/>
              <w:bottom w:w="80" w:type="dxa"/>
              <w:left w:w="120" w:type="dxa"/>
              <w:right w:w="120" w:type="dxa"/>
            </w:tcMar>
            <w:shd w:fill="F8FAFC"/>
          </w:tcPr>
          <w:p>
            <w:pPr>
              <w:spacing w:after="0"/>
            </w:pPr>
            <w:r>
              <w:rPr>
                <w:rFonts w:ascii="Calibri" w:hAnsi="Calibri"/>
                <w:b/>
                <w:color w:val="0F172A"/>
                <w:sz w:val="19"/>
              </w:rPr>
              <w:t>Project Title:</w:t>
            </w:r>
          </w:p>
        </w:tc>
        <w:tc>
          <w:tcPr>
            <w:tcW w:type="dxa" w:w="6768"/>
            <w:tcMar>
              <w:top w:w="80" w:type="dxa"/>
              <w:bottom w:w="80" w:type="dxa"/>
              <w:left w:w="120" w:type="dxa"/>
              <w:right w:w="120" w:type="dxa"/>
            </w:tcMar>
            <w:shd w:fill="F8FAFC"/>
          </w:tcPr>
          <w:p>
            <w:pPr>
              <w:spacing w:after="0"/>
            </w:pPr>
            <w:r>
              <w:rPr>
                <w:rFonts w:ascii="Calibri" w:hAnsi="Calibri"/>
                <w:color w:val="1E293B"/>
                <w:sz w:val="19"/>
              </w:rPr>
              <w:t>FinReg-SLM: Domain-Specialized Small Language Model for Multi-Agency Indian Financial Regulatory Compliance</w:t>
            </w:r>
          </w:p>
        </w:tc>
      </w:tr>
      <w:tr>
        <w:tc>
          <w:tcPr>
            <w:tcW w:type="dxa" w:w="2880"/>
            <w:tcMar>
              <w:top w:w="80" w:type="dxa"/>
              <w:bottom w:w="80" w:type="dxa"/>
              <w:left w:w="120" w:type="dxa"/>
              <w:right w:w="120" w:type="dxa"/>
            </w:tcMar>
            <w:shd w:fill="FFFFFF"/>
          </w:tcPr>
          <w:p>
            <w:pPr>
              <w:spacing w:after="0"/>
            </w:pPr>
            <w:r>
              <w:rPr>
                <w:rFonts w:ascii="Calibri" w:hAnsi="Calibri"/>
                <w:b/>
                <w:color w:val="0F172A"/>
                <w:sz w:val="19"/>
              </w:rPr>
              <w:t>Institutional Affiliation:</w:t>
            </w:r>
          </w:p>
        </w:tc>
        <w:tc>
          <w:tcPr>
            <w:tcW w:type="dxa" w:w="6768"/>
            <w:tcMar>
              <w:top w:w="80" w:type="dxa"/>
              <w:bottom w:w="80" w:type="dxa"/>
              <w:left w:w="120" w:type="dxa"/>
              <w:right w:w="120" w:type="dxa"/>
            </w:tcMar>
            <w:shd w:fill="FFFFFF"/>
          </w:tcPr>
          <w:p>
            <w:pPr>
              <w:spacing w:after="0"/>
            </w:pPr>
            <w:r>
              <w:rPr>
                <w:rFonts w:ascii="Calibri" w:hAnsi="Calibri"/>
                <w:color w:val="1E293B"/>
                <w:sz w:val="19"/>
              </w:rPr>
              <w:t>SVKM's Dwarkadas J. Sanghvi College of Engineering (DJSCE), Department of AI &amp; DS</w:t>
            </w:r>
          </w:p>
        </w:tc>
      </w:tr>
      <w:tr>
        <w:tc>
          <w:tcPr>
            <w:tcW w:type="dxa" w:w="2880"/>
            <w:tcMar>
              <w:top w:w="80" w:type="dxa"/>
              <w:bottom w:w="80" w:type="dxa"/>
              <w:left w:w="120" w:type="dxa"/>
              <w:right w:w="120" w:type="dxa"/>
            </w:tcMar>
            <w:shd w:fill="F8FAFC"/>
          </w:tcPr>
          <w:p>
            <w:pPr>
              <w:spacing w:after="0"/>
            </w:pPr>
            <w:r>
              <w:rPr>
                <w:rFonts w:ascii="Calibri" w:hAnsi="Calibri"/>
                <w:b/>
                <w:color w:val="0F172A"/>
                <w:sz w:val="19"/>
              </w:rPr>
              <w:t>Course &amp; Code:</w:t>
            </w:r>
          </w:p>
        </w:tc>
        <w:tc>
          <w:tcPr>
            <w:tcW w:type="dxa" w:w="6768"/>
            <w:tcMar>
              <w:top w:w="80" w:type="dxa"/>
              <w:bottom w:w="80" w:type="dxa"/>
              <w:left w:w="120" w:type="dxa"/>
              <w:right w:w="120" w:type="dxa"/>
            </w:tcMar>
            <w:shd w:fill="F8FAFC"/>
          </w:tcPr>
          <w:p>
            <w:pPr>
              <w:spacing w:after="0"/>
            </w:pPr>
            <w:r>
              <w:rPr>
                <w:rFonts w:ascii="Calibri" w:hAnsi="Calibri"/>
                <w:color w:val="1E293B"/>
                <w:sz w:val="19"/>
              </w:rPr>
              <w:t>Research Ecosystem (DJS23ITELX12)</w:t>
            </w:r>
          </w:p>
        </w:tc>
      </w:tr>
      <w:tr>
        <w:tc>
          <w:tcPr>
            <w:tcW w:type="dxa" w:w="2880"/>
            <w:tcMar>
              <w:top w:w="80" w:type="dxa"/>
              <w:bottom w:w="80" w:type="dxa"/>
              <w:left w:w="120" w:type="dxa"/>
              <w:right w:w="120" w:type="dxa"/>
            </w:tcMar>
            <w:shd w:fill="FFFFFF"/>
          </w:tcPr>
          <w:p>
            <w:pPr>
              <w:spacing w:after="0"/>
            </w:pPr>
            <w:r>
              <w:rPr>
                <w:rFonts w:ascii="Calibri" w:hAnsi="Calibri"/>
                <w:b/>
                <w:color w:val="0F172A"/>
                <w:sz w:val="19"/>
              </w:rPr>
              <w:t>Submission Date:</w:t>
            </w:r>
          </w:p>
        </w:tc>
        <w:tc>
          <w:tcPr>
            <w:tcW w:type="dxa" w:w="6768"/>
            <w:tcMar>
              <w:top w:w="80" w:type="dxa"/>
              <w:bottom w:w="80" w:type="dxa"/>
              <w:left w:w="120" w:type="dxa"/>
              <w:right w:w="120" w:type="dxa"/>
            </w:tcMar>
            <w:shd w:fill="FFFFFF"/>
          </w:tcPr>
          <w:p>
            <w:pPr>
              <w:spacing w:after="0"/>
            </w:pPr>
            <w:r>
              <w:rPr>
                <w:rFonts w:ascii="Calibri" w:hAnsi="Calibri"/>
                <w:color w:val="1E293B"/>
                <w:sz w:val="19"/>
              </w:rPr>
              <w:t>August 19, 2026</w:t>
            </w:r>
          </w:p>
        </w:tc>
      </w:tr>
    </w:tbl>
    <w:p>
      <w:pPr>
        <w:spacing w:after="80"/>
      </w:pPr>
    </w:p>
    <w:p>
      <w:pPr>
        <w:keepNext/>
        <w:spacing w:before="280" w:after="120"/>
      </w:pPr>
      <w:r>
        <w:rPr>
          <w:rFonts w:ascii="Calibri" w:hAnsi="Calibri"/>
          <w:b/>
          <w:color w:val="1E3A8A"/>
          <w:sz w:val="26"/>
        </w:rPr>
        <w:t>PART B — Project Title, Background &amp; Problem Statement</w:t>
      </w:r>
    </w:p>
    <w:p>
      <w:pPr>
        <w:keepNext/>
        <w:spacing w:before="280" w:after="120"/>
      </w:pPr>
      <w:r>
        <w:rPr>
          <w:rFonts w:ascii="Calibri" w:hAnsi="Calibri"/>
          <w:b/>
          <w:color w:val="0F172A"/>
          <w:sz w:val="22"/>
        </w:rPr>
        <w:t>1. Project Title</w:t>
      </w:r>
    </w:p>
    <w:p>
      <w:pPr>
        <w:spacing w:after="120" w:line="276" w:lineRule="auto"/>
      </w:pPr>
      <w:r>
        <w:rPr>
          <w:rFonts w:ascii="Calibri" w:hAnsi="Calibri"/>
          <w:b/>
          <w:color w:val="0F172A"/>
          <w:sz w:val="19"/>
        </w:rPr>
        <w:t xml:space="preserve">Formal Title: </w:t>
      </w:r>
      <w:r>
        <w:rPr>
          <w:rFonts w:ascii="Calibri" w:hAnsi="Calibri"/>
          <w:color w:val="1E293B"/>
          <w:sz w:val="19"/>
        </w:rPr>
        <w:t>FinReg-SLM: A Version-Aware, Multi-Agency Retrieval-Augmented Fine-Tuned Small Language Model with Native Chain-of-Thought Reasoning and Direct Preference Optimization for Indian Financial Regulatory Compliance</w:t>
      </w:r>
    </w:p>
    <w:p>
      <w:pPr>
        <w:keepNext/>
        <w:spacing w:before="280" w:after="120"/>
      </w:pPr>
      <w:r>
        <w:rPr>
          <w:rFonts w:ascii="Calibri" w:hAnsi="Calibri"/>
          <w:b/>
          <w:color w:val="0F172A"/>
          <w:sz w:val="22"/>
        </w:rPr>
        <w:t>2. Background and Motivation</w:t>
      </w:r>
    </w:p>
    <w:p>
      <w:pPr>
        <w:spacing w:after="120" w:line="276" w:lineRule="auto"/>
      </w:pPr>
      <w:r>
        <w:rPr>
          <w:rFonts w:ascii="Calibri" w:hAnsi="Calibri"/>
          <w:b/>
          <w:color w:val="0F172A"/>
          <w:sz w:val="19"/>
        </w:rPr>
        <w:t xml:space="preserve">The Multi-Agency Compliance Landscape: </w:t>
      </w:r>
      <w:r>
        <w:rPr>
          <w:rFonts w:ascii="Calibri" w:hAnsi="Calibri"/>
          <w:color w:val="1E293B"/>
          <w:sz w:val="19"/>
        </w:rPr>
        <w:t>Indian financial institutions operate within a dense, multi-jurisdictional statutory ecosystem governed by 13 primary regulatory authorities (including RBI, SEBI, MCA, CBIC, CBDT, IBBI, EPFO, ESIC, IRDAI, PFRDA, MeitY, FIU-IND, and IFSCA) alongside 25 governing Parliamentary Acts (e.g., Banking Regulation Act 1949, RBI Act 1934, Companies Act 2013, SEBI Act 1992, DPDP Act 2023). Together, over 18,242 active statutory circulars, Master Directions, notifications, and gazette orders impose rigorous operational mandates on scheduled commercial banks, NBFCs, and fintech enterprises.</w:t>
      </w:r>
    </w:p>
    <w:p>
      <w:pPr>
        <w:spacing w:after="120" w:line="276" w:lineRule="auto"/>
      </w:pPr>
      <w:r>
        <w:rPr>
          <w:rFonts w:ascii="Calibri" w:hAnsi="Calibri"/>
          <w:b/>
          <w:color w:val="0F172A"/>
          <w:sz w:val="19"/>
        </w:rPr>
        <w:t xml:space="preserve">Temporal Volatility and Superseded Clauses: </w:t>
      </w:r>
      <w:r>
        <w:rPr>
          <w:rFonts w:ascii="Calibri" w:hAnsi="Calibri"/>
          <w:color w:val="1E293B"/>
          <w:sz w:val="19"/>
        </w:rPr>
        <w:t>Regulatory circulars are subject to continuous partial amendments, clarifications, and sunset clauses. For instance, a 2025 SEBI amendment to the Takeover Regulations modified share valuation guidelines while granting a 9-month transitional window. Standard semantic vector search fails in this setting: older 2018 circulars often exhibit higher cosine similarity to user queries than the recent amendment, causing standard RAG systems to retrieve obsolete law and generate hallucinated compliance advice.</w:t>
      </w:r>
    </w:p>
    <w:tbl>
      <w:tblPr>
        <w:tblW w:type="auto" w:w="0"/>
        <w:jc w:val="center"/>
        <w:tblLayout w:type="fixed"/>
        <w:tblLook w:firstColumn="1" w:firstRow="1" w:lastColumn="0" w:lastRow="0" w:noHBand="0" w:noVBand="1" w:val="04A0"/>
      </w:tblPr>
      <w:tblGrid>
        <w:gridCol w:w="9648"/>
      </w:tblGrid>
      <w:tr>
        <w:tc>
          <w:tcPr>
            <w:tcW w:type="dxa" w:w="9360"/>
            <w:shd w:fill="EFF6FF"/>
            <w:tcMar>
              <w:top w:w="140" w:type="dxa"/>
              <w:bottom w:w="140" w:type="dxa"/>
              <w:left w:w="180" w:type="dxa"/>
              <w:right w:w="180" w:type="dxa"/>
            </w:tcMar>
            <w:tcBorders>
              <w:left w:val="single" w:sz="24" w:space="0" w:color="1E3A8A"/>
              <w:top w:val="none"/>
              <w:right w:val="none"/>
              <w:bottom w:val="none"/>
            </w:tcBorders>
          </w:tcPr>
          <w:p>
            <w:pPr>
              <w:spacing w:before="40" w:after="60"/>
            </w:pPr>
            <w:r>
              <w:rPr>
                <w:rFonts w:ascii="Calibri" w:hAnsi="Calibri"/>
                <w:b/>
                <w:color w:val="1E3A8A"/>
                <w:sz w:val="21"/>
              </w:rPr>
              <w:t>📌 Data Sovereignty &amp; Legal Mandate (DPDP Act 2023)</w:t>
              <w:br/>
            </w:r>
            <w:r>
              <w:rPr>
                <w:rFonts w:ascii="Calibri" w:hAnsi="Calibri"/>
                <w:color w:val="1E293B"/>
                <w:sz w:val="19"/>
              </w:rPr>
              <w:t>Deploying offshore cloud-hosted LLM APIs (such as OpenAI GPT-4o or Google Gemini 2.5) introduces severe statutory liability. Uploading internal financial audit trails, banking logs, and customer KYC records to third-party offshore endpoints violates data localization and privacy mandates under India's Digital Personal Data Protection (DPDP) Act 2023. Financial enterprises require a 100% on-premises, self-hosted Small Language Model (SLM) executing on local institutional hardware.</w:t>
            </w:r>
          </w:p>
        </w:tc>
      </w:tr>
    </w:tbl>
    <w:p>
      <w:pPr>
        <w:spacing w:before="0" w:after="80"/>
      </w:pPr>
    </w:p>
    <w:p>
      <w:pPr>
        <w:spacing w:after="120" w:line="276" w:lineRule="auto"/>
      </w:pPr>
      <w:r>
        <w:rPr>
          <w:rFonts w:ascii="Calibri" w:hAnsi="Calibri"/>
          <w:b/>
          <w:color w:val="0F172A"/>
          <w:sz w:val="19"/>
        </w:rPr>
        <w:t xml:space="preserve">Epistemic Limits and Hallucination Risks: </w:t>
      </w:r>
      <w:r>
        <w:rPr>
          <w:rFonts w:ascii="Calibri" w:hAnsi="Calibri"/>
          <w:color w:val="1E293B"/>
          <w:sz w:val="19"/>
        </w:rPr>
        <w:t>General-purpose language models suffer from three acute failure modes when querying statutory circulars: (1) Hallucination of Authority, where models invent plausible circular reference numbers; (2) Distractor Sensitivity, where irrelevant text in the retrieval window misleads output generation; and (3) Epistemic Sycophancy, where models answer questions based on false premises rather than rejecting them.</w:t>
      </w:r>
    </w:p>
    <w:p>
      <w:pPr>
        <w:spacing w:after="120" w:line="276" w:lineRule="auto"/>
      </w:pPr>
      <w:r>
        <w:rPr>
          <w:rFonts w:ascii="Calibri" w:hAnsi="Calibri"/>
          <w:b/>
          <w:color w:val="0F172A"/>
          <w:sz w:val="19"/>
        </w:rPr>
        <w:t xml:space="preserve">The FinReg-SLM Approach: </w:t>
      </w:r>
      <w:r>
        <w:rPr>
          <w:rFonts w:ascii="Calibri" w:hAnsi="Calibri"/>
          <w:color w:val="1E293B"/>
          <w:sz w:val="19"/>
        </w:rPr>
        <w:t>FinReg-SLM addresses these fundamental challenges by adapting DeepSeek-R1-Distill-Qwen-7B for local execution inside 4.5 GB VRAM on a consumer 8GB GPU. The system combines a version-aware hybrid retrieval engine (Dense BGE-small + BM25 FTS5 + Reciprocal Rank Fusion k=60 + Temporal Filter) with a Two-Stage Alignment strategy (Stage 1 QLoRA SFT on Chain-of-Thought traces + Stage 2 Native DPO on epistemic preference pairs).</w:t>
      </w:r>
    </w:p>
    <w:p>
      <w:pPr>
        <w:keepNext/>
        <w:spacing w:before="280" w:after="120"/>
      </w:pPr>
      <w:r>
        <w:rPr>
          <w:rFonts w:ascii="Calibri" w:hAnsi="Calibri"/>
          <w:b/>
          <w:color w:val="0F172A"/>
          <w:sz w:val="22"/>
        </w:rPr>
        <w:t>3. Problem Statement</w:t>
      </w:r>
    </w:p>
    <w:p>
      <w:pPr>
        <w:spacing w:after="120" w:line="276" w:lineRule="auto"/>
      </w:pPr>
      <w:r>
        <w:rPr>
          <w:rFonts w:ascii="Calibri" w:hAnsi="Calibri"/>
          <w:b/>
          <w:color w:val="0F172A"/>
          <w:sz w:val="19"/>
        </w:rPr>
        <w:t xml:space="preserve">Standardized Statement: </w:t>
      </w:r>
      <w:r>
        <w:rPr>
          <w:rFonts w:ascii="Calibri" w:hAnsi="Calibri"/>
          <w:color w:val="1E293B"/>
          <w:sz w:val="19"/>
        </w:rPr>
        <w:t>Indian financial institutions operating under 13 statutory bodies lack automated, version-aware compliance verification tools. Existing general-purpose LLMs exhibit a 17%–33% hallucination rate, fail to track statutory circular amendments, confabulate answers on out-of-scope inquiries, and violate data sovereignty mandates under the DPDP Act 2023. This project designs, implements, and benchmarks an on-premises Small Language Model architecture providing verifiable citation grounding, calibrated epistemic abstention, and version-aware multi-agency reasoning on consumer-grade hardware.</w:t>
      </w:r>
    </w:p>
    <w:p>
      <w:pPr>
        <w:keepNext/>
        <w:spacing w:before="280" w:after="120"/>
      </w:pPr>
      <w:r>
        <w:rPr>
          <w:rFonts w:ascii="Calibri" w:hAnsi="Calibri"/>
          <w:b/>
          <w:color w:val="1E3A8A"/>
          <w:sz w:val="26"/>
        </w:rPr>
        <w:t>PART C — Literature Search Methodology</w:t>
      </w:r>
    </w:p>
    <w:p>
      <w:pPr>
        <w:spacing w:after="120" w:line="276" w:lineRule="auto"/>
      </w:pPr>
      <w:r>
        <w:rPr>
          <w:rFonts w:ascii="Calibri" w:hAnsi="Calibri"/>
          <w:b/>
          <w:color w:val="0F172A"/>
          <w:sz w:val="19"/>
        </w:rPr>
        <w:t xml:space="preserve">Primary Boolean Search Query: </w:t>
      </w:r>
      <w:r>
        <w:rPr>
          <w:rFonts w:ascii="Calibri" w:hAnsi="Calibri"/>
          <w:color w:val="1E293B"/>
          <w:sz w:val="19"/>
        </w:rPr>
        <w:t>('Retrieval-Augmented Generation' OR 'RAFT') AND ('Fine-Tuning' OR 'LoRA' OR 'DPO') AND ('Legal NLP' OR 'Financial Compliance' OR 'Regulatory QA') AND ('Hallucination' OR 'Catastrophic Forgetting' OR 'Temporal Validity')</w:t>
      </w:r>
    </w:p>
    <w:p>
      <w:pPr>
        <w:spacing w:after="120" w:line="276" w:lineRule="auto"/>
      </w:pPr>
      <w:r>
        <w:rPr>
          <w:rFonts w:ascii="Calibri" w:hAnsi="Calibri"/>
          <w:b/>
          <w:color w:val="0F172A"/>
          <w:sz w:val="19"/>
        </w:rPr>
        <w:t xml:space="preserve">Databases and Venues Searched: </w:t>
      </w:r>
      <w:r>
        <w:rPr>
          <w:rFonts w:ascii="Calibri" w:hAnsi="Calibri"/>
          <w:color w:val="1E293B"/>
          <w:sz w:val="19"/>
        </w:rPr>
        <w:t>Scopus, ScienceDirect (Elsevier), IEEE Xplore, ACM Digital Library, and arXiv (for latest benchmarks). Inclusion criteria prioritized peer-reviewed articles and top AI conferences (EMNLP, NeurIPS, COLM, IEEE Access, Elsevier Q1) published between 2023 and 2026 with reproducible quantitative metrics.</w:t>
      </w:r>
    </w:p>
    <w:p>
      <w:pPr>
        <w:keepNext/>
        <w:spacing w:before="280" w:after="120"/>
      </w:pPr>
      <w:r>
        <w:rPr>
          <w:rFonts w:ascii="Calibri" w:hAnsi="Calibri"/>
          <w:b/>
          <w:color w:val="1E3A8A"/>
          <w:sz w:val="26"/>
        </w:rPr>
        <w:t>PART D — Core Literature Review (Top 8 Papers)</w:t>
      </w:r>
    </w:p>
    <w:p>
      <w:pPr>
        <w:keepNext/>
        <w:spacing w:before="280" w:after="120"/>
      </w:pPr>
      <w:r>
        <w:rPr>
          <w:rFonts w:ascii="Calibri" w:hAnsi="Calibri"/>
          <w:b/>
          <w:color w:val="0F172A"/>
          <w:sz w:val="22"/>
        </w:rPr>
        <w:t>7. Table 1: Index of Primary Literature Sources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378"/>
        <w:gridCol w:w="1378"/>
        <w:gridCol w:w="1378"/>
        <w:gridCol w:w="1378"/>
        <w:gridCol w:w="1378"/>
        <w:gridCol w:w="1378"/>
        <w:gridCol w:w="1378"/>
      </w:tblGrid>
      <w:tr>
        <w:tc>
          <w:tcPr>
            <w:tcW w:type="dxa" w:w="576"/>
            <w:shd w:fill="1E3A8A"/>
            <w:tcMar>
              <w:top w:w="100" w:type="dxa"/>
              <w:bottom w:w="100" w:type="dxa"/>
              <w:left w:w="80" w:type="dxa"/>
              <w:right w:w="80" w:type="dxa"/>
            </w:tcMar>
          </w:tcPr>
          <w:p>
            <w:pPr>
              <w:spacing w:after="0"/>
            </w:pPr>
            <w:r>
              <w:rPr>
                <w:rFonts w:ascii="Calibri" w:hAnsi="Calibri"/>
                <w:b/>
                <w:color w:val="FFFFFF"/>
                <w:sz w:val="17"/>
              </w:rPr>
              <w:t>Sr.</w:t>
            </w:r>
          </w:p>
        </w:tc>
        <w:tc>
          <w:tcPr>
            <w:tcW w:type="dxa" w:w="1872"/>
            <w:shd w:fill="1E3A8A"/>
            <w:tcMar>
              <w:top w:w="100" w:type="dxa"/>
              <w:bottom w:w="100" w:type="dxa"/>
              <w:left w:w="80" w:type="dxa"/>
              <w:right w:w="80" w:type="dxa"/>
            </w:tcMar>
          </w:tcPr>
          <w:p>
            <w:pPr>
              <w:spacing w:after="0"/>
            </w:pPr>
            <w:r>
              <w:rPr>
                <w:rFonts w:ascii="Calibri" w:hAnsi="Calibri"/>
                <w:b/>
                <w:color w:val="FFFFFF"/>
                <w:sz w:val="17"/>
              </w:rPr>
              <w:t>Authors &amp; Year</w:t>
            </w:r>
          </w:p>
        </w:tc>
        <w:tc>
          <w:tcPr>
            <w:tcW w:type="dxa" w:w="2592"/>
            <w:shd w:fill="1E3A8A"/>
            <w:tcMar>
              <w:top w:w="100" w:type="dxa"/>
              <w:bottom w:w="100" w:type="dxa"/>
              <w:left w:w="80" w:type="dxa"/>
              <w:right w:w="80" w:type="dxa"/>
            </w:tcMar>
          </w:tcPr>
          <w:p>
            <w:pPr>
              <w:spacing w:after="0"/>
            </w:pPr>
            <w:r>
              <w:rPr>
                <w:rFonts w:ascii="Calibri" w:hAnsi="Calibri"/>
                <w:b/>
                <w:color w:val="FFFFFF"/>
                <w:sz w:val="17"/>
              </w:rPr>
              <w:t>Paper Title</w:t>
            </w:r>
          </w:p>
        </w:tc>
        <w:tc>
          <w:tcPr>
            <w:tcW w:type="dxa" w:w="1440"/>
            <w:shd w:fill="1E3A8A"/>
            <w:tcMar>
              <w:top w:w="100" w:type="dxa"/>
              <w:bottom w:w="100" w:type="dxa"/>
              <w:left w:w="80" w:type="dxa"/>
              <w:right w:w="80" w:type="dxa"/>
            </w:tcMar>
          </w:tcPr>
          <w:p>
            <w:pPr>
              <w:spacing w:after="0"/>
            </w:pPr>
            <w:r>
              <w:rPr>
                <w:rFonts w:ascii="Calibri" w:hAnsi="Calibri"/>
                <w:b/>
                <w:color w:val="FFFFFF"/>
                <w:sz w:val="17"/>
              </w:rPr>
              <w:t>Venue</w:t>
            </w:r>
          </w:p>
        </w:tc>
        <w:tc>
          <w:tcPr>
            <w:tcW w:type="dxa" w:w="720"/>
            <w:shd w:fill="1E3A8A"/>
            <w:tcMar>
              <w:top w:w="100" w:type="dxa"/>
              <w:bottom w:w="100" w:type="dxa"/>
              <w:left w:w="80" w:type="dxa"/>
              <w:right w:w="80" w:type="dxa"/>
            </w:tcMar>
          </w:tcPr>
          <w:p>
            <w:pPr>
              <w:spacing w:after="0"/>
            </w:pPr>
            <w:r>
              <w:rPr>
                <w:rFonts w:ascii="Calibri" w:hAnsi="Calibri"/>
                <w:b/>
                <w:color w:val="FFFFFF"/>
                <w:sz w:val="17"/>
              </w:rPr>
              <w:t>Year</w:t>
            </w:r>
          </w:p>
        </w:tc>
        <w:tc>
          <w:tcPr>
            <w:tcW w:type="dxa" w:w="1152"/>
            <w:shd w:fill="1E3A8A"/>
            <w:tcMar>
              <w:top w:w="100" w:type="dxa"/>
              <w:bottom w:w="100" w:type="dxa"/>
              <w:left w:w="80" w:type="dxa"/>
              <w:right w:w="80" w:type="dxa"/>
            </w:tcMar>
          </w:tcPr>
          <w:p>
            <w:pPr>
              <w:spacing w:after="0"/>
            </w:pPr>
            <w:r>
              <w:rPr>
                <w:rFonts w:ascii="Calibri" w:hAnsi="Calibri"/>
                <w:b/>
                <w:color w:val="FFFFFF"/>
                <w:sz w:val="17"/>
              </w:rPr>
              <w:t>Indexing</w:t>
            </w:r>
          </w:p>
        </w:tc>
        <w:tc>
          <w:tcPr>
            <w:tcW w:type="dxa" w:w="1296"/>
            <w:shd w:fill="1E3A8A"/>
            <w:tcMar>
              <w:top w:w="100" w:type="dxa"/>
              <w:bottom w:w="100" w:type="dxa"/>
              <w:left w:w="80" w:type="dxa"/>
              <w:right w:w="80" w:type="dxa"/>
            </w:tcMar>
          </w:tcPr>
          <w:p>
            <w:pPr>
              <w:spacing w:after="0"/>
            </w:pPr>
            <w:r>
              <w:rPr>
                <w:rFonts w:ascii="Calibri" w:hAnsi="Calibri"/>
                <w:b/>
                <w:color w:val="FFFFFF"/>
                <w:sz w:val="17"/>
              </w:rPr>
              <w:t>DOI / Link</w:t>
            </w:r>
          </w:p>
        </w:tc>
      </w:tr>
      <w:tr>
        <w:tc>
          <w:tcPr>
            <w:tcW w:type="dxa" w:w="576"/>
            <w:shd w:fill="F8FAFC"/>
            <w:tcMar>
              <w:top w:w="70" w:type="dxa"/>
              <w:bottom w:w="70" w:type="dxa"/>
              <w:left w:w="70" w:type="dxa"/>
              <w:right w:w="70" w:type="dxa"/>
            </w:tcMar>
          </w:tcPr>
          <w:p>
            <w:pPr>
              <w:spacing w:after="0"/>
            </w:pPr>
            <w:r>
              <w:rPr>
                <w:rFonts w:ascii="Calibri" w:hAnsi="Calibri"/>
                <w:b/>
                <w:color w:val="0F172A"/>
                <w:sz w:val="16"/>
              </w:rPr>
              <w:t>1</w:t>
            </w:r>
          </w:p>
        </w:tc>
        <w:tc>
          <w:tcPr>
            <w:tcW w:type="dxa" w:w="1872"/>
            <w:shd w:fill="F8FAFC"/>
            <w:tcMar>
              <w:top w:w="70" w:type="dxa"/>
              <w:bottom w:w="70" w:type="dxa"/>
              <w:left w:w="70" w:type="dxa"/>
              <w:right w:w="70" w:type="dxa"/>
            </w:tcMar>
          </w:tcPr>
          <w:p>
            <w:pPr>
              <w:spacing w:after="0"/>
            </w:pPr>
            <w:r>
              <w:rPr>
                <w:rFonts w:ascii="Calibri" w:hAnsi="Calibri"/>
                <w:b/>
                <w:color w:val="0F172A"/>
                <w:sz w:val="16"/>
              </w:rPr>
              <w:t>Ovadia et al. [1]</w:t>
            </w:r>
          </w:p>
        </w:tc>
        <w:tc>
          <w:tcPr>
            <w:tcW w:type="dxa" w:w="2592"/>
            <w:shd w:fill="F8FAFC"/>
            <w:tcMar>
              <w:top w:w="70" w:type="dxa"/>
              <w:bottom w:w="70" w:type="dxa"/>
              <w:left w:w="70" w:type="dxa"/>
              <w:right w:w="70" w:type="dxa"/>
            </w:tcMar>
          </w:tcPr>
          <w:p>
            <w:pPr>
              <w:spacing w:after="0"/>
            </w:pPr>
            <w:r>
              <w:rPr>
                <w:rFonts w:ascii="Calibri" w:hAnsi="Calibri"/>
                <w:color w:val="334155"/>
                <w:sz w:val="16"/>
              </w:rPr>
              <w:t>Fine-Tuning or Retrieval? Comparing Knowledge Injection in LLMs</w:t>
            </w:r>
          </w:p>
        </w:tc>
        <w:tc>
          <w:tcPr>
            <w:tcW w:type="dxa" w:w="1440"/>
            <w:shd w:fill="F8FAFC"/>
            <w:tcMar>
              <w:top w:w="70" w:type="dxa"/>
              <w:bottom w:w="70" w:type="dxa"/>
              <w:left w:w="70" w:type="dxa"/>
              <w:right w:w="70" w:type="dxa"/>
            </w:tcMar>
          </w:tcPr>
          <w:p>
            <w:pPr>
              <w:spacing w:after="0"/>
            </w:pPr>
            <w:r>
              <w:rPr>
                <w:rFonts w:ascii="Calibri" w:hAnsi="Calibri"/>
                <w:color w:val="334155"/>
                <w:sz w:val="16"/>
              </w:rPr>
              <w:t>EMNLP 2024</w:t>
            </w:r>
          </w:p>
        </w:tc>
        <w:tc>
          <w:tcPr>
            <w:tcW w:type="dxa" w:w="720"/>
            <w:shd w:fill="F8FAFC"/>
            <w:tcMar>
              <w:top w:w="70" w:type="dxa"/>
              <w:bottom w:w="70" w:type="dxa"/>
              <w:left w:w="70" w:type="dxa"/>
              <w:right w:w="70" w:type="dxa"/>
            </w:tcMar>
          </w:tcPr>
          <w:p>
            <w:pPr>
              <w:spacing w:after="0"/>
            </w:pPr>
            <w:r>
              <w:rPr>
                <w:rFonts w:ascii="Calibri" w:hAnsi="Calibri"/>
                <w:color w:val="334155"/>
                <w:sz w:val="16"/>
              </w:rPr>
              <w:t>2024</w:t>
            </w:r>
          </w:p>
        </w:tc>
        <w:tc>
          <w:tcPr>
            <w:tcW w:type="dxa" w:w="1152"/>
            <w:shd w:fill="F8FAFC"/>
            <w:tcMar>
              <w:top w:w="70" w:type="dxa"/>
              <w:bottom w:w="70" w:type="dxa"/>
              <w:left w:w="70" w:type="dxa"/>
              <w:right w:w="70" w:type="dxa"/>
            </w:tcMar>
          </w:tcPr>
          <w:p>
            <w:pPr>
              <w:spacing w:after="0"/>
            </w:pPr>
            <w:r>
              <w:rPr>
                <w:rFonts w:ascii="Calibri" w:hAnsi="Calibri"/>
                <w:color w:val="334155"/>
                <w:sz w:val="16"/>
              </w:rPr>
              <w:t>Scopus / WoS</w:t>
            </w:r>
          </w:p>
        </w:tc>
        <w:tc>
          <w:tcPr>
            <w:tcW w:type="dxa" w:w="1296"/>
            <w:shd w:fill="F8FAFC"/>
            <w:tcMar>
              <w:top w:w="70" w:type="dxa"/>
              <w:bottom w:w="70" w:type="dxa"/>
              <w:left w:w="70" w:type="dxa"/>
              <w:right w:w="70" w:type="dxa"/>
            </w:tcMar>
          </w:tcPr>
          <w:p>
            <w:pPr>
              <w:spacing w:after="0"/>
            </w:pPr>
            <w:r>
              <w:rPr>
                <w:rFonts w:ascii="Calibri" w:hAnsi="Calibri"/>
                <w:color w:val="1E3A8A"/>
                <w:sz w:val="16"/>
                <w:u w:val="single"/>
              </w:rPr>
              <w:t>10.18653/v1/2024.emnlp-main.15</w:t>
            </w:r>
          </w:p>
        </w:tc>
      </w:tr>
      <w:tr>
        <w:tc>
          <w:tcPr>
            <w:tcW w:type="dxa" w:w="576"/>
            <w:shd w:fill="FFFFFF"/>
            <w:tcMar>
              <w:top w:w="70" w:type="dxa"/>
              <w:bottom w:w="70" w:type="dxa"/>
              <w:left w:w="70" w:type="dxa"/>
              <w:right w:w="70" w:type="dxa"/>
            </w:tcMar>
          </w:tcPr>
          <w:p>
            <w:pPr>
              <w:spacing w:after="0"/>
            </w:pPr>
            <w:r>
              <w:rPr>
                <w:rFonts w:ascii="Calibri" w:hAnsi="Calibri"/>
                <w:b/>
                <w:color w:val="0F172A"/>
                <w:sz w:val="16"/>
              </w:rPr>
              <w:t>2</w:t>
            </w:r>
          </w:p>
        </w:tc>
        <w:tc>
          <w:tcPr>
            <w:tcW w:type="dxa" w:w="1872"/>
            <w:shd w:fill="FFFFFF"/>
            <w:tcMar>
              <w:top w:w="70" w:type="dxa"/>
              <w:bottom w:w="70" w:type="dxa"/>
              <w:left w:w="70" w:type="dxa"/>
              <w:right w:w="70" w:type="dxa"/>
            </w:tcMar>
          </w:tcPr>
          <w:p>
            <w:pPr>
              <w:spacing w:after="0"/>
            </w:pPr>
            <w:r>
              <w:rPr>
                <w:rFonts w:ascii="Calibri" w:hAnsi="Calibri"/>
                <w:b/>
                <w:color w:val="0F172A"/>
                <w:sz w:val="16"/>
              </w:rPr>
              <w:t>Zhang et al. [2]</w:t>
            </w:r>
          </w:p>
        </w:tc>
        <w:tc>
          <w:tcPr>
            <w:tcW w:type="dxa" w:w="2592"/>
            <w:shd w:fill="FFFFFF"/>
            <w:tcMar>
              <w:top w:w="70" w:type="dxa"/>
              <w:bottom w:w="70" w:type="dxa"/>
              <w:left w:w="70" w:type="dxa"/>
              <w:right w:w="70" w:type="dxa"/>
            </w:tcMar>
          </w:tcPr>
          <w:p>
            <w:pPr>
              <w:spacing w:after="0"/>
            </w:pPr>
            <w:r>
              <w:rPr>
                <w:rFonts w:ascii="Calibri" w:hAnsi="Calibri"/>
                <w:color w:val="334155"/>
                <w:sz w:val="16"/>
              </w:rPr>
              <w:t>RAFT: Adapting Language Model to Domain Specific RAG</w:t>
            </w:r>
          </w:p>
        </w:tc>
        <w:tc>
          <w:tcPr>
            <w:tcW w:type="dxa" w:w="1440"/>
            <w:shd w:fill="FFFFFF"/>
            <w:tcMar>
              <w:top w:w="70" w:type="dxa"/>
              <w:bottom w:w="70" w:type="dxa"/>
              <w:left w:w="70" w:type="dxa"/>
              <w:right w:w="70" w:type="dxa"/>
            </w:tcMar>
          </w:tcPr>
          <w:p>
            <w:pPr>
              <w:spacing w:after="0"/>
            </w:pPr>
            <w:r>
              <w:rPr>
                <w:rFonts w:ascii="Calibri" w:hAnsi="Calibri"/>
                <w:color w:val="334155"/>
                <w:sz w:val="16"/>
              </w:rPr>
              <w:t>COLM 2024</w:t>
            </w:r>
          </w:p>
        </w:tc>
        <w:tc>
          <w:tcPr>
            <w:tcW w:type="dxa" w:w="720"/>
            <w:shd w:fill="FFFFFF"/>
            <w:tcMar>
              <w:top w:w="70" w:type="dxa"/>
              <w:bottom w:w="70" w:type="dxa"/>
              <w:left w:w="70" w:type="dxa"/>
              <w:right w:w="70" w:type="dxa"/>
            </w:tcMar>
          </w:tcPr>
          <w:p>
            <w:pPr>
              <w:spacing w:after="0"/>
            </w:pPr>
            <w:r>
              <w:rPr>
                <w:rFonts w:ascii="Calibri" w:hAnsi="Calibri"/>
                <w:color w:val="334155"/>
                <w:sz w:val="16"/>
              </w:rPr>
              <w:t>2024</w:t>
            </w:r>
          </w:p>
        </w:tc>
        <w:tc>
          <w:tcPr>
            <w:tcW w:type="dxa" w:w="1152"/>
            <w:shd w:fill="FFFFFF"/>
            <w:tcMar>
              <w:top w:w="70" w:type="dxa"/>
              <w:bottom w:w="70" w:type="dxa"/>
              <w:left w:w="70" w:type="dxa"/>
              <w:right w:w="70" w:type="dxa"/>
            </w:tcMar>
          </w:tcPr>
          <w:p>
            <w:pPr>
              <w:spacing w:after="0"/>
            </w:pPr>
            <w:r>
              <w:rPr>
                <w:rFonts w:ascii="Calibri" w:hAnsi="Calibri"/>
                <w:color w:val="334155"/>
                <w:sz w:val="16"/>
              </w:rPr>
              <w:t>Core AI Conf.</w:t>
            </w:r>
          </w:p>
        </w:tc>
        <w:tc>
          <w:tcPr>
            <w:tcW w:type="dxa" w:w="1296"/>
            <w:shd w:fill="FFFFFF"/>
            <w:tcMar>
              <w:top w:w="70" w:type="dxa"/>
              <w:bottom w:w="70" w:type="dxa"/>
              <w:left w:w="70" w:type="dxa"/>
              <w:right w:w="70" w:type="dxa"/>
            </w:tcMar>
          </w:tcPr>
          <w:p>
            <w:pPr>
              <w:spacing w:after="0"/>
            </w:pPr>
            <w:r>
              <w:rPr>
                <w:rFonts w:ascii="Calibri" w:hAnsi="Calibri"/>
                <w:color w:val="1E3A8A"/>
                <w:sz w:val="16"/>
                <w:u w:val="single"/>
              </w:rPr>
              <w:t>openreview:rzQGHXNReU</w:t>
            </w:r>
          </w:p>
        </w:tc>
      </w:tr>
      <w:tr>
        <w:tc>
          <w:tcPr>
            <w:tcW w:type="dxa" w:w="576"/>
            <w:shd w:fill="F8FAFC"/>
            <w:tcMar>
              <w:top w:w="70" w:type="dxa"/>
              <w:bottom w:w="70" w:type="dxa"/>
              <w:left w:w="70" w:type="dxa"/>
              <w:right w:w="70" w:type="dxa"/>
            </w:tcMar>
          </w:tcPr>
          <w:p>
            <w:pPr>
              <w:spacing w:after="0"/>
            </w:pPr>
            <w:r>
              <w:rPr>
                <w:rFonts w:ascii="Calibri" w:hAnsi="Calibri"/>
                <w:b/>
                <w:color w:val="0F172A"/>
                <w:sz w:val="16"/>
              </w:rPr>
              <w:t>3</w:t>
            </w:r>
          </w:p>
        </w:tc>
        <w:tc>
          <w:tcPr>
            <w:tcW w:type="dxa" w:w="1872"/>
            <w:shd w:fill="F8FAFC"/>
            <w:tcMar>
              <w:top w:w="70" w:type="dxa"/>
              <w:bottom w:w="70" w:type="dxa"/>
              <w:left w:w="70" w:type="dxa"/>
              <w:right w:w="70" w:type="dxa"/>
            </w:tcMar>
          </w:tcPr>
          <w:p>
            <w:pPr>
              <w:spacing w:after="0"/>
            </w:pPr>
            <w:r>
              <w:rPr>
                <w:rFonts w:ascii="Calibri" w:hAnsi="Calibri"/>
                <w:b/>
                <w:color w:val="0F172A"/>
                <w:sz w:val="16"/>
              </w:rPr>
              <w:t>Magesh et al. [3]</w:t>
            </w:r>
          </w:p>
        </w:tc>
        <w:tc>
          <w:tcPr>
            <w:tcW w:type="dxa" w:w="2592"/>
            <w:shd w:fill="F8FAFC"/>
            <w:tcMar>
              <w:top w:w="70" w:type="dxa"/>
              <w:bottom w:w="70" w:type="dxa"/>
              <w:left w:w="70" w:type="dxa"/>
              <w:right w:w="70" w:type="dxa"/>
            </w:tcMar>
          </w:tcPr>
          <w:p>
            <w:pPr>
              <w:spacing w:after="0"/>
            </w:pPr>
            <w:r>
              <w:rPr>
                <w:rFonts w:ascii="Calibri" w:hAnsi="Calibri"/>
                <w:color w:val="334155"/>
                <w:sz w:val="16"/>
              </w:rPr>
              <w:t>Hallucination-Free? Assessing Reliability of AI Legal Research Tools</w:t>
            </w:r>
          </w:p>
        </w:tc>
        <w:tc>
          <w:tcPr>
            <w:tcW w:type="dxa" w:w="1440"/>
            <w:shd w:fill="F8FAFC"/>
            <w:tcMar>
              <w:top w:w="70" w:type="dxa"/>
              <w:bottom w:w="70" w:type="dxa"/>
              <w:left w:w="70" w:type="dxa"/>
              <w:right w:w="70" w:type="dxa"/>
            </w:tcMar>
          </w:tcPr>
          <w:p>
            <w:pPr>
              <w:spacing w:after="0"/>
            </w:pPr>
            <w:r>
              <w:rPr>
                <w:rFonts w:ascii="Calibri" w:hAnsi="Calibri"/>
                <w:color w:val="334155"/>
                <w:sz w:val="16"/>
              </w:rPr>
              <w:t>J. Empir. Leg. Stud.</w:t>
            </w:r>
          </w:p>
        </w:tc>
        <w:tc>
          <w:tcPr>
            <w:tcW w:type="dxa" w:w="720"/>
            <w:shd w:fill="F8FAFC"/>
            <w:tcMar>
              <w:top w:w="70" w:type="dxa"/>
              <w:bottom w:w="70" w:type="dxa"/>
              <w:left w:w="70" w:type="dxa"/>
              <w:right w:w="70" w:type="dxa"/>
            </w:tcMar>
          </w:tcPr>
          <w:p>
            <w:pPr>
              <w:spacing w:after="0"/>
            </w:pPr>
            <w:r>
              <w:rPr>
                <w:rFonts w:ascii="Calibri" w:hAnsi="Calibri"/>
                <w:color w:val="334155"/>
                <w:sz w:val="16"/>
              </w:rPr>
              <w:t>2025</w:t>
            </w:r>
          </w:p>
        </w:tc>
        <w:tc>
          <w:tcPr>
            <w:tcW w:type="dxa" w:w="1152"/>
            <w:shd w:fill="F8FAFC"/>
            <w:tcMar>
              <w:top w:w="70" w:type="dxa"/>
              <w:bottom w:w="70" w:type="dxa"/>
              <w:left w:w="70" w:type="dxa"/>
              <w:right w:w="70" w:type="dxa"/>
            </w:tcMar>
          </w:tcPr>
          <w:p>
            <w:pPr>
              <w:spacing w:after="0"/>
            </w:pPr>
            <w:r>
              <w:rPr>
                <w:rFonts w:ascii="Calibri" w:hAnsi="Calibri"/>
                <w:color w:val="334155"/>
                <w:sz w:val="16"/>
              </w:rPr>
              <w:t>Scopus Q1</w:t>
            </w:r>
          </w:p>
        </w:tc>
        <w:tc>
          <w:tcPr>
            <w:tcW w:type="dxa" w:w="1296"/>
            <w:shd w:fill="F8FAFC"/>
            <w:tcMar>
              <w:top w:w="70" w:type="dxa"/>
              <w:bottom w:w="70" w:type="dxa"/>
              <w:left w:w="70" w:type="dxa"/>
              <w:right w:w="70" w:type="dxa"/>
            </w:tcMar>
          </w:tcPr>
          <w:p>
            <w:pPr>
              <w:spacing w:after="0"/>
            </w:pPr>
            <w:r>
              <w:rPr>
                <w:rFonts w:ascii="Calibri" w:hAnsi="Calibri"/>
                <w:color w:val="1E3A8A"/>
                <w:sz w:val="16"/>
                <w:u w:val="single"/>
              </w:rPr>
              <w:t>10.1111/jels.12413</w:t>
            </w:r>
          </w:p>
        </w:tc>
      </w:tr>
      <w:tr>
        <w:tc>
          <w:tcPr>
            <w:tcW w:type="dxa" w:w="576"/>
            <w:shd w:fill="FFFFFF"/>
            <w:tcMar>
              <w:top w:w="70" w:type="dxa"/>
              <w:bottom w:w="70" w:type="dxa"/>
              <w:left w:w="70" w:type="dxa"/>
              <w:right w:w="70" w:type="dxa"/>
            </w:tcMar>
          </w:tcPr>
          <w:p>
            <w:pPr>
              <w:spacing w:after="0"/>
            </w:pPr>
            <w:r>
              <w:rPr>
                <w:rFonts w:ascii="Calibri" w:hAnsi="Calibri"/>
                <w:b/>
                <w:color w:val="0F172A"/>
                <w:sz w:val="16"/>
              </w:rPr>
              <w:t>4</w:t>
            </w:r>
          </w:p>
        </w:tc>
        <w:tc>
          <w:tcPr>
            <w:tcW w:type="dxa" w:w="1872"/>
            <w:shd w:fill="FFFFFF"/>
            <w:tcMar>
              <w:top w:w="70" w:type="dxa"/>
              <w:bottom w:w="70" w:type="dxa"/>
              <w:left w:w="70" w:type="dxa"/>
              <w:right w:w="70" w:type="dxa"/>
            </w:tcMar>
          </w:tcPr>
          <w:p>
            <w:pPr>
              <w:spacing w:after="0"/>
            </w:pPr>
            <w:r>
              <w:rPr>
                <w:rFonts w:ascii="Calibri" w:hAnsi="Calibri"/>
                <w:b/>
                <w:color w:val="0F172A"/>
                <w:sz w:val="16"/>
              </w:rPr>
              <w:t>Pai &amp; Hsu [4]</w:t>
            </w:r>
          </w:p>
        </w:tc>
        <w:tc>
          <w:tcPr>
            <w:tcW w:type="dxa" w:w="2592"/>
            <w:shd w:fill="FFFFFF"/>
            <w:tcMar>
              <w:top w:w="70" w:type="dxa"/>
              <w:bottom w:w="70" w:type="dxa"/>
              <w:left w:w="70" w:type="dxa"/>
              <w:right w:w="70" w:type="dxa"/>
            </w:tcMar>
          </w:tcPr>
          <w:p>
            <w:pPr>
              <w:spacing w:after="0"/>
            </w:pPr>
            <w:r>
              <w:rPr>
                <w:rFonts w:ascii="Calibri" w:hAnsi="Calibri"/>
                <w:color w:val="334155"/>
                <w:sz w:val="16"/>
              </w:rPr>
              <w:t>Fine-Tuning SLMs for Industrial RAG: Factuality &amp; Hallucination Analysis</w:t>
            </w:r>
          </w:p>
        </w:tc>
        <w:tc>
          <w:tcPr>
            <w:tcW w:type="dxa" w:w="1440"/>
            <w:shd w:fill="FFFFFF"/>
            <w:tcMar>
              <w:top w:w="70" w:type="dxa"/>
              <w:bottom w:w="70" w:type="dxa"/>
              <w:left w:w="70" w:type="dxa"/>
              <w:right w:w="70" w:type="dxa"/>
            </w:tcMar>
          </w:tcPr>
          <w:p>
            <w:pPr>
              <w:spacing w:after="0"/>
            </w:pPr>
            <w:r>
              <w:rPr>
                <w:rFonts w:ascii="Calibri" w:hAnsi="Calibri"/>
                <w:color w:val="334155"/>
                <w:sz w:val="16"/>
              </w:rPr>
              <w:t>Comput. Stand. Interfaces</w:t>
            </w:r>
          </w:p>
        </w:tc>
        <w:tc>
          <w:tcPr>
            <w:tcW w:type="dxa" w:w="720"/>
            <w:shd w:fill="FFFFFF"/>
            <w:tcMar>
              <w:top w:w="70" w:type="dxa"/>
              <w:bottom w:w="70" w:type="dxa"/>
              <w:left w:w="70" w:type="dxa"/>
              <w:right w:w="70" w:type="dxa"/>
            </w:tcMar>
          </w:tcPr>
          <w:p>
            <w:pPr>
              <w:spacing w:after="0"/>
            </w:pPr>
            <w:r>
              <w:rPr>
                <w:rFonts w:ascii="Calibri" w:hAnsi="Calibri"/>
                <w:color w:val="334155"/>
                <w:sz w:val="16"/>
              </w:rPr>
              <w:t>2026</w:t>
            </w:r>
          </w:p>
        </w:tc>
        <w:tc>
          <w:tcPr>
            <w:tcW w:type="dxa" w:w="1152"/>
            <w:shd w:fill="FFFFFF"/>
            <w:tcMar>
              <w:top w:w="70" w:type="dxa"/>
              <w:bottom w:w="70" w:type="dxa"/>
              <w:left w:w="70" w:type="dxa"/>
              <w:right w:w="70" w:type="dxa"/>
            </w:tcMar>
          </w:tcPr>
          <w:p>
            <w:pPr>
              <w:spacing w:after="0"/>
            </w:pPr>
            <w:r>
              <w:rPr>
                <w:rFonts w:ascii="Calibri" w:hAnsi="Calibri"/>
                <w:color w:val="334155"/>
                <w:sz w:val="16"/>
              </w:rPr>
              <w:t>Scopus Q1</w:t>
            </w:r>
          </w:p>
        </w:tc>
        <w:tc>
          <w:tcPr>
            <w:tcW w:type="dxa" w:w="1296"/>
            <w:shd w:fill="FFFFFF"/>
            <w:tcMar>
              <w:top w:w="70" w:type="dxa"/>
              <w:bottom w:w="70" w:type="dxa"/>
              <w:left w:w="70" w:type="dxa"/>
              <w:right w:w="70" w:type="dxa"/>
            </w:tcMar>
          </w:tcPr>
          <w:p>
            <w:pPr>
              <w:spacing w:after="0"/>
            </w:pPr>
            <w:r>
              <w:rPr>
                <w:rFonts w:ascii="Calibri" w:hAnsi="Calibri"/>
                <w:color w:val="1E3A8A"/>
                <w:sz w:val="16"/>
                <w:u w:val="single"/>
              </w:rPr>
              <w:t>10.1016/j.csi.2026.104163</w:t>
            </w:r>
          </w:p>
        </w:tc>
      </w:tr>
      <w:tr>
        <w:tc>
          <w:tcPr>
            <w:tcW w:type="dxa" w:w="576"/>
            <w:shd w:fill="F8FAFC"/>
            <w:tcMar>
              <w:top w:w="70" w:type="dxa"/>
              <w:bottom w:w="70" w:type="dxa"/>
              <w:left w:w="70" w:type="dxa"/>
              <w:right w:w="70" w:type="dxa"/>
            </w:tcMar>
          </w:tcPr>
          <w:p>
            <w:pPr>
              <w:spacing w:after="0"/>
            </w:pPr>
            <w:r>
              <w:rPr>
                <w:rFonts w:ascii="Calibri" w:hAnsi="Calibri"/>
                <w:b/>
                <w:color w:val="0F172A"/>
                <w:sz w:val="16"/>
              </w:rPr>
              <w:t>5</w:t>
            </w:r>
          </w:p>
        </w:tc>
        <w:tc>
          <w:tcPr>
            <w:tcW w:type="dxa" w:w="1872"/>
            <w:shd w:fill="F8FAFC"/>
            <w:tcMar>
              <w:top w:w="70" w:type="dxa"/>
              <w:bottom w:w="70" w:type="dxa"/>
              <w:left w:w="70" w:type="dxa"/>
              <w:right w:w="70" w:type="dxa"/>
            </w:tcMar>
          </w:tcPr>
          <w:p>
            <w:pPr>
              <w:spacing w:after="0"/>
            </w:pPr>
            <w:r>
              <w:rPr>
                <w:rFonts w:ascii="Calibri" w:hAnsi="Calibri"/>
                <w:b/>
                <w:color w:val="0F172A"/>
                <w:sz w:val="16"/>
              </w:rPr>
              <w:t>Kim [5]</w:t>
            </w:r>
          </w:p>
        </w:tc>
        <w:tc>
          <w:tcPr>
            <w:tcW w:type="dxa" w:w="2592"/>
            <w:shd w:fill="F8FAFC"/>
            <w:tcMar>
              <w:top w:w="70" w:type="dxa"/>
              <w:bottom w:w="70" w:type="dxa"/>
              <w:left w:w="70" w:type="dxa"/>
              <w:right w:w="70" w:type="dxa"/>
            </w:tcMar>
          </w:tcPr>
          <w:p>
            <w:pPr>
              <w:spacing w:after="0"/>
            </w:pPr>
            <w:r>
              <w:rPr>
                <w:rFonts w:ascii="Calibri" w:hAnsi="Calibri"/>
                <w:color w:val="334155"/>
                <w:sz w:val="16"/>
              </w:rPr>
              <w:t>Detecting Jurisdiction Compliance Gaps with Regulatory RAG</w:t>
            </w:r>
          </w:p>
        </w:tc>
        <w:tc>
          <w:tcPr>
            <w:tcW w:type="dxa" w:w="1440"/>
            <w:shd w:fill="F8FAFC"/>
            <w:tcMar>
              <w:top w:w="70" w:type="dxa"/>
              <w:bottom w:w="70" w:type="dxa"/>
              <w:left w:w="70" w:type="dxa"/>
              <w:right w:w="70" w:type="dxa"/>
            </w:tcMar>
          </w:tcPr>
          <w:p>
            <w:pPr>
              <w:spacing w:after="0"/>
            </w:pPr>
            <w:r>
              <w:rPr>
                <w:rFonts w:ascii="Calibri" w:hAnsi="Calibri"/>
                <w:color w:val="334155"/>
                <w:sz w:val="16"/>
              </w:rPr>
              <w:t>J. Loss Prev. Proc. Ind.</w:t>
            </w:r>
          </w:p>
        </w:tc>
        <w:tc>
          <w:tcPr>
            <w:tcW w:type="dxa" w:w="720"/>
            <w:shd w:fill="F8FAFC"/>
            <w:tcMar>
              <w:top w:w="70" w:type="dxa"/>
              <w:bottom w:w="70" w:type="dxa"/>
              <w:left w:w="70" w:type="dxa"/>
              <w:right w:w="70" w:type="dxa"/>
            </w:tcMar>
          </w:tcPr>
          <w:p>
            <w:pPr>
              <w:spacing w:after="0"/>
            </w:pPr>
            <w:r>
              <w:rPr>
                <w:rFonts w:ascii="Calibri" w:hAnsi="Calibri"/>
                <w:color w:val="334155"/>
                <w:sz w:val="16"/>
              </w:rPr>
              <w:t>2026</w:t>
            </w:r>
          </w:p>
        </w:tc>
        <w:tc>
          <w:tcPr>
            <w:tcW w:type="dxa" w:w="1152"/>
            <w:shd w:fill="F8FAFC"/>
            <w:tcMar>
              <w:top w:w="70" w:type="dxa"/>
              <w:bottom w:w="70" w:type="dxa"/>
              <w:left w:w="70" w:type="dxa"/>
              <w:right w:w="70" w:type="dxa"/>
            </w:tcMar>
          </w:tcPr>
          <w:p>
            <w:pPr>
              <w:spacing w:after="0"/>
            </w:pPr>
            <w:r>
              <w:rPr>
                <w:rFonts w:ascii="Calibri" w:hAnsi="Calibri"/>
                <w:color w:val="334155"/>
                <w:sz w:val="16"/>
              </w:rPr>
              <w:t>Scopus Q1</w:t>
            </w:r>
          </w:p>
        </w:tc>
        <w:tc>
          <w:tcPr>
            <w:tcW w:type="dxa" w:w="1296"/>
            <w:shd w:fill="F8FAFC"/>
            <w:tcMar>
              <w:top w:w="70" w:type="dxa"/>
              <w:bottom w:w="70" w:type="dxa"/>
              <w:left w:w="70" w:type="dxa"/>
              <w:right w:w="70" w:type="dxa"/>
            </w:tcMar>
          </w:tcPr>
          <w:p>
            <w:pPr>
              <w:spacing w:after="0"/>
            </w:pPr>
            <w:r>
              <w:rPr>
                <w:rFonts w:ascii="Calibri" w:hAnsi="Calibri"/>
                <w:color w:val="1E3A8A"/>
                <w:sz w:val="16"/>
                <w:u w:val="single"/>
              </w:rPr>
              <w:t>10.1016/j.jlp.2026.106100</w:t>
            </w:r>
          </w:p>
        </w:tc>
      </w:tr>
      <w:tr>
        <w:tc>
          <w:tcPr>
            <w:tcW w:type="dxa" w:w="576"/>
            <w:shd w:fill="FFFFFF"/>
            <w:tcMar>
              <w:top w:w="70" w:type="dxa"/>
              <w:bottom w:w="70" w:type="dxa"/>
              <w:left w:w="70" w:type="dxa"/>
              <w:right w:w="70" w:type="dxa"/>
            </w:tcMar>
          </w:tcPr>
          <w:p>
            <w:pPr>
              <w:spacing w:after="0"/>
            </w:pPr>
            <w:r>
              <w:rPr>
                <w:rFonts w:ascii="Calibri" w:hAnsi="Calibri"/>
                <w:b/>
                <w:color w:val="0F172A"/>
                <w:sz w:val="16"/>
              </w:rPr>
              <w:t>6</w:t>
            </w:r>
          </w:p>
        </w:tc>
        <w:tc>
          <w:tcPr>
            <w:tcW w:type="dxa" w:w="1872"/>
            <w:shd w:fill="FFFFFF"/>
            <w:tcMar>
              <w:top w:w="70" w:type="dxa"/>
              <w:bottom w:w="70" w:type="dxa"/>
              <w:left w:w="70" w:type="dxa"/>
              <w:right w:w="70" w:type="dxa"/>
            </w:tcMar>
          </w:tcPr>
          <w:p>
            <w:pPr>
              <w:spacing w:after="0"/>
            </w:pPr>
            <w:r>
              <w:rPr>
                <w:rFonts w:ascii="Calibri" w:hAnsi="Calibri"/>
                <w:b/>
                <w:color w:val="0F172A"/>
                <w:sz w:val="16"/>
              </w:rPr>
              <w:t>Rafailov et al. [6]</w:t>
            </w:r>
          </w:p>
        </w:tc>
        <w:tc>
          <w:tcPr>
            <w:tcW w:type="dxa" w:w="2592"/>
            <w:shd w:fill="FFFFFF"/>
            <w:tcMar>
              <w:top w:w="70" w:type="dxa"/>
              <w:bottom w:w="70" w:type="dxa"/>
              <w:left w:w="70" w:type="dxa"/>
              <w:right w:w="70" w:type="dxa"/>
            </w:tcMar>
          </w:tcPr>
          <w:p>
            <w:pPr>
              <w:spacing w:after="0"/>
            </w:pPr>
            <w:r>
              <w:rPr>
                <w:rFonts w:ascii="Calibri" w:hAnsi="Calibri"/>
                <w:color w:val="334155"/>
                <w:sz w:val="16"/>
              </w:rPr>
              <w:t>Direct Preference Optimization: Language Model Is Secretly a Reward Model</w:t>
            </w:r>
          </w:p>
        </w:tc>
        <w:tc>
          <w:tcPr>
            <w:tcW w:type="dxa" w:w="1440"/>
            <w:shd w:fill="FFFFFF"/>
            <w:tcMar>
              <w:top w:w="70" w:type="dxa"/>
              <w:bottom w:w="70" w:type="dxa"/>
              <w:left w:w="70" w:type="dxa"/>
              <w:right w:w="70" w:type="dxa"/>
            </w:tcMar>
          </w:tcPr>
          <w:p>
            <w:pPr>
              <w:spacing w:after="0"/>
            </w:pPr>
            <w:r>
              <w:rPr>
                <w:rFonts w:ascii="Calibri" w:hAnsi="Calibri"/>
                <w:color w:val="334155"/>
                <w:sz w:val="16"/>
              </w:rPr>
              <w:t>NeurIPS 2023</w:t>
            </w:r>
          </w:p>
        </w:tc>
        <w:tc>
          <w:tcPr>
            <w:tcW w:type="dxa" w:w="720"/>
            <w:shd w:fill="FFFFFF"/>
            <w:tcMar>
              <w:top w:w="70" w:type="dxa"/>
              <w:bottom w:w="70" w:type="dxa"/>
              <w:left w:w="70" w:type="dxa"/>
              <w:right w:w="70" w:type="dxa"/>
            </w:tcMar>
          </w:tcPr>
          <w:p>
            <w:pPr>
              <w:spacing w:after="0"/>
            </w:pPr>
            <w:r>
              <w:rPr>
                <w:rFonts w:ascii="Calibri" w:hAnsi="Calibri"/>
                <w:color w:val="334155"/>
                <w:sz w:val="16"/>
              </w:rPr>
              <w:t>2023</w:t>
            </w:r>
          </w:p>
        </w:tc>
        <w:tc>
          <w:tcPr>
            <w:tcW w:type="dxa" w:w="1152"/>
            <w:shd w:fill="FFFFFF"/>
            <w:tcMar>
              <w:top w:w="70" w:type="dxa"/>
              <w:bottom w:w="70" w:type="dxa"/>
              <w:left w:w="70" w:type="dxa"/>
              <w:right w:w="70" w:type="dxa"/>
            </w:tcMar>
          </w:tcPr>
          <w:p>
            <w:pPr>
              <w:spacing w:after="0"/>
            </w:pPr>
            <w:r>
              <w:rPr>
                <w:rFonts w:ascii="Calibri" w:hAnsi="Calibri"/>
                <w:color w:val="334155"/>
                <w:sz w:val="16"/>
              </w:rPr>
              <w:t>Scopus / NeurIPS</w:t>
            </w:r>
          </w:p>
        </w:tc>
        <w:tc>
          <w:tcPr>
            <w:tcW w:type="dxa" w:w="1296"/>
            <w:shd w:fill="FFFFFF"/>
            <w:tcMar>
              <w:top w:w="70" w:type="dxa"/>
              <w:bottom w:w="70" w:type="dxa"/>
              <w:left w:w="70" w:type="dxa"/>
              <w:right w:w="70" w:type="dxa"/>
            </w:tcMar>
          </w:tcPr>
          <w:p>
            <w:pPr>
              <w:spacing w:after="0"/>
            </w:pPr>
            <w:r>
              <w:rPr>
                <w:rFonts w:ascii="Calibri" w:hAnsi="Calibri"/>
                <w:color w:val="1E3A8A"/>
                <w:sz w:val="16"/>
                <w:u w:val="single"/>
              </w:rPr>
              <w:t>neurips:a85b405</w:t>
            </w:r>
          </w:p>
        </w:tc>
      </w:tr>
      <w:tr>
        <w:tc>
          <w:tcPr>
            <w:tcW w:type="dxa" w:w="576"/>
            <w:shd w:fill="F8FAFC"/>
            <w:tcMar>
              <w:top w:w="70" w:type="dxa"/>
              <w:bottom w:w="70" w:type="dxa"/>
              <w:left w:w="70" w:type="dxa"/>
              <w:right w:w="70" w:type="dxa"/>
            </w:tcMar>
          </w:tcPr>
          <w:p>
            <w:pPr>
              <w:spacing w:after="0"/>
            </w:pPr>
            <w:r>
              <w:rPr>
                <w:rFonts w:ascii="Calibri" w:hAnsi="Calibri"/>
                <w:b/>
                <w:color w:val="0F172A"/>
                <w:sz w:val="16"/>
              </w:rPr>
              <w:t>7</w:t>
            </w:r>
          </w:p>
        </w:tc>
        <w:tc>
          <w:tcPr>
            <w:tcW w:type="dxa" w:w="1872"/>
            <w:shd w:fill="F8FAFC"/>
            <w:tcMar>
              <w:top w:w="70" w:type="dxa"/>
              <w:bottom w:w="70" w:type="dxa"/>
              <w:left w:w="70" w:type="dxa"/>
              <w:right w:w="70" w:type="dxa"/>
            </w:tcMar>
          </w:tcPr>
          <w:p>
            <w:pPr>
              <w:spacing w:after="0"/>
            </w:pPr>
            <w:r>
              <w:rPr>
                <w:rFonts w:ascii="Calibri" w:hAnsi="Calibri"/>
                <w:b/>
                <w:color w:val="0F172A"/>
                <w:sz w:val="16"/>
              </w:rPr>
              <w:t>Biderman et al. [7]</w:t>
            </w:r>
          </w:p>
        </w:tc>
        <w:tc>
          <w:tcPr>
            <w:tcW w:type="dxa" w:w="2592"/>
            <w:shd w:fill="F8FAFC"/>
            <w:tcMar>
              <w:top w:w="70" w:type="dxa"/>
              <w:bottom w:w="70" w:type="dxa"/>
              <w:left w:w="70" w:type="dxa"/>
              <w:right w:w="70" w:type="dxa"/>
            </w:tcMar>
          </w:tcPr>
          <w:p>
            <w:pPr>
              <w:spacing w:after="0"/>
            </w:pPr>
            <w:r>
              <w:rPr>
                <w:rFonts w:ascii="Calibri" w:hAnsi="Calibri"/>
                <w:color w:val="334155"/>
                <w:sz w:val="16"/>
              </w:rPr>
              <w:t>LoRA Learns Less and Forgets Less</w:t>
            </w:r>
          </w:p>
        </w:tc>
        <w:tc>
          <w:tcPr>
            <w:tcW w:type="dxa" w:w="1440"/>
            <w:shd w:fill="F8FAFC"/>
            <w:tcMar>
              <w:top w:w="70" w:type="dxa"/>
              <w:bottom w:w="70" w:type="dxa"/>
              <w:left w:w="70" w:type="dxa"/>
              <w:right w:w="70" w:type="dxa"/>
            </w:tcMar>
          </w:tcPr>
          <w:p>
            <w:pPr>
              <w:spacing w:after="0"/>
            </w:pPr>
            <w:r>
              <w:rPr>
                <w:rFonts w:ascii="Calibri" w:hAnsi="Calibri"/>
                <w:color w:val="334155"/>
                <w:sz w:val="16"/>
              </w:rPr>
              <w:t>TMLR</w:t>
            </w:r>
          </w:p>
        </w:tc>
        <w:tc>
          <w:tcPr>
            <w:tcW w:type="dxa" w:w="720"/>
            <w:shd w:fill="F8FAFC"/>
            <w:tcMar>
              <w:top w:w="70" w:type="dxa"/>
              <w:bottom w:w="70" w:type="dxa"/>
              <w:left w:w="70" w:type="dxa"/>
              <w:right w:w="70" w:type="dxa"/>
            </w:tcMar>
          </w:tcPr>
          <w:p>
            <w:pPr>
              <w:spacing w:after="0"/>
            </w:pPr>
            <w:r>
              <w:rPr>
                <w:rFonts w:ascii="Calibri" w:hAnsi="Calibri"/>
                <w:color w:val="334155"/>
                <w:sz w:val="16"/>
              </w:rPr>
              <w:t>2024</w:t>
            </w:r>
          </w:p>
        </w:tc>
        <w:tc>
          <w:tcPr>
            <w:tcW w:type="dxa" w:w="1152"/>
            <w:shd w:fill="F8FAFC"/>
            <w:tcMar>
              <w:top w:w="70" w:type="dxa"/>
              <w:bottom w:w="70" w:type="dxa"/>
              <w:left w:w="70" w:type="dxa"/>
              <w:right w:w="70" w:type="dxa"/>
            </w:tcMar>
          </w:tcPr>
          <w:p>
            <w:pPr>
              <w:spacing w:after="0"/>
            </w:pPr>
            <w:r>
              <w:rPr>
                <w:rFonts w:ascii="Calibri" w:hAnsi="Calibri"/>
                <w:color w:val="334155"/>
                <w:sz w:val="16"/>
              </w:rPr>
              <w:t>Scopus / TMLR</w:t>
            </w:r>
          </w:p>
        </w:tc>
        <w:tc>
          <w:tcPr>
            <w:tcW w:type="dxa" w:w="1296"/>
            <w:shd w:fill="F8FAFC"/>
            <w:tcMar>
              <w:top w:w="70" w:type="dxa"/>
              <w:bottom w:w="70" w:type="dxa"/>
              <w:left w:w="70" w:type="dxa"/>
              <w:right w:w="70" w:type="dxa"/>
            </w:tcMar>
          </w:tcPr>
          <w:p>
            <w:pPr>
              <w:spacing w:after="0"/>
            </w:pPr>
            <w:r>
              <w:rPr>
                <w:rFonts w:ascii="Calibri" w:hAnsi="Calibri"/>
                <w:color w:val="1E3A8A"/>
                <w:sz w:val="16"/>
                <w:u w:val="single"/>
              </w:rPr>
              <w:t>openreview:c806jB5m5K</w:t>
            </w:r>
          </w:p>
        </w:tc>
      </w:tr>
      <w:tr>
        <w:tc>
          <w:tcPr>
            <w:tcW w:type="dxa" w:w="576"/>
            <w:shd w:fill="FFFFFF"/>
            <w:tcMar>
              <w:top w:w="70" w:type="dxa"/>
              <w:bottom w:w="70" w:type="dxa"/>
              <w:left w:w="70" w:type="dxa"/>
              <w:right w:w="70" w:type="dxa"/>
            </w:tcMar>
          </w:tcPr>
          <w:p>
            <w:pPr>
              <w:spacing w:after="0"/>
            </w:pPr>
            <w:r>
              <w:rPr>
                <w:rFonts w:ascii="Calibri" w:hAnsi="Calibri"/>
                <w:b/>
                <w:color w:val="0F172A"/>
                <w:sz w:val="16"/>
              </w:rPr>
              <w:t>8</w:t>
            </w:r>
          </w:p>
        </w:tc>
        <w:tc>
          <w:tcPr>
            <w:tcW w:type="dxa" w:w="1872"/>
            <w:shd w:fill="FFFFFF"/>
            <w:tcMar>
              <w:top w:w="70" w:type="dxa"/>
              <w:bottom w:w="70" w:type="dxa"/>
              <w:left w:w="70" w:type="dxa"/>
              <w:right w:w="70" w:type="dxa"/>
            </w:tcMar>
          </w:tcPr>
          <w:p>
            <w:pPr>
              <w:spacing w:after="0"/>
            </w:pPr>
            <w:r>
              <w:rPr>
                <w:rFonts w:ascii="Calibri" w:hAnsi="Calibri"/>
                <w:b/>
                <w:color w:val="0F172A"/>
                <w:sz w:val="16"/>
              </w:rPr>
              <w:t>Pall [8]</w:t>
            </w:r>
          </w:p>
        </w:tc>
        <w:tc>
          <w:tcPr>
            <w:tcW w:type="dxa" w:w="2592"/>
            <w:shd w:fill="FFFFFF"/>
            <w:tcMar>
              <w:top w:w="70" w:type="dxa"/>
              <w:bottom w:w="70" w:type="dxa"/>
              <w:left w:w="70" w:type="dxa"/>
              <w:right w:w="70" w:type="dxa"/>
            </w:tcMar>
          </w:tcPr>
          <w:p>
            <w:pPr>
              <w:spacing w:after="0"/>
            </w:pPr>
            <w:r>
              <w:rPr>
                <w:rFonts w:ascii="Calibri" w:hAnsi="Calibri"/>
                <w:color w:val="334155"/>
                <w:sz w:val="16"/>
              </w:rPr>
              <w:t>IndiaFinBench: Benchmark for LLMs on Indian FinReg Text</w:t>
            </w:r>
          </w:p>
        </w:tc>
        <w:tc>
          <w:tcPr>
            <w:tcW w:type="dxa" w:w="1440"/>
            <w:shd w:fill="FFFFFF"/>
            <w:tcMar>
              <w:top w:w="70" w:type="dxa"/>
              <w:bottom w:w="70" w:type="dxa"/>
              <w:left w:w="70" w:type="dxa"/>
              <w:right w:w="70" w:type="dxa"/>
            </w:tcMar>
          </w:tcPr>
          <w:p>
            <w:pPr>
              <w:spacing w:after="0"/>
            </w:pPr>
            <w:r>
              <w:rPr>
                <w:rFonts w:ascii="Calibri" w:hAnsi="Calibri"/>
                <w:color w:val="334155"/>
                <w:sz w:val="16"/>
              </w:rPr>
              <w:t>arXiv:2604.19298</w:t>
            </w:r>
          </w:p>
        </w:tc>
        <w:tc>
          <w:tcPr>
            <w:tcW w:type="dxa" w:w="720"/>
            <w:shd w:fill="FFFFFF"/>
            <w:tcMar>
              <w:top w:w="70" w:type="dxa"/>
              <w:bottom w:w="70" w:type="dxa"/>
              <w:left w:w="70" w:type="dxa"/>
              <w:right w:w="70" w:type="dxa"/>
            </w:tcMar>
          </w:tcPr>
          <w:p>
            <w:pPr>
              <w:spacing w:after="0"/>
            </w:pPr>
            <w:r>
              <w:rPr>
                <w:rFonts w:ascii="Calibri" w:hAnsi="Calibri"/>
                <w:color w:val="334155"/>
                <w:sz w:val="16"/>
              </w:rPr>
              <w:t>2026</w:t>
            </w:r>
          </w:p>
        </w:tc>
        <w:tc>
          <w:tcPr>
            <w:tcW w:type="dxa" w:w="1152"/>
            <w:shd w:fill="FFFFFF"/>
            <w:tcMar>
              <w:top w:w="70" w:type="dxa"/>
              <w:bottom w:w="70" w:type="dxa"/>
              <w:left w:w="70" w:type="dxa"/>
              <w:right w:w="70" w:type="dxa"/>
            </w:tcMar>
          </w:tcPr>
          <w:p>
            <w:pPr>
              <w:spacing w:after="0"/>
            </w:pPr>
            <w:r>
              <w:rPr>
                <w:rFonts w:ascii="Calibri" w:hAnsi="Calibri"/>
                <w:color w:val="334155"/>
                <w:sz w:val="16"/>
              </w:rPr>
              <w:t>Benchmark Dataset</w:t>
            </w:r>
          </w:p>
        </w:tc>
        <w:tc>
          <w:tcPr>
            <w:tcW w:type="dxa" w:w="1296"/>
            <w:shd w:fill="FFFFFF"/>
            <w:tcMar>
              <w:top w:w="70" w:type="dxa"/>
              <w:bottom w:w="70" w:type="dxa"/>
              <w:left w:w="70" w:type="dxa"/>
              <w:right w:w="70" w:type="dxa"/>
            </w:tcMar>
          </w:tcPr>
          <w:p>
            <w:pPr>
              <w:spacing w:after="0"/>
            </w:pPr>
            <w:r>
              <w:rPr>
                <w:rFonts w:ascii="Calibri" w:hAnsi="Calibri"/>
                <w:color w:val="1E3A8A"/>
                <w:sz w:val="16"/>
                <w:u w:val="single"/>
              </w:rPr>
              <w:t>arXiv:2604.19298</w:t>
            </w:r>
          </w:p>
        </w:tc>
      </w:tr>
    </w:tbl>
    <w:p>
      <w:pPr>
        <w:spacing w:after="120"/>
      </w:pPr>
    </w:p>
    <w:p>
      <w:pPr>
        <w:keepNext/>
        <w:spacing w:before="280" w:after="120"/>
      </w:pPr>
      <w:r>
        <w:rPr>
          <w:rFonts w:ascii="Calibri" w:hAnsi="Calibri"/>
          <w:b/>
          <w:color w:val="0F172A"/>
          <w:sz w:val="22"/>
        </w:rPr>
        <w:t>8. Table 2: 10-Column Comparative Literature Matrix (Problem, Gap, Fix &amp; Impact)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965"/>
        <w:gridCol w:w="965"/>
        <w:gridCol w:w="965"/>
        <w:gridCol w:w="965"/>
        <w:gridCol w:w="965"/>
        <w:gridCol w:w="965"/>
        <w:gridCol w:w="965"/>
        <w:gridCol w:w="965"/>
        <w:gridCol w:w="965"/>
        <w:gridCol w:w="965"/>
      </w:tblGrid>
      <w:tr>
        <w:tc>
          <w:tcPr>
            <w:tcW w:type="dxa" w:w="432"/>
            <w:shd w:fill="1E3A8A"/>
            <w:tcMar>
              <w:top w:w="80" w:type="dxa"/>
              <w:bottom w:w="80" w:type="dxa"/>
              <w:left w:w="50" w:type="dxa"/>
              <w:right w:w="50" w:type="dxa"/>
            </w:tcMar>
          </w:tcPr>
          <w:p>
            <w:pPr>
              <w:spacing w:after="0"/>
            </w:pPr>
            <w:r>
              <w:rPr>
                <w:rFonts w:ascii="Calibri" w:hAnsi="Calibri"/>
                <w:b/>
                <w:color w:val="FFFFFF"/>
                <w:sz w:val="15"/>
              </w:rPr>
              <w:t>Sr.</w:t>
            </w:r>
          </w:p>
        </w:tc>
        <w:tc>
          <w:tcPr>
            <w:tcW w:type="dxa" w:w="1296"/>
            <w:shd w:fill="1E3A8A"/>
            <w:tcMar>
              <w:top w:w="80" w:type="dxa"/>
              <w:bottom w:w="80" w:type="dxa"/>
              <w:left w:w="50" w:type="dxa"/>
              <w:right w:w="50" w:type="dxa"/>
            </w:tcMar>
          </w:tcPr>
          <w:p>
            <w:pPr>
              <w:spacing w:after="0"/>
            </w:pPr>
            <w:r>
              <w:rPr>
                <w:rFonts w:ascii="Calibri" w:hAnsi="Calibri"/>
                <w:b/>
                <w:color w:val="FFFFFF"/>
                <w:sz w:val="15"/>
              </w:rPr>
              <w:t>Authors</w:t>
            </w:r>
          </w:p>
        </w:tc>
        <w:tc>
          <w:tcPr>
            <w:tcW w:type="dxa" w:w="1152"/>
            <w:shd w:fill="1E3A8A"/>
            <w:tcMar>
              <w:top w:w="80" w:type="dxa"/>
              <w:bottom w:w="80" w:type="dxa"/>
              <w:left w:w="50" w:type="dxa"/>
              <w:right w:w="50" w:type="dxa"/>
            </w:tcMar>
          </w:tcPr>
          <w:p>
            <w:pPr>
              <w:spacing w:after="0"/>
            </w:pPr>
            <w:r>
              <w:rPr>
                <w:rFonts w:ascii="Calibri" w:hAnsi="Calibri"/>
                <w:b/>
                <w:color w:val="FFFFFF"/>
                <w:sz w:val="15"/>
              </w:rPr>
              <w:t>Research Problem</w:t>
            </w:r>
          </w:p>
        </w:tc>
        <w:tc>
          <w:tcPr>
            <w:tcW w:type="dxa" w:w="864"/>
            <w:shd w:fill="1E3A8A"/>
            <w:tcMar>
              <w:top w:w="80" w:type="dxa"/>
              <w:bottom w:w="80" w:type="dxa"/>
              <w:left w:w="50" w:type="dxa"/>
              <w:right w:w="50" w:type="dxa"/>
            </w:tcMar>
          </w:tcPr>
          <w:p>
            <w:pPr>
              <w:spacing w:after="0"/>
            </w:pPr>
            <w:r>
              <w:rPr>
                <w:rFonts w:ascii="Calibri" w:hAnsi="Calibri"/>
                <w:b/>
                <w:color w:val="FFFFFF"/>
                <w:sz w:val="15"/>
              </w:rPr>
              <w:t>Dataset</w:t>
            </w:r>
          </w:p>
        </w:tc>
        <w:tc>
          <w:tcPr>
            <w:tcW w:type="dxa" w:w="864"/>
            <w:shd w:fill="1E3A8A"/>
            <w:tcMar>
              <w:top w:w="80" w:type="dxa"/>
              <w:bottom w:w="80" w:type="dxa"/>
              <w:left w:w="50" w:type="dxa"/>
              <w:right w:w="50" w:type="dxa"/>
            </w:tcMar>
          </w:tcPr>
          <w:p>
            <w:pPr>
              <w:spacing w:after="0"/>
            </w:pPr>
            <w:r>
              <w:rPr>
                <w:rFonts w:ascii="Calibri" w:hAnsi="Calibri"/>
                <w:b/>
                <w:color w:val="FFFFFF"/>
                <w:sz w:val="15"/>
              </w:rPr>
              <w:t>Method</w:t>
            </w:r>
          </w:p>
        </w:tc>
        <w:tc>
          <w:tcPr>
            <w:tcW w:type="dxa" w:w="1152"/>
            <w:shd w:fill="1E3A8A"/>
            <w:tcMar>
              <w:top w:w="80" w:type="dxa"/>
              <w:bottom w:w="80" w:type="dxa"/>
              <w:left w:w="50" w:type="dxa"/>
              <w:right w:w="50" w:type="dxa"/>
            </w:tcMar>
          </w:tcPr>
          <w:p>
            <w:pPr>
              <w:spacing w:after="0"/>
            </w:pPr>
            <w:r>
              <w:rPr>
                <w:rFonts w:ascii="Calibri" w:hAnsi="Calibri"/>
                <w:b/>
                <w:color w:val="FFFFFF"/>
                <w:sz w:val="15"/>
              </w:rPr>
              <w:t>Key Findings</w:t>
            </w:r>
          </w:p>
        </w:tc>
        <w:tc>
          <w:tcPr>
            <w:tcW w:type="dxa" w:w="1152"/>
            <w:shd w:fill="1E3A8A"/>
            <w:tcMar>
              <w:top w:w="80" w:type="dxa"/>
              <w:bottom w:w="80" w:type="dxa"/>
              <w:left w:w="50" w:type="dxa"/>
              <w:right w:w="50" w:type="dxa"/>
            </w:tcMar>
          </w:tcPr>
          <w:p>
            <w:pPr>
              <w:spacing w:after="0"/>
            </w:pPr>
            <w:r>
              <w:rPr>
                <w:rFonts w:ascii="Calibri" w:hAnsi="Calibri"/>
                <w:b/>
                <w:color w:val="FFFFFF"/>
                <w:sz w:val="15"/>
              </w:rPr>
              <w:t>Research Gap</w:t>
            </w:r>
          </w:p>
        </w:tc>
        <w:tc>
          <w:tcPr>
            <w:tcW w:type="dxa" w:w="1152"/>
            <w:shd w:fill="1E3A8A"/>
            <w:tcMar>
              <w:top w:w="80" w:type="dxa"/>
              <w:bottom w:w="80" w:type="dxa"/>
              <w:left w:w="50" w:type="dxa"/>
              <w:right w:w="50" w:type="dxa"/>
            </w:tcMar>
          </w:tcPr>
          <w:p>
            <w:pPr>
              <w:spacing w:after="0"/>
            </w:pPr>
            <w:r>
              <w:rPr>
                <w:rFonts w:ascii="Calibri" w:hAnsi="Calibri"/>
                <w:b/>
                <w:color w:val="FFFFFF"/>
                <w:sz w:val="15"/>
              </w:rPr>
              <w:t>Our Applied Fix</w:t>
            </w:r>
          </w:p>
        </w:tc>
        <w:tc>
          <w:tcPr>
            <w:tcW w:type="dxa" w:w="1296"/>
            <w:shd w:fill="1E3A8A"/>
            <w:tcMar>
              <w:top w:w="80" w:type="dxa"/>
              <w:bottom w:w="80" w:type="dxa"/>
              <w:left w:w="50" w:type="dxa"/>
              <w:right w:w="50" w:type="dxa"/>
            </w:tcMar>
          </w:tcPr>
          <w:p>
            <w:pPr>
              <w:spacing w:after="0"/>
            </w:pPr>
            <w:r>
              <w:rPr>
                <w:rFonts w:ascii="Calibri" w:hAnsi="Calibri"/>
                <w:b/>
                <w:color w:val="FFFFFF"/>
                <w:sz w:val="15"/>
              </w:rPr>
              <w:t>Impact on Score</w:t>
            </w:r>
          </w:p>
        </w:tc>
        <w:tc>
          <w:tcPr>
            <w:tcW w:type="dxa" w:w="1152"/>
            <w:shd w:fill="1E3A8A"/>
            <w:tcMar>
              <w:top w:w="80" w:type="dxa"/>
              <w:bottom w:w="80" w:type="dxa"/>
              <w:left w:w="50" w:type="dxa"/>
              <w:right w:w="50" w:type="dxa"/>
            </w:tcMar>
          </w:tcPr>
          <w:p>
            <w:pPr>
              <w:spacing w:after="0"/>
            </w:pPr>
            <w:r>
              <w:rPr>
                <w:rFonts w:ascii="Calibri" w:hAnsi="Calibri"/>
                <w:b/>
                <w:color w:val="FFFFFF"/>
                <w:sz w:val="15"/>
              </w:rPr>
              <w:t>Benchmark Gain</w:t>
            </w:r>
          </w:p>
        </w:tc>
      </w:tr>
      <w:tr>
        <w:tc>
          <w:tcPr>
            <w:tcW w:type="dxa" w:w="432"/>
            <w:shd w:fill="F8FAFC"/>
            <w:tcMar>
              <w:top w:w="60" w:type="dxa"/>
              <w:bottom w:w="60" w:type="dxa"/>
              <w:left w:w="40" w:type="dxa"/>
              <w:right w:w="40" w:type="dxa"/>
            </w:tcMar>
          </w:tcPr>
          <w:p>
            <w:pPr>
              <w:spacing w:after="0"/>
            </w:pPr>
            <w:r>
              <w:rPr>
                <w:rFonts w:ascii="Calibri" w:hAnsi="Calibri"/>
                <w:b/>
                <w:color w:val="0F172A"/>
                <w:sz w:val="14"/>
              </w:rPr>
              <w:t>1</w:t>
            </w:r>
          </w:p>
        </w:tc>
        <w:tc>
          <w:tcPr>
            <w:tcW w:type="dxa" w:w="1296"/>
            <w:shd w:fill="F8FAFC"/>
            <w:tcMar>
              <w:top w:w="60" w:type="dxa"/>
              <w:bottom w:w="60" w:type="dxa"/>
              <w:left w:w="40" w:type="dxa"/>
              <w:right w:w="40" w:type="dxa"/>
            </w:tcMar>
          </w:tcPr>
          <w:p>
            <w:pPr>
              <w:spacing w:after="0"/>
            </w:pPr>
            <w:r>
              <w:rPr>
                <w:rFonts w:ascii="Calibri" w:hAnsi="Calibri"/>
                <w:b/>
                <w:color w:val="0F172A"/>
                <w:sz w:val="14"/>
              </w:rPr>
              <w:t>Ovadia et al. [1]</w:t>
            </w:r>
          </w:p>
        </w:tc>
        <w:tc>
          <w:tcPr>
            <w:tcW w:type="dxa" w:w="1152"/>
            <w:shd w:fill="F8FAFC"/>
            <w:tcMar>
              <w:top w:w="60" w:type="dxa"/>
              <w:bottom w:w="60" w:type="dxa"/>
              <w:left w:w="40" w:type="dxa"/>
              <w:right w:w="40" w:type="dxa"/>
            </w:tcMar>
          </w:tcPr>
          <w:p>
            <w:pPr>
              <w:spacing w:after="0"/>
            </w:pPr>
            <w:r>
              <w:rPr>
                <w:rFonts w:ascii="Calibri" w:hAnsi="Calibri"/>
                <w:color w:val="334155"/>
                <w:sz w:val="14"/>
              </w:rPr>
              <w:t>RAG vs Fine-Tuning for knowledge injection</w:t>
            </w:r>
          </w:p>
        </w:tc>
        <w:tc>
          <w:tcPr>
            <w:tcW w:type="dxa" w:w="864"/>
            <w:shd w:fill="F8FAFC"/>
            <w:tcMar>
              <w:top w:w="60" w:type="dxa"/>
              <w:bottom w:w="60" w:type="dxa"/>
              <w:left w:w="40" w:type="dxa"/>
              <w:right w:w="40" w:type="dxa"/>
            </w:tcMar>
          </w:tcPr>
          <w:p>
            <w:pPr>
              <w:spacing w:after="0"/>
            </w:pPr>
            <w:r>
              <w:rPr>
                <w:rFonts w:ascii="Calibri" w:hAnsi="Calibri"/>
                <w:color w:val="334155"/>
                <w:sz w:val="14"/>
              </w:rPr>
              <w:t>Synthetic point-facts &amp; QA</w:t>
            </w:r>
          </w:p>
        </w:tc>
        <w:tc>
          <w:tcPr>
            <w:tcW w:type="dxa" w:w="864"/>
            <w:shd w:fill="F8FAFC"/>
            <w:tcMar>
              <w:top w:w="60" w:type="dxa"/>
              <w:bottom w:w="60" w:type="dxa"/>
              <w:left w:w="40" w:type="dxa"/>
              <w:right w:w="40" w:type="dxa"/>
            </w:tcMar>
          </w:tcPr>
          <w:p>
            <w:pPr>
              <w:spacing w:after="0"/>
            </w:pPr>
            <w:r>
              <w:rPr>
                <w:rFonts w:ascii="Calibri" w:hAnsi="Calibri"/>
                <w:color w:val="334155"/>
                <w:sz w:val="14"/>
              </w:rPr>
              <w:t>Empirical SFT vs RAG comparison</w:t>
            </w:r>
          </w:p>
        </w:tc>
        <w:tc>
          <w:tcPr>
            <w:tcW w:type="dxa" w:w="1152"/>
            <w:shd w:fill="F8FAFC"/>
            <w:tcMar>
              <w:top w:w="60" w:type="dxa"/>
              <w:bottom w:w="60" w:type="dxa"/>
              <w:left w:w="40" w:type="dxa"/>
              <w:right w:w="40" w:type="dxa"/>
            </w:tcMar>
          </w:tcPr>
          <w:p>
            <w:pPr>
              <w:spacing w:after="0"/>
            </w:pPr>
            <w:r>
              <w:rPr>
                <w:rFonts w:ascii="Calibri" w:hAnsi="Calibri"/>
                <w:color w:val="334155"/>
                <w:sz w:val="14"/>
              </w:rPr>
              <w:t>RAG beats SFT on factuality; FT suffers from Reversal Curse</w:t>
            </w:r>
          </w:p>
        </w:tc>
        <w:tc>
          <w:tcPr>
            <w:tcW w:type="dxa" w:w="1152"/>
            <w:shd w:fill="F8FAFC"/>
            <w:tcMar>
              <w:top w:w="60" w:type="dxa"/>
              <w:bottom w:w="60" w:type="dxa"/>
              <w:left w:w="40" w:type="dxa"/>
              <w:right w:w="40" w:type="dxa"/>
            </w:tcMar>
          </w:tcPr>
          <w:p>
            <w:pPr>
              <w:spacing w:after="0"/>
            </w:pPr>
            <w:r>
              <w:rPr>
                <w:rFonts w:ascii="Calibri" w:hAnsi="Calibri"/>
                <w:color w:val="334155"/>
                <w:sz w:val="14"/>
              </w:rPr>
              <w:t>FT alone fails for rapidly amending regulations</w:t>
            </w:r>
          </w:p>
        </w:tc>
        <w:tc>
          <w:tcPr>
            <w:tcW w:type="dxa" w:w="1152"/>
            <w:shd w:fill="F8FAFC"/>
            <w:tcMar>
              <w:top w:w="60" w:type="dxa"/>
              <w:bottom w:w="60" w:type="dxa"/>
              <w:left w:w="40" w:type="dxa"/>
              <w:right w:w="40" w:type="dxa"/>
            </w:tcMar>
          </w:tcPr>
          <w:p>
            <w:pPr>
              <w:spacing w:after="0"/>
            </w:pPr>
            <w:r>
              <w:rPr>
                <w:rFonts w:ascii="Calibri" w:hAnsi="Calibri"/>
                <w:color w:val="334155"/>
                <w:sz w:val="14"/>
              </w:rPr>
              <w:t>Two-Stage RAFT with &lt;think&gt; traces + Distractor Ingestion</w:t>
            </w:r>
          </w:p>
        </w:tc>
        <w:tc>
          <w:tcPr>
            <w:tcW w:type="dxa" w:w="1296"/>
            <w:shd w:fill="F8FAFC"/>
            <w:tcMar>
              <w:top w:w="60" w:type="dxa"/>
              <w:bottom w:w="60" w:type="dxa"/>
              <w:left w:w="40" w:type="dxa"/>
              <w:right w:w="40" w:type="dxa"/>
            </w:tcMar>
          </w:tcPr>
          <w:p>
            <w:pPr>
              <w:spacing w:after="0"/>
            </w:pPr>
            <w:r>
              <w:rPr>
                <w:rFonts w:ascii="Calibri" w:hAnsi="Calibri"/>
                <w:color w:val="334155"/>
                <w:sz w:val="14"/>
              </w:rPr>
              <w:t>Forces reasoning over retrieved context rather than memorization</w:t>
            </w:r>
          </w:p>
        </w:tc>
        <w:tc>
          <w:tcPr>
            <w:tcW w:type="dxa" w:w="1152"/>
            <w:shd w:fill="F8FAFC"/>
            <w:tcMar>
              <w:top w:w="60" w:type="dxa"/>
              <w:bottom w:w="60" w:type="dxa"/>
              <w:left w:w="40" w:type="dxa"/>
              <w:right w:w="40" w:type="dxa"/>
            </w:tcMar>
          </w:tcPr>
          <w:p>
            <w:pPr>
              <w:spacing w:after="0"/>
            </w:pPr>
            <w:r>
              <w:rPr>
                <w:rFonts w:ascii="Calibri" w:hAnsi="Calibri"/>
                <w:b/>
                <w:color w:val="047857"/>
                <w:sz w:val="14"/>
              </w:rPr>
              <w:t>Core Compliance: 62.3% -&gt; 94.43%</w:t>
            </w:r>
          </w:p>
        </w:tc>
      </w:tr>
      <w:tr>
        <w:tc>
          <w:tcPr>
            <w:tcW w:type="dxa" w:w="432"/>
            <w:shd w:fill="FFFFFF"/>
            <w:tcMar>
              <w:top w:w="60" w:type="dxa"/>
              <w:bottom w:w="60" w:type="dxa"/>
              <w:left w:w="40" w:type="dxa"/>
              <w:right w:w="40" w:type="dxa"/>
            </w:tcMar>
          </w:tcPr>
          <w:p>
            <w:pPr>
              <w:spacing w:after="0"/>
            </w:pPr>
            <w:r>
              <w:rPr>
                <w:rFonts w:ascii="Calibri" w:hAnsi="Calibri"/>
                <w:b/>
                <w:color w:val="0F172A"/>
                <w:sz w:val="14"/>
              </w:rPr>
              <w:t>2</w:t>
            </w:r>
          </w:p>
        </w:tc>
        <w:tc>
          <w:tcPr>
            <w:tcW w:type="dxa" w:w="1296"/>
            <w:shd w:fill="FFFFFF"/>
            <w:tcMar>
              <w:top w:w="60" w:type="dxa"/>
              <w:bottom w:w="60" w:type="dxa"/>
              <w:left w:w="40" w:type="dxa"/>
              <w:right w:w="40" w:type="dxa"/>
            </w:tcMar>
          </w:tcPr>
          <w:p>
            <w:pPr>
              <w:spacing w:after="0"/>
            </w:pPr>
            <w:r>
              <w:rPr>
                <w:rFonts w:ascii="Calibri" w:hAnsi="Calibri"/>
                <w:b/>
                <w:color w:val="0F172A"/>
                <w:sz w:val="14"/>
              </w:rPr>
              <w:t>Zhang et al. [2]</w:t>
            </w:r>
          </w:p>
        </w:tc>
        <w:tc>
          <w:tcPr>
            <w:tcW w:type="dxa" w:w="1152"/>
            <w:shd w:fill="FFFFFF"/>
            <w:tcMar>
              <w:top w:w="60" w:type="dxa"/>
              <w:bottom w:w="60" w:type="dxa"/>
              <w:left w:w="40" w:type="dxa"/>
              <w:right w:w="40" w:type="dxa"/>
            </w:tcMar>
          </w:tcPr>
          <w:p>
            <w:pPr>
              <w:spacing w:after="0"/>
            </w:pPr>
            <w:r>
              <w:rPr>
                <w:rFonts w:ascii="Calibri" w:hAnsi="Calibri"/>
                <w:color w:val="334155"/>
                <w:sz w:val="14"/>
              </w:rPr>
              <w:t>Model confusion from irrelevant retrieved context</w:t>
            </w:r>
          </w:p>
        </w:tc>
        <w:tc>
          <w:tcPr>
            <w:tcW w:type="dxa" w:w="864"/>
            <w:shd w:fill="FFFFFF"/>
            <w:tcMar>
              <w:top w:w="60" w:type="dxa"/>
              <w:bottom w:w="60" w:type="dxa"/>
              <w:left w:w="40" w:type="dxa"/>
              <w:right w:w="40" w:type="dxa"/>
            </w:tcMar>
          </w:tcPr>
          <w:p>
            <w:pPr>
              <w:spacing w:after="0"/>
            </w:pPr>
            <w:r>
              <w:rPr>
                <w:rFonts w:ascii="Calibri" w:hAnsi="Calibri"/>
                <w:color w:val="334155"/>
                <w:sz w:val="14"/>
              </w:rPr>
              <w:t>PubMed, HotpotQA, Gorilla</w:t>
            </w:r>
          </w:p>
        </w:tc>
        <w:tc>
          <w:tcPr>
            <w:tcW w:type="dxa" w:w="864"/>
            <w:shd w:fill="FFFFFF"/>
            <w:tcMar>
              <w:top w:w="60" w:type="dxa"/>
              <w:bottom w:w="60" w:type="dxa"/>
              <w:left w:w="40" w:type="dxa"/>
              <w:right w:w="40" w:type="dxa"/>
            </w:tcMar>
          </w:tcPr>
          <w:p>
            <w:pPr>
              <w:spacing w:after="0"/>
            </w:pPr>
            <w:r>
              <w:rPr>
                <w:rFonts w:ascii="Calibri" w:hAnsi="Calibri"/>
                <w:color w:val="334155"/>
                <w:sz w:val="14"/>
              </w:rPr>
              <w:t>RAFT SFT with oracle + distractor docs</w:t>
            </w:r>
          </w:p>
        </w:tc>
        <w:tc>
          <w:tcPr>
            <w:tcW w:type="dxa" w:w="1152"/>
            <w:shd w:fill="FFFFFF"/>
            <w:tcMar>
              <w:top w:w="60" w:type="dxa"/>
              <w:bottom w:w="60" w:type="dxa"/>
              <w:left w:w="40" w:type="dxa"/>
              <w:right w:w="40" w:type="dxa"/>
            </w:tcMar>
          </w:tcPr>
          <w:p>
            <w:pPr>
              <w:spacing w:after="0"/>
            </w:pPr>
            <w:r>
              <w:rPr>
                <w:rFonts w:ascii="Calibri" w:hAnsi="Calibri"/>
                <w:color w:val="334155"/>
                <w:sz w:val="14"/>
              </w:rPr>
              <w:t>Distractor training forces verbatim citation extraction</w:t>
            </w:r>
          </w:p>
        </w:tc>
        <w:tc>
          <w:tcPr>
            <w:tcW w:type="dxa" w:w="1152"/>
            <w:shd w:fill="FFFFFF"/>
            <w:tcMar>
              <w:top w:w="60" w:type="dxa"/>
              <w:bottom w:w="60" w:type="dxa"/>
              <w:left w:w="40" w:type="dxa"/>
              <w:right w:w="40" w:type="dxa"/>
            </w:tcMar>
          </w:tcPr>
          <w:p>
            <w:pPr>
              <w:spacing w:after="0"/>
            </w:pPr>
            <w:r>
              <w:rPr>
                <w:rFonts w:ascii="Calibri" w:hAnsi="Calibri"/>
                <w:color w:val="334155"/>
                <w:sz w:val="14"/>
              </w:rPr>
              <w:t>General domain only; not tested on circulars</w:t>
            </w:r>
          </w:p>
        </w:tc>
        <w:tc>
          <w:tcPr>
            <w:tcW w:type="dxa" w:w="1152"/>
            <w:shd w:fill="FFFFFF"/>
            <w:tcMar>
              <w:top w:w="60" w:type="dxa"/>
              <w:bottom w:w="60" w:type="dxa"/>
              <w:left w:w="40" w:type="dxa"/>
              <w:right w:w="40" w:type="dxa"/>
            </w:tcMar>
          </w:tcPr>
          <w:p>
            <w:pPr>
              <w:spacing w:after="0"/>
            </w:pPr>
            <w:r>
              <w:rPr>
                <w:rFonts w:ascii="Calibri" w:hAnsi="Calibri"/>
                <w:color w:val="334155"/>
                <w:sz w:val="14"/>
              </w:rPr>
              <w:t>Extended RAFT to Indian multi-agency financial law</w:t>
            </w:r>
          </w:p>
        </w:tc>
        <w:tc>
          <w:tcPr>
            <w:tcW w:type="dxa" w:w="1296"/>
            <w:shd w:fill="FFFFFF"/>
            <w:tcMar>
              <w:top w:w="60" w:type="dxa"/>
              <w:bottom w:w="60" w:type="dxa"/>
              <w:left w:w="40" w:type="dxa"/>
              <w:right w:w="40" w:type="dxa"/>
            </w:tcMar>
          </w:tcPr>
          <w:p>
            <w:pPr>
              <w:spacing w:after="0"/>
            </w:pPr>
            <w:r>
              <w:rPr>
                <w:rFonts w:ascii="Calibri" w:hAnsi="Calibri"/>
                <w:color w:val="334155"/>
                <w:sz w:val="14"/>
              </w:rPr>
              <w:t>Eliminated distraction-induced hallucinations</w:t>
            </w:r>
          </w:p>
        </w:tc>
        <w:tc>
          <w:tcPr>
            <w:tcW w:type="dxa" w:w="1152"/>
            <w:shd w:fill="FFFFFF"/>
            <w:tcMar>
              <w:top w:w="60" w:type="dxa"/>
              <w:bottom w:w="60" w:type="dxa"/>
              <w:left w:w="40" w:type="dxa"/>
              <w:right w:w="40" w:type="dxa"/>
            </w:tcMar>
          </w:tcPr>
          <w:p>
            <w:pPr>
              <w:spacing w:after="0"/>
            </w:pPr>
            <w:r>
              <w:rPr>
                <w:rFonts w:ascii="Calibri" w:hAnsi="Calibri"/>
                <w:b/>
                <w:color w:val="047857"/>
                <w:sz w:val="14"/>
              </w:rPr>
              <w:t>C2 Multi-hop: +40.44% gain</w:t>
            </w:r>
          </w:p>
        </w:tc>
      </w:tr>
      <w:tr>
        <w:tc>
          <w:tcPr>
            <w:tcW w:type="dxa" w:w="432"/>
            <w:shd w:fill="F8FAFC"/>
            <w:tcMar>
              <w:top w:w="60" w:type="dxa"/>
              <w:bottom w:w="60" w:type="dxa"/>
              <w:left w:w="40" w:type="dxa"/>
              <w:right w:w="40" w:type="dxa"/>
            </w:tcMar>
          </w:tcPr>
          <w:p>
            <w:pPr>
              <w:spacing w:after="0"/>
            </w:pPr>
            <w:r>
              <w:rPr>
                <w:rFonts w:ascii="Calibri" w:hAnsi="Calibri"/>
                <w:b/>
                <w:color w:val="0F172A"/>
                <w:sz w:val="14"/>
              </w:rPr>
              <w:t>3</w:t>
            </w:r>
          </w:p>
        </w:tc>
        <w:tc>
          <w:tcPr>
            <w:tcW w:type="dxa" w:w="1296"/>
            <w:shd w:fill="F8FAFC"/>
            <w:tcMar>
              <w:top w:w="60" w:type="dxa"/>
              <w:bottom w:w="60" w:type="dxa"/>
              <w:left w:w="40" w:type="dxa"/>
              <w:right w:w="40" w:type="dxa"/>
            </w:tcMar>
          </w:tcPr>
          <w:p>
            <w:pPr>
              <w:spacing w:after="0"/>
            </w:pPr>
            <w:r>
              <w:rPr>
                <w:rFonts w:ascii="Calibri" w:hAnsi="Calibri"/>
                <w:b/>
                <w:color w:val="0F172A"/>
                <w:sz w:val="14"/>
              </w:rPr>
              <w:t>Magesh et al. [3]</w:t>
            </w:r>
          </w:p>
        </w:tc>
        <w:tc>
          <w:tcPr>
            <w:tcW w:type="dxa" w:w="1152"/>
            <w:shd w:fill="F8FAFC"/>
            <w:tcMar>
              <w:top w:w="60" w:type="dxa"/>
              <w:bottom w:w="60" w:type="dxa"/>
              <w:left w:w="40" w:type="dxa"/>
              <w:right w:w="40" w:type="dxa"/>
            </w:tcMar>
          </w:tcPr>
          <w:p>
            <w:pPr>
              <w:spacing w:after="0"/>
            </w:pPr>
            <w:r>
              <w:rPr>
                <w:rFonts w:ascii="Calibri" w:hAnsi="Calibri"/>
                <w:color w:val="334155"/>
                <w:sz w:val="14"/>
              </w:rPr>
              <w:t>Hallucination in commercial legal AI tools</w:t>
            </w:r>
          </w:p>
        </w:tc>
        <w:tc>
          <w:tcPr>
            <w:tcW w:type="dxa" w:w="864"/>
            <w:shd w:fill="F8FAFC"/>
            <w:tcMar>
              <w:top w:w="60" w:type="dxa"/>
              <w:bottom w:w="60" w:type="dxa"/>
              <w:left w:w="40" w:type="dxa"/>
              <w:right w:w="40" w:type="dxa"/>
            </w:tcMar>
          </w:tcPr>
          <w:p>
            <w:pPr>
              <w:spacing w:after="0"/>
            </w:pPr>
            <w:r>
              <w:rPr>
                <w:rFonts w:ascii="Calibri" w:hAnsi="Calibri"/>
                <w:color w:val="334155"/>
                <w:sz w:val="14"/>
              </w:rPr>
              <w:t>200+ real-world legal queries</w:t>
            </w:r>
          </w:p>
        </w:tc>
        <w:tc>
          <w:tcPr>
            <w:tcW w:type="dxa" w:w="864"/>
            <w:shd w:fill="F8FAFC"/>
            <w:tcMar>
              <w:top w:w="60" w:type="dxa"/>
              <w:bottom w:w="60" w:type="dxa"/>
              <w:left w:w="40" w:type="dxa"/>
              <w:right w:w="40" w:type="dxa"/>
            </w:tcMar>
          </w:tcPr>
          <w:p>
            <w:pPr>
              <w:spacing w:after="0"/>
            </w:pPr>
            <w:r>
              <w:rPr>
                <w:rFonts w:ascii="Calibri" w:hAnsi="Calibri"/>
                <w:color w:val="334155"/>
                <w:sz w:val="14"/>
              </w:rPr>
              <w:t>Empirical pre-registered audit (Lexis, Westlaw)</w:t>
            </w:r>
          </w:p>
        </w:tc>
        <w:tc>
          <w:tcPr>
            <w:tcW w:type="dxa" w:w="1152"/>
            <w:shd w:fill="F8FAFC"/>
            <w:tcMar>
              <w:top w:w="60" w:type="dxa"/>
              <w:bottom w:w="60" w:type="dxa"/>
              <w:left w:w="40" w:type="dxa"/>
              <w:right w:w="40" w:type="dxa"/>
            </w:tcMar>
          </w:tcPr>
          <w:p>
            <w:pPr>
              <w:spacing w:after="0"/>
            </w:pPr>
            <w:r>
              <w:rPr>
                <w:rFonts w:ascii="Calibri" w:hAnsi="Calibri"/>
                <w:color w:val="334155"/>
                <w:sz w:val="14"/>
              </w:rPr>
              <w:t>17%–33% hallucination rate on judicial authority</w:t>
            </w:r>
          </w:p>
        </w:tc>
        <w:tc>
          <w:tcPr>
            <w:tcW w:type="dxa" w:w="1152"/>
            <w:shd w:fill="F8FAFC"/>
            <w:tcMar>
              <w:top w:w="60" w:type="dxa"/>
              <w:bottom w:w="60" w:type="dxa"/>
              <w:left w:w="40" w:type="dxa"/>
              <w:right w:w="40" w:type="dxa"/>
            </w:tcMar>
          </w:tcPr>
          <w:p>
            <w:pPr>
              <w:spacing w:after="0"/>
            </w:pPr>
            <w:r>
              <w:rPr>
                <w:rFonts w:ascii="Calibri" w:hAnsi="Calibri"/>
                <w:color w:val="334155"/>
                <w:sz w:val="14"/>
              </w:rPr>
              <w:t>Audited closed commercial tools without open SLM fix</w:t>
            </w:r>
          </w:p>
        </w:tc>
        <w:tc>
          <w:tcPr>
            <w:tcW w:type="dxa" w:w="1152"/>
            <w:shd w:fill="F8FAFC"/>
            <w:tcMar>
              <w:top w:w="60" w:type="dxa"/>
              <w:bottom w:w="60" w:type="dxa"/>
              <w:left w:w="40" w:type="dxa"/>
              <w:right w:w="40" w:type="dxa"/>
            </w:tcMar>
          </w:tcPr>
          <w:p>
            <w:pPr>
              <w:spacing w:after="0"/>
            </w:pPr>
            <w:r>
              <w:rPr>
                <w:rFonts w:ascii="Calibri" w:hAnsi="Calibri"/>
                <w:color w:val="334155"/>
                <w:sz w:val="14"/>
              </w:rPr>
              <w:t>Verbatim Citation Verification + DPO Margin Loss Penalty</w:t>
            </w:r>
          </w:p>
        </w:tc>
        <w:tc>
          <w:tcPr>
            <w:tcW w:type="dxa" w:w="1296"/>
            <w:shd w:fill="F8FAFC"/>
            <w:tcMar>
              <w:top w:w="60" w:type="dxa"/>
              <w:bottom w:w="60" w:type="dxa"/>
              <w:left w:w="40" w:type="dxa"/>
              <w:right w:w="40" w:type="dxa"/>
            </w:tcMar>
          </w:tcPr>
          <w:p>
            <w:pPr>
              <w:spacing w:after="0"/>
            </w:pPr>
            <w:r>
              <w:rPr>
                <w:rFonts w:ascii="Calibri" w:hAnsi="Calibri"/>
                <w:color w:val="334155"/>
                <w:sz w:val="14"/>
              </w:rPr>
              <w:t>Zero tolerance for fabricated circular reference numbers</w:t>
            </w:r>
          </w:p>
        </w:tc>
        <w:tc>
          <w:tcPr>
            <w:tcW w:type="dxa" w:w="1152"/>
            <w:shd w:fill="F8FAFC"/>
            <w:tcMar>
              <w:top w:w="60" w:type="dxa"/>
              <w:bottom w:w="60" w:type="dxa"/>
              <w:left w:w="40" w:type="dxa"/>
              <w:right w:w="40" w:type="dxa"/>
            </w:tcMar>
          </w:tcPr>
          <w:p>
            <w:pPr>
              <w:spacing w:after="0"/>
            </w:pPr>
            <w:r>
              <w:rPr>
                <w:rFonts w:ascii="Calibri" w:hAnsi="Calibri"/>
                <w:b/>
                <w:color w:val="047857"/>
                <w:sz w:val="14"/>
              </w:rPr>
              <w:t>Citation Grounding: 51.6% -&gt; 99.17%</w:t>
            </w:r>
          </w:p>
        </w:tc>
      </w:tr>
      <w:tr>
        <w:tc>
          <w:tcPr>
            <w:tcW w:type="dxa" w:w="432"/>
            <w:shd w:fill="FFFFFF"/>
            <w:tcMar>
              <w:top w:w="60" w:type="dxa"/>
              <w:bottom w:w="60" w:type="dxa"/>
              <w:left w:w="40" w:type="dxa"/>
              <w:right w:w="40" w:type="dxa"/>
            </w:tcMar>
          </w:tcPr>
          <w:p>
            <w:pPr>
              <w:spacing w:after="0"/>
            </w:pPr>
            <w:r>
              <w:rPr>
                <w:rFonts w:ascii="Calibri" w:hAnsi="Calibri"/>
                <w:b/>
                <w:color w:val="0F172A"/>
                <w:sz w:val="14"/>
              </w:rPr>
              <w:t>4</w:t>
            </w:r>
          </w:p>
        </w:tc>
        <w:tc>
          <w:tcPr>
            <w:tcW w:type="dxa" w:w="1296"/>
            <w:shd w:fill="FFFFFF"/>
            <w:tcMar>
              <w:top w:w="60" w:type="dxa"/>
              <w:bottom w:w="60" w:type="dxa"/>
              <w:left w:w="40" w:type="dxa"/>
              <w:right w:w="40" w:type="dxa"/>
            </w:tcMar>
          </w:tcPr>
          <w:p>
            <w:pPr>
              <w:spacing w:after="0"/>
            </w:pPr>
            <w:r>
              <w:rPr>
                <w:rFonts w:ascii="Calibri" w:hAnsi="Calibri"/>
                <w:b/>
                <w:color w:val="0F172A"/>
                <w:sz w:val="14"/>
              </w:rPr>
              <w:t>Pai &amp; Hsu [4]</w:t>
            </w:r>
          </w:p>
        </w:tc>
        <w:tc>
          <w:tcPr>
            <w:tcW w:type="dxa" w:w="1152"/>
            <w:shd w:fill="FFFFFF"/>
            <w:tcMar>
              <w:top w:w="60" w:type="dxa"/>
              <w:bottom w:w="60" w:type="dxa"/>
              <w:left w:w="40" w:type="dxa"/>
              <w:right w:w="40" w:type="dxa"/>
            </w:tcMar>
          </w:tcPr>
          <w:p>
            <w:pPr>
              <w:spacing w:after="0"/>
            </w:pPr>
            <w:r>
              <w:rPr>
                <w:rFonts w:ascii="Calibri" w:hAnsi="Calibri"/>
                <w:color w:val="334155"/>
                <w:sz w:val="14"/>
              </w:rPr>
              <w:t>SLM hallucination on internal corporate norms</w:t>
            </w:r>
          </w:p>
        </w:tc>
        <w:tc>
          <w:tcPr>
            <w:tcW w:type="dxa" w:w="864"/>
            <w:shd w:fill="FFFFFF"/>
            <w:tcMar>
              <w:top w:w="60" w:type="dxa"/>
              <w:bottom w:w="60" w:type="dxa"/>
              <w:left w:w="40" w:type="dxa"/>
              <w:right w:w="40" w:type="dxa"/>
            </w:tcMar>
          </w:tcPr>
          <w:p>
            <w:pPr>
              <w:spacing w:after="0"/>
            </w:pPr>
            <w:r>
              <w:rPr>
                <w:rFonts w:ascii="Calibri" w:hAnsi="Calibri"/>
                <w:color w:val="334155"/>
                <w:sz w:val="14"/>
              </w:rPr>
              <w:t>Industrial RAG datasets</w:t>
            </w:r>
          </w:p>
        </w:tc>
        <w:tc>
          <w:tcPr>
            <w:tcW w:type="dxa" w:w="864"/>
            <w:shd w:fill="FFFFFF"/>
            <w:tcMar>
              <w:top w:w="60" w:type="dxa"/>
              <w:bottom w:w="60" w:type="dxa"/>
              <w:left w:w="40" w:type="dxa"/>
              <w:right w:w="40" w:type="dxa"/>
            </w:tcMar>
          </w:tcPr>
          <w:p>
            <w:pPr>
              <w:spacing w:after="0"/>
            </w:pPr>
            <w:r>
              <w:rPr>
                <w:rFonts w:ascii="Calibri" w:hAnsi="Calibri"/>
                <w:color w:val="334155"/>
                <w:sz w:val="14"/>
              </w:rPr>
              <w:t>QLoRA 1.5B–8B SLM fine-tuning</w:t>
            </w:r>
          </w:p>
        </w:tc>
        <w:tc>
          <w:tcPr>
            <w:tcW w:type="dxa" w:w="1152"/>
            <w:shd w:fill="FFFFFF"/>
            <w:tcMar>
              <w:top w:w="60" w:type="dxa"/>
              <w:bottom w:w="60" w:type="dxa"/>
              <w:left w:w="40" w:type="dxa"/>
              <w:right w:w="40" w:type="dxa"/>
            </w:tcMar>
          </w:tcPr>
          <w:p>
            <w:pPr>
              <w:spacing w:after="0"/>
            </w:pPr>
            <w:r>
              <w:rPr>
                <w:rFonts w:ascii="Calibri" w:hAnsi="Calibri"/>
                <w:color w:val="334155"/>
                <w:sz w:val="14"/>
              </w:rPr>
              <w:t>Domain-specific legal RAG is harder than customer service</w:t>
            </w:r>
          </w:p>
        </w:tc>
        <w:tc>
          <w:tcPr>
            <w:tcW w:type="dxa" w:w="1152"/>
            <w:shd w:fill="FFFFFF"/>
            <w:tcMar>
              <w:top w:w="60" w:type="dxa"/>
              <w:bottom w:w="60" w:type="dxa"/>
              <w:left w:w="40" w:type="dxa"/>
              <w:right w:w="40" w:type="dxa"/>
            </w:tcMar>
          </w:tcPr>
          <w:p>
            <w:pPr>
              <w:spacing w:after="0"/>
            </w:pPr>
            <w:r>
              <w:rPr>
                <w:rFonts w:ascii="Calibri" w:hAnsi="Calibri"/>
                <w:color w:val="334155"/>
                <w:sz w:val="14"/>
              </w:rPr>
              <w:t>Corporate norms only; no multi-agency statutory tracking</w:t>
            </w:r>
          </w:p>
        </w:tc>
        <w:tc>
          <w:tcPr>
            <w:tcW w:type="dxa" w:w="1152"/>
            <w:shd w:fill="FFFFFF"/>
            <w:tcMar>
              <w:top w:w="60" w:type="dxa"/>
              <w:bottom w:w="60" w:type="dxa"/>
              <w:left w:w="40" w:type="dxa"/>
              <w:right w:w="40" w:type="dxa"/>
            </w:tcMar>
          </w:tcPr>
          <w:p>
            <w:pPr>
              <w:spacing w:after="0"/>
            </w:pPr>
            <w:r>
              <w:rPr>
                <w:rFonts w:ascii="Calibri" w:hAnsi="Calibri"/>
                <w:color w:val="334155"/>
                <w:sz w:val="14"/>
              </w:rPr>
              <w:t>4-bit QLoRA on 6 failure classes across 13 regulators</w:t>
            </w:r>
          </w:p>
        </w:tc>
        <w:tc>
          <w:tcPr>
            <w:tcW w:type="dxa" w:w="1296"/>
            <w:shd w:fill="FFFFFF"/>
            <w:tcMar>
              <w:top w:w="60" w:type="dxa"/>
              <w:bottom w:w="60" w:type="dxa"/>
              <w:left w:w="40" w:type="dxa"/>
              <w:right w:w="40" w:type="dxa"/>
            </w:tcMar>
          </w:tcPr>
          <w:p>
            <w:pPr>
              <w:spacing w:after="0"/>
            </w:pPr>
            <w:r>
              <w:rPr>
                <w:rFonts w:ascii="Calibri" w:hAnsi="Calibri"/>
                <w:color w:val="334155"/>
                <w:sz w:val="14"/>
              </w:rPr>
              <w:t>Enables 7B SLM to execute on-premises in 4.5GB VRAM</w:t>
            </w:r>
          </w:p>
        </w:tc>
        <w:tc>
          <w:tcPr>
            <w:tcW w:type="dxa" w:w="1152"/>
            <w:shd w:fill="FFFFFF"/>
            <w:tcMar>
              <w:top w:w="60" w:type="dxa"/>
              <w:bottom w:w="60" w:type="dxa"/>
              <w:left w:w="40" w:type="dxa"/>
              <w:right w:w="40" w:type="dxa"/>
            </w:tcMar>
          </w:tcPr>
          <w:p>
            <w:pPr>
              <w:spacing w:after="0"/>
            </w:pPr>
            <w:r>
              <w:rPr>
                <w:rFonts w:ascii="Calibri" w:hAnsi="Calibri"/>
                <w:b/>
                <w:color w:val="047857"/>
                <w:sz w:val="14"/>
              </w:rPr>
              <w:t>Cross-Reg (C3): 96.67% accuracy</w:t>
            </w:r>
          </w:p>
        </w:tc>
      </w:tr>
      <w:tr>
        <w:tc>
          <w:tcPr>
            <w:tcW w:type="dxa" w:w="432"/>
            <w:shd w:fill="F8FAFC"/>
            <w:tcMar>
              <w:top w:w="60" w:type="dxa"/>
              <w:bottom w:w="60" w:type="dxa"/>
              <w:left w:w="40" w:type="dxa"/>
              <w:right w:w="40" w:type="dxa"/>
            </w:tcMar>
          </w:tcPr>
          <w:p>
            <w:pPr>
              <w:spacing w:after="0"/>
            </w:pPr>
            <w:r>
              <w:rPr>
                <w:rFonts w:ascii="Calibri" w:hAnsi="Calibri"/>
                <w:b/>
                <w:color w:val="0F172A"/>
                <w:sz w:val="14"/>
              </w:rPr>
              <w:t>5</w:t>
            </w:r>
          </w:p>
        </w:tc>
        <w:tc>
          <w:tcPr>
            <w:tcW w:type="dxa" w:w="1296"/>
            <w:shd w:fill="F8FAFC"/>
            <w:tcMar>
              <w:top w:w="60" w:type="dxa"/>
              <w:bottom w:w="60" w:type="dxa"/>
              <w:left w:w="40" w:type="dxa"/>
              <w:right w:w="40" w:type="dxa"/>
            </w:tcMar>
          </w:tcPr>
          <w:p>
            <w:pPr>
              <w:spacing w:after="0"/>
            </w:pPr>
            <w:r>
              <w:rPr>
                <w:rFonts w:ascii="Calibri" w:hAnsi="Calibri"/>
                <w:b/>
                <w:color w:val="0F172A"/>
                <w:sz w:val="14"/>
              </w:rPr>
              <w:t>Kim [5]</w:t>
            </w:r>
          </w:p>
        </w:tc>
        <w:tc>
          <w:tcPr>
            <w:tcW w:type="dxa" w:w="1152"/>
            <w:shd w:fill="F8FAFC"/>
            <w:tcMar>
              <w:top w:w="60" w:type="dxa"/>
              <w:bottom w:w="60" w:type="dxa"/>
              <w:left w:w="40" w:type="dxa"/>
              <w:right w:w="40" w:type="dxa"/>
            </w:tcMar>
          </w:tcPr>
          <w:p>
            <w:pPr>
              <w:spacing w:after="0"/>
            </w:pPr>
            <w:r>
              <w:rPr>
                <w:rFonts w:ascii="Calibri" w:hAnsi="Calibri"/>
                <w:color w:val="334155"/>
                <w:sz w:val="14"/>
              </w:rPr>
              <w:t>Jurisdiction-specific compliance gaps</w:t>
            </w:r>
          </w:p>
        </w:tc>
        <w:tc>
          <w:tcPr>
            <w:tcW w:type="dxa" w:w="864"/>
            <w:shd w:fill="F8FAFC"/>
            <w:tcMar>
              <w:top w:w="60" w:type="dxa"/>
              <w:bottom w:w="60" w:type="dxa"/>
              <w:left w:w="40" w:type="dxa"/>
              <w:right w:w="40" w:type="dxa"/>
            </w:tcMar>
          </w:tcPr>
          <w:p>
            <w:pPr>
              <w:spacing w:after="0"/>
            </w:pPr>
            <w:r>
              <w:rPr>
                <w:rFonts w:ascii="Calibri" w:hAnsi="Calibri"/>
                <w:color w:val="334155"/>
                <w:sz w:val="14"/>
              </w:rPr>
              <w:t>1,327 Safety Norms</w:t>
            </w:r>
          </w:p>
        </w:tc>
        <w:tc>
          <w:tcPr>
            <w:tcW w:type="dxa" w:w="864"/>
            <w:shd w:fill="F8FAFC"/>
            <w:tcMar>
              <w:top w:w="60" w:type="dxa"/>
              <w:bottom w:w="60" w:type="dxa"/>
              <w:left w:w="40" w:type="dxa"/>
              <w:right w:w="40" w:type="dxa"/>
            </w:tcMar>
          </w:tcPr>
          <w:p>
            <w:pPr>
              <w:spacing w:after="0"/>
            </w:pPr>
            <w:r>
              <w:rPr>
                <w:rFonts w:ascii="Calibri" w:hAnsi="Calibri"/>
                <w:color w:val="334155"/>
                <w:sz w:val="14"/>
              </w:rPr>
              <w:t>SQLite FTS5 BM25 + Qwen-4B SLM</w:t>
            </w:r>
          </w:p>
        </w:tc>
        <w:tc>
          <w:tcPr>
            <w:tcW w:type="dxa" w:w="1152"/>
            <w:shd w:fill="F8FAFC"/>
            <w:tcMar>
              <w:top w:w="60" w:type="dxa"/>
              <w:bottom w:w="60" w:type="dxa"/>
              <w:left w:w="40" w:type="dxa"/>
              <w:right w:w="40" w:type="dxa"/>
            </w:tcMar>
          </w:tcPr>
          <w:p>
            <w:pPr>
              <w:spacing w:after="0"/>
            </w:pPr>
            <w:r>
              <w:rPr>
                <w:rFonts w:ascii="Calibri" w:hAnsi="Calibri"/>
                <w:color w:val="334155"/>
                <w:sz w:val="14"/>
              </w:rPr>
              <w:t>On-premises SLM raised gap detection 0/60 -&gt; 26/60</w:t>
            </w:r>
          </w:p>
        </w:tc>
        <w:tc>
          <w:tcPr>
            <w:tcW w:type="dxa" w:w="1152"/>
            <w:shd w:fill="F8FAFC"/>
            <w:tcMar>
              <w:top w:w="60" w:type="dxa"/>
              <w:bottom w:w="60" w:type="dxa"/>
              <w:left w:w="40" w:type="dxa"/>
              <w:right w:w="40" w:type="dxa"/>
            </w:tcMar>
          </w:tcPr>
          <w:p>
            <w:pPr>
              <w:spacing w:after="0"/>
            </w:pPr>
            <w:r>
              <w:rPr>
                <w:rFonts w:ascii="Calibri" w:hAnsi="Calibri"/>
                <w:color w:val="334155"/>
                <w:sz w:val="14"/>
              </w:rPr>
              <w:t>Single-agency domain; no temporal version tracking</w:t>
            </w:r>
          </w:p>
        </w:tc>
        <w:tc>
          <w:tcPr>
            <w:tcW w:type="dxa" w:w="1152"/>
            <w:shd w:fill="F8FAFC"/>
            <w:tcMar>
              <w:top w:w="60" w:type="dxa"/>
              <w:bottom w:w="60" w:type="dxa"/>
              <w:left w:w="40" w:type="dxa"/>
              <w:right w:w="40" w:type="dxa"/>
            </w:tcMar>
          </w:tcPr>
          <w:p>
            <w:pPr>
              <w:spacing w:after="0"/>
            </w:pPr>
            <w:r>
              <w:rPr>
                <w:rFonts w:ascii="Calibri" w:hAnsi="Calibri"/>
                <w:color w:val="334155"/>
                <w:sz w:val="14"/>
              </w:rPr>
              <w:t>SQLite WAL index + explicit effective_date metadata filter</w:t>
            </w:r>
          </w:p>
        </w:tc>
        <w:tc>
          <w:tcPr>
            <w:tcW w:type="dxa" w:w="1296"/>
            <w:shd w:fill="F8FAFC"/>
            <w:tcMar>
              <w:top w:w="60" w:type="dxa"/>
              <w:bottom w:w="60" w:type="dxa"/>
              <w:left w:w="40" w:type="dxa"/>
              <w:right w:w="40" w:type="dxa"/>
            </w:tcMar>
          </w:tcPr>
          <w:p>
            <w:pPr>
              <w:spacing w:after="0"/>
            </w:pPr>
            <w:r>
              <w:rPr>
                <w:rFonts w:ascii="Calibri" w:hAnsi="Calibri"/>
                <w:color w:val="334155"/>
                <w:sz w:val="14"/>
              </w:rPr>
              <w:t>Prevents retrieving superseded older circulars</w:t>
            </w:r>
          </w:p>
        </w:tc>
        <w:tc>
          <w:tcPr>
            <w:tcW w:type="dxa" w:w="1152"/>
            <w:shd w:fill="F8FAFC"/>
            <w:tcMar>
              <w:top w:w="60" w:type="dxa"/>
              <w:bottom w:w="60" w:type="dxa"/>
              <w:left w:w="40" w:type="dxa"/>
              <w:right w:w="40" w:type="dxa"/>
            </w:tcMar>
          </w:tcPr>
          <w:p>
            <w:pPr>
              <w:spacing w:after="0"/>
            </w:pPr>
            <w:r>
              <w:rPr>
                <w:rFonts w:ascii="Calibri" w:hAnsi="Calibri"/>
                <w:b/>
                <w:color w:val="047857"/>
                <w:sz w:val="14"/>
              </w:rPr>
              <w:t>Contradiction Detection: 79.00%</w:t>
            </w:r>
          </w:p>
        </w:tc>
      </w:tr>
      <w:tr>
        <w:tc>
          <w:tcPr>
            <w:tcW w:type="dxa" w:w="432"/>
            <w:shd w:fill="FFFFFF"/>
            <w:tcMar>
              <w:top w:w="60" w:type="dxa"/>
              <w:bottom w:w="60" w:type="dxa"/>
              <w:left w:w="40" w:type="dxa"/>
              <w:right w:w="40" w:type="dxa"/>
            </w:tcMar>
          </w:tcPr>
          <w:p>
            <w:pPr>
              <w:spacing w:after="0"/>
            </w:pPr>
            <w:r>
              <w:rPr>
                <w:rFonts w:ascii="Calibri" w:hAnsi="Calibri"/>
                <w:b/>
                <w:color w:val="0F172A"/>
                <w:sz w:val="14"/>
              </w:rPr>
              <w:t>6</w:t>
            </w:r>
          </w:p>
        </w:tc>
        <w:tc>
          <w:tcPr>
            <w:tcW w:type="dxa" w:w="1296"/>
            <w:shd w:fill="FFFFFF"/>
            <w:tcMar>
              <w:top w:w="60" w:type="dxa"/>
              <w:bottom w:w="60" w:type="dxa"/>
              <w:left w:w="40" w:type="dxa"/>
              <w:right w:w="40" w:type="dxa"/>
            </w:tcMar>
          </w:tcPr>
          <w:p>
            <w:pPr>
              <w:spacing w:after="0"/>
            </w:pPr>
            <w:r>
              <w:rPr>
                <w:rFonts w:ascii="Calibri" w:hAnsi="Calibri"/>
                <w:b/>
                <w:color w:val="0F172A"/>
                <w:sz w:val="14"/>
              </w:rPr>
              <w:t>Rafailov et al. [6]</w:t>
            </w:r>
          </w:p>
        </w:tc>
        <w:tc>
          <w:tcPr>
            <w:tcW w:type="dxa" w:w="1152"/>
            <w:shd w:fill="FFFFFF"/>
            <w:tcMar>
              <w:top w:w="60" w:type="dxa"/>
              <w:bottom w:w="60" w:type="dxa"/>
              <w:left w:w="40" w:type="dxa"/>
              <w:right w:w="40" w:type="dxa"/>
            </w:tcMar>
          </w:tcPr>
          <w:p>
            <w:pPr>
              <w:spacing w:after="0"/>
            </w:pPr>
            <w:r>
              <w:rPr>
                <w:rFonts w:ascii="Calibri" w:hAnsi="Calibri"/>
                <w:color w:val="334155"/>
                <w:sz w:val="14"/>
              </w:rPr>
              <w:t>RL instability in LLM preference alignment</w:t>
            </w:r>
          </w:p>
        </w:tc>
        <w:tc>
          <w:tcPr>
            <w:tcW w:type="dxa" w:w="864"/>
            <w:shd w:fill="FFFFFF"/>
            <w:tcMar>
              <w:top w:w="60" w:type="dxa"/>
              <w:bottom w:w="60" w:type="dxa"/>
              <w:left w:w="40" w:type="dxa"/>
              <w:right w:w="40" w:type="dxa"/>
            </w:tcMar>
          </w:tcPr>
          <w:p>
            <w:pPr>
              <w:spacing w:after="0"/>
            </w:pPr>
            <w:r>
              <w:rPr>
                <w:rFonts w:ascii="Calibri" w:hAnsi="Calibri"/>
                <w:color w:val="334155"/>
                <w:sz w:val="14"/>
              </w:rPr>
              <w:t>HH-RLHF, Anthropic data</w:t>
            </w:r>
          </w:p>
        </w:tc>
        <w:tc>
          <w:tcPr>
            <w:tcW w:type="dxa" w:w="864"/>
            <w:shd w:fill="FFFFFF"/>
            <w:tcMar>
              <w:top w:w="60" w:type="dxa"/>
              <w:bottom w:w="60" w:type="dxa"/>
              <w:left w:w="40" w:type="dxa"/>
              <w:right w:w="40" w:type="dxa"/>
            </w:tcMar>
          </w:tcPr>
          <w:p>
            <w:pPr>
              <w:spacing w:after="0"/>
            </w:pPr>
            <w:r>
              <w:rPr>
                <w:rFonts w:ascii="Calibri" w:hAnsi="Calibri"/>
                <w:color w:val="334155"/>
                <w:sz w:val="14"/>
              </w:rPr>
              <w:t>Direct Preference Optimization (DPO)</w:t>
            </w:r>
          </w:p>
        </w:tc>
        <w:tc>
          <w:tcPr>
            <w:tcW w:type="dxa" w:w="1152"/>
            <w:shd w:fill="FFFFFF"/>
            <w:tcMar>
              <w:top w:w="60" w:type="dxa"/>
              <w:bottom w:w="60" w:type="dxa"/>
              <w:left w:w="40" w:type="dxa"/>
              <w:right w:w="40" w:type="dxa"/>
            </w:tcMar>
          </w:tcPr>
          <w:p>
            <w:pPr>
              <w:spacing w:after="0"/>
            </w:pPr>
            <w:r>
              <w:rPr>
                <w:rFonts w:ascii="Calibri" w:hAnsi="Calibri"/>
                <w:color w:val="334155"/>
                <w:sz w:val="14"/>
              </w:rPr>
              <w:t>DPO optimizes policy directly without separate reward model</w:t>
            </w:r>
          </w:p>
        </w:tc>
        <w:tc>
          <w:tcPr>
            <w:tcW w:type="dxa" w:w="1152"/>
            <w:shd w:fill="FFFFFF"/>
            <w:tcMar>
              <w:top w:w="60" w:type="dxa"/>
              <w:bottom w:w="60" w:type="dxa"/>
              <w:left w:w="40" w:type="dxa"/>
              <w:right w:w="40" w:type="dxa"/>
            </w:tcMar>
          </w:tcPr>
          <w:p>
            <w:pPr>
              <w:spacing w:after="0"/>
            </w:pPr>
            <w:r>
              <w:rPr>
                <w:rFonts w:ascii="Calibri" w:hAnsi="Calibri"/>
                <w:color w:val="334155"/>
                <w:sz w:val="14"/>
              </w:rPr>
              <w:t>General preference; no legal refusal/sycophancy tuning</w:t>
            </w:r>
          </w:p>
        </w:tc>
        <w:tc>
          <w:tcPr>
            <w:tcW w:type="dxa" w:w="1152"/>
            <w:shd w:fill="FFFFFF"/>
            <w:tcMar>
              <w:top w:w="60" w:type="dxa"/>
              <w:bottom w:w="60" w:type="dxa"/>
              <w:left w:w="40" w:type="dxa"/>
              <w:right w:w="40" w:type="dxa"/>
            </w:tcMar>
          </w:tcPr>
          <w:p>
            <w:pPr>
              <w:spacing w:after="0"/>
            </w:pPr>
            <w:r>
              <w:rPr>
                <w:rFonts w:ascii="Calibri" w:hAnsi="Calibri"/>
                <w:color w:val="334155"/>
                <w:sz w:val="14"/>
              </w:rPr>
              <w:t>257 Domain DPO Pairs with Negative Traps (C5/C6)</w:t>
            </w:r>
          </w:p>
        </w:tc>
        <w:tc>
          <w:tcPr>
            <w:tcW w:type="dxa" w:w="1296"/>
            <w:shd w:fill="FFFFFF"/>
            <w:tcMar>
              <w:top w:w="60" w:type="dxa"/>
              <w:bottom w:w="60" w:type="dxa"/>
              <w:left w:w="40" w:type="dxa"/>
              <w:right w:w="40" w:type="dxa"/>
            </w:tcMar>
          </w:tcPr>
          <w:p>
            <w:pPr>
              <w:spacing w:after="0"/>
            </w:pPr>
            <w:r>
              <w:rPr>
                <w:rFonts w:ascii="Calibri" w:hAnsi="Calibri"/>
                <w:color w:val="334155"/>
                <w:sz w:val="14"/>
              </w:rPr>
              <w:t>Forces model to actively refuse when statutory context lacks facts</w:t>
            </w:r>
          </w:p>
        </w:tc>
        <w:tc>
          <w:tcPr>
            <w:tcW w:type="dxa" w:w="1152"/>
            <w:shd w:fill="FFFFFF"/>
            <w:tcMar>
              <w:top w:w="60" w:type="dxa"/>
              <w:bottom w:w="60" w:type="dxa"/>
              <w:left w:w="40" w:type="dxa"/>
              <w:right w:w="40" w:type="dxa"/>
            </w:tcMar>
          </w:tcPr>
          <w:p>
            <w:pPr>
              <w:spacing w:after="0"/>
            </w:pPr>
            <w:r>
              <w:rPr>
                <w:rFonts w:ascii="Calibri" w:hAnsi="Calibri"/>
                <w:b/>
                <w:color w:val="047857"/>
                <w:sz w:val="14"/>
              </w:rPr>
              <w:t>Refusal (C5): 0.0% -&gt; 82.50%</w:t>
            </w:r>
          </w:p>
        </w:tc>
      </w:tr>
      <w:tr>
        <w:tc>
          <w:tcPr>
            <w:tcW w:type="dxa" w:w="432"/>
            <w:shd w:fill="F8FAFC"/>
            <w:tcMar>
              <w:top w:w="60" w:type="dxa"/>
              <w:bottom w:w="60" w:type="dxa"/>
              <w:left w:w="40" w:type="dxa"/>
              <w:right w:w="40" w:type="dxa"/>
            </w:tcMar>
          </w:tcPr>
          <w:p>
            <w:pPr>
              <w:spacing w:after="0"/>
            </w:pPr>
            <w:r>
              <w:rPr>
                <w:rFonts w:ascii="Calibri" w:hAnsi="Calibri"/>
                <w:b/>
                <w:color w:val="0F172A"/>
                <w:sz w:val="14"/>
              </w:rPr>
              <w:t>7</w:t>
            </w:r>
          </w:p>
        </w:tc>
        <w:tc>
          <w:tcPr>
            <w:tcW w:type="dxa" w:w="1296"/>
            <w:shd w:fill="F8FAFC"/>
            <w:tcMar>
              <w:top w:w="60" w:type="dxa"/>
              <w:bottom w:w="60" w:type="dxa"/>
              <w:left w:w="40" w:type="dxa"/>
              <w:right w:w="40" w:type="dxa"/>
            </w:tcMar>
          </w:tcPr>
          <w:p>
            <w:pPr>
              <w:spacing w:after="0"/>
            </w:pPr>
            <w:r>
              <w:rPr>
                <w:rFonts w:ascii="Calibri" w:hAnsi="Calibri"/>
                <w:b/>
                <w:color w:val="0F172A"/>
                <w:sz w:val="14"/>
              </w:rPr>
              <w:t>Biderman et al. [7]</w:t>
            </w:r>
          </w:p>
        </w:tc>
        <w:tc>
          <w:tcPr>
            <w:tcW w:type="dxa" w:w="1152"/>
            <w:shd w:fill="F8FAFC"/>
            <w:tcMar>
              <w:top w:w="60" w:type="dxa"/>
              <w:bottom w:w="60" w:type="dxa"/>
              <w:left w:w="40" w:type="dxa"/>
              <w:right w:w="40" w:type="dxa"/>
            </w:tcMar>
          </w:tcPr>
          <w:p>
            <w:pPr>
              <w:spacing w:after="0"/>
            </w:pPr>
            <w:r>
              <w:rPr>
                <w:rFonts w:ascii="Calibri" w:hAnsi="Calibri"/>
                <w:color w:val="334155"/>
                <w:sz w:val="14"/>
              </w:rPr>
              <w:t>Catastrophic forgetting under fine-tuning</w:t>
            </w:r>
          </w:p>
        </w:tc>
        <w:tc>
          <w:tcPr>
            <w:tcW w:type="dxa" w:w="864"/>
            <w:shd w:fill="F8FAFC"/>
            <w:tcMar>
              <w:top w:w="60" w:type="dxa"/>
              <w:bottom w:w="60" w:type="dxa"/>
              <w:left w:w="40" w:type="dxa"/>
              <w:right w:w="40" w:type="dxa"/>
            </w:tcMar>
          </w:tcPr>
          <w:p>
            <w:pPr>
              <w:spacing w:after="0"/>
            </w:pPr>
            <w:r>
              <w:rPr>
                <w:rFonts w:ascii="Calibri" w:hAnsi="Calibri"/>
                <w:color w:val="334155"/>
                <w:sz w:val="14"/>
              </w:rPr>
              <w:t>1B–7B open LLMs</w:t>
            </w:r>
          </w:p>
        </w:tc>
        <w:tc>
          <w:tcPr>
            <w:tcW w:type="dxa" w:w="864"/>
            <w:shd w:fill="F8FAFC"/>
            <w:tcMar>
              <w:top w:w="60" w:type="dxa"/>
              <w:bottom w:w="60" w:type="dxa"/>
              <w:left w:w="40" w:type="dxa"/>
              <w:right w:w="40" w:type="dxa"/>
            </w:tcMar>
          </w:tcPr>
          <w:p>
            <w:pPr>
              <w:spacing w:after="0"/>
            </w:pPr>
            <w:r>
              <w:rPr>
                <w:rFonts w:ascii="Calibri" w:hAnsi="Calibri"/>
                <w:color w:val="334155"/>
                <w:sz w:val="14"/>
              </w:rPr>
              <w:t>LoRA forgetting audit across NLP benchmarks</w:t>
            </w:r>
          </w:p>
        </w:tc>
        <w:tc>
          <w:tcPr>
            <w:tcW w:type="dxa" w:w="1152"/>
            <w:shd w:fill="F8FAFC"/>
            <w:tcMar>
              <w:top w:w="60" w:type="dxa"/>
              <w:bottom w:w="60" w:type="dxa"/>
              <w:left w:w="40" w:type="dxa"/>
              <w:right w:w="40" w:type="dxa"/>
            </w:tcMar>
          </w:tcPr>
          <w:p>
            <w:pPr>
              <w:spacing w:after="0"/>
            </w:pPr>
            <w:r>
              <w:rPr>
                <w:rFonts w:ascii="Calibri" w:hAnsi="Calibri"/>
                <w:color w:val="334155"/>
                <w:sz w:val="14"/>
              </w:rPr>
              <w:t>Full FT degrades general reasoning; LoRA preserves base skills</w:t>
            </w:r>
          </w:p>
        </w:tc>
        <w:tc>
          <w:tcPr>
            <w:tcW w:type="dxa" w:w="1152"/>
            <w:shd w:fill="F8FAFC"/>
            <w:tcMar>
              <w:top w:w="60" w:type="dxa"/>
              <w:bottom w:w="60" w:type="dxa"/>
              <w:left w:w="40" w:type="dxa"/>
              <w:right w:w="40" w:type="dxa"/>
            </w:tcMar>
          </w:tcPr>
          <w:p>
            <w:pPr>
              <w:spacing w:after="0"/>
            </w:pPr>
            <w:r>
              <w:rPr>
                <w:rFonts w:ascii="Calibri" w:hAnsi="Calibri"/>
                <w:color w:val="334155"/>
                <w:sz w:val="14"/>
              </w:rPr>
              <w:t>Did not test LoRA rank on all 7 linear projection matrices</w:t>
            </w:r>
          </w:p>
        </w:tc>
        <w:tc>
          <w:tcPr>
            <w:tcW w:type="dxa" w:w="1152"/>
            <w:shd w:fill="F8FAFC"/>
            <w:tcMar>
              <w:top w:w="60" w:type="dxa"/>
              <w:bottom w:w="60" w:type="dxa"/>
              <w:left w:w="40" w:type="dxa"/>
              <w:right w:w="40" w:type="dxa"/>
            </w:tcMar>
          </w:tcPr>
          <w:p>
            <w:pPr>
              <w:spacing w:after="0"/>
            </w:pPr>
            <w:r>
              <w:rPr>
                <w:rFonts w:ascii="Calibri" w:hAnsi="Calibri"/>
                <w:color w:val="334155"/>
                <w:sz w:val="14"/>
              </w:rPr>
              <w:t>All-Linear QLoRA (r=64, a=128) in 4-bit NF4</w:t>
            </w:r>
          </w:p>
        </w:tc>
        <w:tc>
          <w:tcPr>
            <w:tcW w:type="dxa" w:w="1296"/>
            <w:shd w:fill="F8FAFC"/>
            <w:tcMar>
              <w:top w:w="60" w:type="dxa"/>
              <w:bottom w:w="60" w:type="dxa"/>
              <w:left w:w="40" w:type="dxa"/>
              <w:right w:w="40" w:type="dxa"/>
            </w:tcMar>
          </w:tcPr>
          <w:p>
            <w:pPr>
              <w:spacing w:after="0"/>
            </w:pPr>
            <w:r>
              <w:rPr>
                <w:rFonts w:ascii="Calibri" w:hAnsi="Calibri"/>
                <w:color w:val="334155"/>
                <w:sz w:val="14"/>
              </w:rPr>
              <w:t>Preserves base DeepSeek-R1 reasoning and syntax formatting</w:t>
            </w:r>
          </w:p>
        </w:tc>
        <w:tc>
          <w:tcPr>
            <w:tcW w:type="dxa" w:w="1152"/>
            <w:shd w:fill="F8FAFC"/>
            <w:tcMar>
              <w:top w:w="60" w:type="dxa"/>
              <w:bottom w:w="60" w:type="dxa"/>
              <w:left w:w="40" w:type="dxa"/>
              <w:right w:w="40" w:type="dxa"/>
            </w:tcMar>
          </w:tcPr>
          <w:p>
            <w:pPr>
              <w:spacing w:after="0"/>
            </w:pPr>
            <w:r>
              <w:rPr>
                <w:rFonts w:ascii="Calibri" w:hAnsi="Calibri"/>
                <w:b/>
                <w:color w:val="047857"/>
                <w:sz w:val="14"/>
              </w:rPr>
              <w:t>Protocol Conformance: 100.0%</w:t>
            </w:r>
          </w:p>
        </w:tc>
      </w:tr>
      <w:tr>
        <w:tc>
          <w:tcPr>
            <w:tcW w:type="dxa" w:w="432"/>
            <w:shd w:fill="FFFFFF"/>
            <w:tcMar>
              <w:top w:w="60" w:type="dxa"/>
              <w:bottom w:w="60" w:type="dxa"/>
              <w:left w:w="40" w:type="dxa"/>
              <w:right w:w="40" w:type="dxa"/>
            </w:tcMar>
          </w:tcPr>
          <w:p>
            <w:pPr>
              <w:spacing w:after="0"/>
            </w:pPr>
            <w:r>
              <w:rPr>
                <w:rFonts w:ascii="Calibri" w:hAnsi="Calibri"/>
                <w:b/>
                <w:color w:val="0F172A"/>
                <w:sz w:val="14"/>
              </w:rPr>
              <w:t>8</w:t>
            </w:r>
          </w:p>
        </w:tc>
        <w:tc>
          <w:tcPr>
            <w:tcW w:type="dxa" w:w="1296"/>
            <w:shd w:fill="FFFFFF"/>
            <w:tcMar>
              <w:top w:w="60" w:type="dxa"/>
              <w:bottom w:w="60" w:type="dxa"/>
              <w:left w:w="40" w:type="dxa"/>
              <w:right w:w="40" w:type="dxa"/>
            </w:tcMar>
          </w:tcPr>
          <w:p>
            <w:pPr>
              <w:spacing w:after="0"/>
            </w:pPr>
            <w:r>
              <w:rPr>
                <w:rFonts w:ascii="Calibri" w:hAnsi="Calibri"/>
                <w:b/>
                <w:color w:val="0F172A"/>
                <w:sz w:val="14"/>
              </w:rPr>
              <w:t>Pall [8]</w:t>
            </w:r>
          </w:p>
        </w:tc>
        <w:tc>
          <w:tcPr>
            <w:tcW w:type="dxa" w:w="1152"/>
            <w:shd w:fill="FFFFFF"/>
            <w:tcMar>
              <w:top w:w="60" w:type="dxa"/>
              <w:bottom w:w="60" w:type="dxa"/>
              <w:left w:w="40" w:type="dxa"/>
              <w:right w:w="40" w:type="dxa"/>
            </w:tcMar>
          </w:tcPr>
          <w:p>
            <w:pPr>
              <w:spacing w:after="0"/>
            </w:pPr>
            <w:r>
              <w:rPr>
                <w:rFonts w:ascii="Calibri" w:hAnsi="Calibri"/>
                <w:color w:val="334155"/>
                <w:sz w:val="14"/>
              </w:rPr>
              <w:t>Benchmarking LLMs on Indian financial regulatory text</w:t>
            </w:r>
          </w:p>
        </w:tc>
        <w:tc>
          <w:tcPr>
            <w:tcW w:type="dxa" w:w="864"/>
            <w:shd w:fill="FFFFFF"/>
            <w:tcMar>
              <w:top w:w="60" w:type="dxa"/>
              <w:bottom w:w="60" w:type="dxa"/>
              <w:left w:w="40" w:type="dxa"/>
              <w:right w:w="40" w:type="dxa"/>
            </w:tcMar>
          </w:tcPr>
          <w:p>
            <w:pPr>
              <w:spacing w:after="0"/>
            </w:pPr>
            <w:r>
              <w:rPr>
                <w:rFonts w:ascii="Calibri" w:hAnsi="Calibri"/>
                <w:color w:val="334155"/>
                <w:sz w:val="14"/>
              </w:rPr>
              <w:t>192 SEBI &amp; RBI circulars</w:t>
            </w:r>
          </w:p>
        </w:tc>
        <w:tc>
          <w:tcPr>
            <w:tcW w:type="dxa" w:w="864"/>
            <w:shd w:fill="FFFFFF"/>
            <w:tcMar>
              <w:top w:w="60" w:type="dxa"/>
              <w:bottom w:w="60" w:type="dxa"/>
              <w:left w:w="40" w:type="dxa"/>
              <w:right w:w="40" w:type="dxa"/>
            </w:tcMar>
          </w:tcPr>
          <w:p>
            <w:pPr>
              <w:spacing w:after="0"/>
            </w:pPr>
            <w:r>
              <w:rPr>
                <w:rFonts w:ascii="Calibri" w:hAnsi="Calibri"/>
                <w:color w:val="334155"/>
                <w:sz w:val="14"/>
              </w:rPr>
              <w:t>Zero-shot benchmark (324 Questions)</w:t>
            </w:r>
          </w:p>
        </w:tc>
        <w:tc>
          <w:tcPr>
            <w:tcW w:type="dxa" w:w="1152"/>
            <w:shd w:fill="FFFFFF"/>
            <w:tcMar>
              <w:top w:w="60" w:type="dxa"/>
              <w:bottom w:w="60" w:type="dxa"/>
              <w:left w:w="40" w:type="dxa"/>
              <w:right w:w="40" w:type="dxa"/>
            </w:tcMar>
          </w:tcPr>
          <w:p>
            <w:pPr>
              <w:spacing w:after="0"/>
            </w:pPr>
            <w:r>
              <w:rPr>
                <w:rFonts w:ascii="Calibri" w:hAnsi="Calibri"/>
                <w:color w:val="334155"/>
                <w:sz w:val="14"/>
              </w:rPr>
              <w:t>Base 7B/8B models score ~76%; numerical reasoning is hardest</w:t>
            </w:r>
          </w:p>
        </w:tc>
        <w:tc>
          <w:tcPr>
            <w:tcW w:type="dxa" w:w="1152"/>
            <w:shd w:fill="FFFFFF"/>
            <w:tcMar>
              <w:top w:w="60" w:type="dxa"/>
              <w:bottom w:w="60" w:type="dxa"/>
              <w:left w:w="40" w:type="dxa"/>
              <w:right w:w="40" w:type="dxa"/>
            </w:tcMar>
          </w:tcPr>
          <w:p>
            <w:pPr>
              <w:spacing w:after="0"/>
            </w:pPr>
            <w:r>
              <w:rPr>
                <w:rFonts w:ascii="Calibri" w:hAnsi="Calibri"/>
                <w:color w:val="334155"/>
                <w:sz w:val="14"/>
              </w:rPr>
              <w:t>Released benchmark only; no fine-tuned local SLM proposed</w:t>
            </w:r>
          </w:p>
        </w:tc>
        <w:tc>
          <w:tcPr>
            <w:tcW w:type="dxa" w:w="1152"/>
            <w:shd w:fill="FFFFFF"/>
            <w:tcMar>
              <w:top w:w="60" w:type="dxa"/>
              <w:bottom w:w="60" w:type="dxa"/>
              <w:left w:w="40" w:type="dxa"/>
              <w:right w:w="40" w:type="dxa"/>
            </w:tcMar>
          </w:tcPr>
          <w:p>
            <w:pPr>
              <w:spacing w:after="0"/>
            </w:pPr>
            <w:r>
              <w:rPr>
                <w:rFonts w:ascii="Calibri" w:hAnsi="Calibri"/>
                <w:color w:val="334155"/>
                <w:sz w:val="14"/>
              </w:rPr>
              <w:t>Evaluated Stage 2 DPO model zero-shot on 324 questions</w:t>
            </w:r>
          </w:p>
        </w:tc>
        <w:tc>
          <w:tcPr>
            <w:tcW w:type="dxa" w:w="1296"/>
            <w:shd w:fill="FFFFFF"/>
            <w:tcMar>
              <w:top w:w="60" w:type="dxa"/>
              <w:bottom w:w="60" w:type="dxa"/>
              <w:left w:w="40" w:type="dxa"/>
              <w:right w:w="40" w:type="dxa"/>
            </w:tcMar>
          </w:tcPr>
          <w:p>
            <w:pPr>
              <w:spacing w:after="0"/>
            </w:pPr>
            <w:r>
              <w:rPr>
                <w:rFonts w:ascii="Calibri" w:hAnsi="Calibri"/>
                <w:color w:val="334155"/>
                <w:sz w:val="14"/>
              </w:rPr>
              <w:t>Outperformed Base LLaMA-3-8B and Mistral-7B locally</w:t>
            </w:r>
          </w:p>
        </w:tc>
        <w:tc>
          <w:tcPr>
            <w:tcW w:type="dxa" w:w="1152"/>
            <w:shd w:fill="FFFFFF"/>
            <w:tcMar>
              <w:top w:w="60" w:type="dxa"/>
              <w:bottom w:w="60" w:type="dxa"/>
              <w:left w:w="40" w:type="dxa"/>
              <w:right w:w="40" w:type="dxa"/>
            </w:tcMar>
          </w:tcPr>
          <w:p>
            <w:pPr>
              <w:spacing w:after="0"/>
            </w:pPr>
            <w:r>
              <w:rPr>
                <w:rFonts w:ascii="Calibri" w:hAnsi="Calibri"/>
                <w:b/>
                <w:color w:val="047857"/>
                <w:sz w:val="14"/>
              </w:rPr>
              <w:t>Overall Macro: 80.98% (Top Tier 2)</w:t>
            </w:r>
          </w:p>
        </w:tc>
      </w:tr>
    </w:tbl>
    <w:p>
      <w:pPr>
        <w:spacing w:after="120"/>
      </w:pPr>
    </w:p>
    <w:p>
      <w:pPr>
        <w:keepNext/>
        <w:spacing w:before="280" w:after="120"/>
      </w:pPr>
      <w:r>
        <w:rPr>
          <w:rFonts w:ascii="Calibri" w:hAnsi="Calibri"/>
          <w:b/>
          <w:color w:val="1E3A8A"/>
          <w:sz w:val="26"/>
        </w:rPr>
        <w:t>PART E — Literature Synthesis</w:t>
      </w:r>
    </w:p>
    <w:p>
      <w:pPr>
        <w:spacing w:after="120" w:line="276" w:lineRule="auto"/>
      </w:pPr>
      <w:r>
        <w:rPr>
          <w:rFonts w:ascii="Calibri" w:hAnsi="Calibri"/>
          <w:b/>
          <w:color w:val="0F172A"/>
          <w:sz w:val="19"/>
        </w:rPr>
        <w:t xml:space="preserve">1. SLMs vs. Cloud Models: </w:t>
      </w:r>
      <w:r>
        <w:rPr>
          <w:rFonts w:ascii="Calibri" w:hAnsi="Calibri"/>
          <w:color w:val="1E293B"/>
          <w:sz w:val="19"/>
        </w:rPr>
        <w:t>Domain-adapted Small Language Models (3B–8B) using Parameter-Efficient Fine-Tuning (QLoRA) and Direct Preference Optimization achieve specialized statutory accuracy while maintaining on-premises data privacy and zero API inference costs.</w:t>
      </w:r>
    </w:p>
    <w:p>
      <w:pPr>
        <w:spacing w:after="120" w:line="276" w:lineRule="auto"/>
      </w:pPr>
      <w:r>
        <w:rPr>
          <w:rFonts w:ascii="Calibri" w:hAnsi="Calibri"/>
          <w:b/>
          <w:color w:val="0F172A"/>
          <w:sz w:val="19"/>
        </w:rPr>
        <w:t xml:space="preserve">2. Hybrid Retrieval &amp; Temporal Validity: </w:t>
      </w:r>
      <w:r>
        <w:rPr>
          <w:rFonts w:ascii="Calibri" w:hAnsi="Calibri"/>
          <w:color w:val="1E293B"/>
          <w:sz w:val="19"/>
        </w:rPr>
        <w:t>Lexical BM25 and dense semantic embeddings fused via Reciprocal Rank Fusion (k=60) coupled with explicit date filtering (effective_date) eliminate temporal obsolescence in dynamic regulatory circulars.</w:t>
      </w:r>
    </w:p>
    <w:p>
      <w:pPr>
        <w:spacing w:after="120" w:line="276" w:lineRule="auto"/>
      </w:pPr>
      <w:r>
        <w:rPr>
          <w:rFonts w:ascii="Calibri" w:hAnsi="Calibri"/>
          <w:b/>
          <w:color w:val="0F172A"/>
          <w:sz w:val="19"/>
        </w:rPr>
        <w:t xml:space="preserve">3. Epistemic Abstention &amp; Sycophancy: </w:t>
      </w:r>
      <w:r>
        <w:rPr>
          <w:rFonts w:ascii="Calibri" w:hAnsi="Calibri"/>
          <w:color w:val="1E293B"/>
          <w:sz w:val="19"/>
        </w:rPr>
        <w:t>Training models exclusively on positive QA pairs induces severe sycophancy. Incorporating negative preference pairs forces the model to actively refuse when statutory authority is absent.</w:t>
      </w:r>
    </w:p>
    <w:p>
      <w:pPr>
        <w:spacing w:after="120" w:line="276" w:lineRule="auto"/>
      </w:pPr>
      <w:r>
        <w:rPr>
          <w:rFonts w:ascii="Calibri" w:hAnsi="Calibri"/>
          <w:b/>
          <w:color w:val="0F172A"/>
          <w:sz w:val="19"/>
        </w:rPr>
        <w:t xml:space="preserve">4. Data Sovereignty under DPDP Act 2023: </w:t>
      </w:r>
      <w:r>
        <w:rPr>
          <w:rFonts w:ascii="Calibri" w:hAnsi="Calibri"/>
          <w:color w:val="1E293B"/>
          <w:sz w:val="19"/>
        </w:rPr>
        <w:t>Deploying 4-bit quantized 7B models on local hardware eliminates third-party cloud data leakage, meeting strict regulatory compliance mandates under the DPDP Act 2023.</w:t>
      </w:r>
    </w:p>
    <w:p>
      <w:pPr>
        <w:keepNext/>
        <w:spacing w:before="280" w:after="120"/>
      </w:pPr>
      <w:r>
        <w:rPr>
          <w:rFonts w:ascii="Calibri" w:hAnsi="Calibri"/>
          <w:b/>
          <w:color w:val="1E3A8A"/>
          <w:sz w:val="26"/>
        </w:rPr>
        <w:t>PART F — Research Gaps, Applied Fixes &amp; Empirical Gains</w:t>
      </w:r>
    </w:p>
    <w:p>
      <w:pPr>
        <w:spacing w:after="80" w:line="276" w:lineRule="auto"/>
      </w:pPr>
      <w:r>
        <w:rPr>
          <w:b/>
          <w:color w:val="1E3A8A"/>
          <w:sz w:val="19"/>
        </w:rPr>
        <w:t>• Gap 1 (RAG vs FT Dichotomy [1, 2]):</w:t>
      </w:r>
      <w:r>
        <w:rPr>
          <w:color w:val="0F172A"/>
          <w:sz w:val="19"/>
        </w:rPr>
        <w:t xml:space="preserve"> Naive RAG is confused by legal distractors; pure fine-tuning suffers from factual hallucinations. </w:t>
      </w:r>
      <w:r>
        <w:rPr>
          <w:b/>
          <w:color w:val="334155"/>
          <w:sz w:val="19"/>
        </w:rPr>
        <w:t xml:space="preserve">Our Applied Fix: Two-Stage RAFT with &lt;think&gt; traces (Golden Chunks + Distractor Circulars). </w:t>
      </w:r>
      <w:r>
        <w:rPr>
          <w:b/>
          <w:color w:val="047857"/>
          <w:sz w:val="19"/>
        </w:rPr>
        <w:t>Empirical Gain: Core statutory compliance rose to 94.43%; IndiaFinBench Regulatory Interpretation scored 90.29%.</w:t>
      </w:r>
    </w:p>
    <w:p>
      <w:pPr>
        <w:spacing w:after="80" w:line="276" w:lineRule="auto"/>
      </w:pPr>
      <w:r>
        <w:rPr>
          <w:b/>
          <w:color w:val="1E3A8A"/>
          <w:sz w:val="19"/>
        </w:rPr>
        <w:t>• Gap 2 (Hallucination of Authority [3, 4]):</w:t>
      </w:r>
      <w:r>
        <w:rPr>
          <w:color w:val="0F172A"/>
          <w:sz w:val="19"/>
        </w:rPr>
        <w:t xml:space="preserve"> Commercial AI hallucinates legal circular numbers in 17%–33% of queries. </w:t>
      </w:r>
      <w:r>
        <w:rPr>
          <w:b/>
          <w:color w:val="334155"/>
          <w:sz w:val="19"/>
        </w:rPr>
        <w:t xml:space="preserve">Our Applied Fix: Verbatim Citation Verification + DPO Margin Loss Penalty. </w:t>
      </w:r>
      <w:r>
        <w:rPr>
          <w:b/>
          <w:color w:val="047857"/>
          <w:sz w:val="19"/>
        </w:rPr>
        <w:t>Empirical Gain: Citation grounding reached 99.17%; phantom citations dropped to 0.0%.</w:t>
      </w:r>
    </w:p>
    <w:p>
      <w:pPr>
        <w:spacing w:after="80" w:line="276" w:lineRule="auto"/>
      </w:pPr>
      <w:r>
        <w:rPr>
          <w:b/>
          <w:color w:val="1E3A8A"/>
          <w:sz w:val="19"/>
        </w:rPr>
        <w:t>• Gap 3 (Temporal Amnesia in RAG [5]):</w:t>
      </w:r>
      <w:r>
        <w:rPr>
          <w:color w:val="0F172A"/>
          <w:sz w:val="19"/>
        </w:rPr>
        <w:t xml:space="preserve"> Standard vector search retrieves obsolete, superseded circulars based on semantic similarity. </w:t>
      </w:r>
      <w:r>
        <w:rPr>
          <w:b/>
          <w:color w:val="334155"/>
          <w:sz w:val="19"/>
        </w:rPr>
        <w:t xml:space="preserve">Our Applied Fix: Date metadata filtering + RRF (k=60) + temporal DPO. </w:t>
      </w:r>
      <w:r>
        <w:rPr>
          <w:b/>
          <w:color w:val="047857"/>
          <w:sz w:val="19"/>
        </w:rPr>
        <w:t>Empirical Gain: Contradiction Detection scored 79.00%; Temporal Reasoning scored 75.78%.</w:t>
      </w:r>
    </w:p>
    <w:p>
      <w:pPr>
        <w:spacing w:after="80" w:line="276" w:lineRule="auto"/>
      </w:pPr>
      <w:r>
        <w:rPr>
          <w:b/>
          <w:color w:val="1E3A8A"/>
          <w:sz w:val="19"/>
        </w:rPr>
        <w:t>• Gap 4 (Epistemic Inability to Abstain [3, 6]):</w:t>
      </w:r>
      <w:r>
        <w:rPr>
          <w:color w:val="0F172A"/>
          <w:sz w:val="19"/>
        </w:rPr>
        <w:t xml:space="preserve"> Models answer ungrounded or false-premise questions sycophantically. </w:t>
      </w:r>
      <w:r>
        <w:rPr>
          <w:b/>
          <w:color w:val="334155"/>
          <w:sz w:val="19"/>
        </w:rPr>
        <w:t xml:space="preserve">Our Applied Fix: Negative preference DPO alignment (C5 Refusal &amp; C6 False Premise Pairs). </w:t>
      </w:r>
      <w:r>
        <w:rPr>
          <w:b/>
          <w:color w:val="047857"/>
          <w:sz w:val="19"/>
        </w:rPr>
        <w:t>Empirical Gain: Refusal quality rose from 0.0% to 82.50%; premise rejection to 58.00%.</w:t>
      </w:r>
    </w:p>
    <w:p>
      <w:pPr>
        <w:spacing w:after="80" w:line="276" w:lineRule="auto"/>
      </w:pPr>
      <w:r>
        <w:rPr>
          <w:b/>
          <w:color w:val="1E3A8A"/>
          <w:sz w:val="19"/>
        </w:rPr>
        <w:t>• Gap 5 (Catastrophic Forgetting [7]):</w:t>
      </w:r>
      <w:r>
        <w:rPr>
          <w:color w:val="0F172A"/>
          <w:sz w:val="19"/>
        </w:rPr>
        <w:t xml:space="preserve"> Fine-tuning degrades reasoning and formatting. </w:t>
      </w:r>
      <w:r>
        <w:rPr>
          <w:b/>
          <w:color w:val="334155"/>
          <w:sz w:val="19"/>
        </w:rPr>
        <w:t xml:space="preserve">Our Applied Fix: All-linear QLoRA (r=64, a=128) in 4-bit NF4 with strict ChatML Token Supervision. </w:t>
      </w:r>
      <w:r>
        <w:rPr>
          <w:b/>
          <w:color w:val="047857"/>
          <w:sz w:val="19"/>
        </w:rPr>
        <w:t>Empirical Gain: 100.0% structural ChatML protocol conformance; zero syntax collapse.</w:t>
      </w:r>
    </w:p>
    <w:p>
      <w:pPr>
        <w:spacing w:after="80" w:line="276" w:lineRule="auto"/>
      </w:pPr>
      <w:r>
        <w:rPr>
          <w:b/>
          <w:color w:val="1E3A8A"/>
          <w:sz w:val="19"/>
        </w:rPr>
        <w:t>• Gap 6 (Non-Western Regulatory Evaluation Void [8]):</w:t>
      </w:r>
      <w:r>
        <w:rPr>
          <w:color w:val="0F172A"/>
          <w:sz w:val="19"/>
        </w:rPr>
        <w:t xml:space="preserve"> NLP benchmarks ignore Indian financial law. </w:t>
      </w:r>
      <w:r>
        <w:rPr>
          <w:b/>
          <w:color w:val="334155"/>
          <w:sz w:val="19"/>
        </w:rPr>
        <w:t xml:space="preserve">Our Applied Fix: Dual Evaluation on internal G7 Suite (300 Qs) and external IndiaFinBench (324 Qs). </w:t>
      </w:r>
      <w:r>
        <w:rPr>
          <w:b/>
          <w:color w:val="047857"/>
          <w:sz w:val="19"/>
        </w:rPr>
        <w:t>Empirical Gain: 80.98% macro accuracy, outperforming open base 7B/8B models by +3.4% to +5.0%.</w:t>
      </w:r>
    </w:p>
    <w:p>
      <w:pPr>
        <w:keepNext/>
        <w:spacing w:before="280" w:after="120"/>
      </w:pPr>
      <w:r>
        <w:rPr>
          <w:rFonts w:ascii="Calibri" w:hAnsi="Calibri"/>
          <w:b/>
          <w:color w:val="1E3A8A"/>
          <w:sz w:val="26"/>
        </w:rPr>
        <w:t>PART G &amp; H — Research Question &amp; Objectives</w:t>
      </w:r>
    </w:p>
    <w:tbl>
      <w:tblPr>
        <w:tblW w:type="auto" w:w="0"/>
        <w:jc w:val="center"/>
        <w:tblLayout w:type="fixed"/>
        <w:tblLook w:firstColumn="1" w:firstRow="1" w:lastColumn="0" w:lastRow="0" w:noHBand="0" w:noVBand="1" w:val="04A0"/>
      </w:tblPr>
      <w:tblGrid>
        <w:gridCol w:w="9648"/>
      </w:tblGrid>
      <w:tr>
        <w:tc>
          <w:tcPr>
            <w:tcW w:type="dxa" w:w="9360"/>
            <w:shd w:fill="F8FAFC"/>
            <w:tcMar>
              <w:top w:w="140" w:type="dxa"/>
              <w:bottom w:w="140" w:type="dxa"/>
              <w:left w:w="180" w:type="dxa"/>
              <w:right w:w="180" w:type="dxa"/>
            </w:tcMar>
            <w:tcBorders>
              <w:left w:val="single" w:sz="24" w:space="0" w:color="1E3A8A"/>
              <w:top w:val="none"/>
              <w:right w:val="none"/>
              <w:bottom w:val="none"/>
            </w:tcBorders>
          </w:tcPr>
          <w:p>
            <w:pPr>
              <w:spacing w:before="40" w:after="60"/>
            </w:pPr>
            <w:r>
              <w:rPr>
                <w:rFonts w:ascii="Calibri" w:hAnsi="Calibri"/>
                <w:b/>
                <w:color w:val="1E3A8A"/>
                <w:sz w:val="21"/>
              </w:rPr>
              <w:t>📌 Central Research Question</w:t>
              <w:br/>
            </w:r>
            <w:r>
              <w:rPr>
                <w:rFonts w:ascii="Calibri" w:hAnsi="Calibri"/>
                <w:color w:val="1E293B"/>
                <w:sz w:val="19"/>
              </w:rPr>
              <w:t>How does combining a version-aware multi-agency hybrid retrieval pipeline with a Two-Stage Aligned Reasoning Model (Stage 1 QLoRA SFT on Chain-of-Thought traces + Stage 2 Native DPO on epistemic preference pairs using DeepSeek-R1-Distill-Qwen-7B) compare against baseline small language models in achieving factual accuracy, 100% citation grounding, and calibrated epistemic abstention across 13 Indian financial regulatory authorities under on-premises DPDP Act 2023 constraints?</w:t>
            </w:r>
          </w:p>
        </w:tc>
      </w:tr>
    </w:tbl>
    <w:p>
      <w:pPr>
        <w:spacing w:before="0" w:after="80"/>
      </w:pPr>
    </w:p>
    <w:p>
      <w:pPr>
        <w:spacing w:after="60" w:line="276" w:lineRule="auto"/>
      </w:pPr>
      <w:r>
        <w:rPr>
          <w:rFonts w:ascii="Calibri" w:hAnsi="Calibri"/>
          <w:b/>
          <w:color w:val="0F172A"/>
          <w:sz w:val="19"/>
        </w:rPr>
        <w:t xml:space="preserve">• 1. Ingestion Pipeline: </w:t>
      </w:r>
      <w:r>
        <w:rPr>
          <w:rFonts w:ascii="Calibri" w:hAnsi="Calibri"/>
          <w:color w:val="1E293B"/>
          <w:sz w:val="19"/>
        </w:rPr>
        <w:t xml:space="preserve"> Index 18,242 verified documents across 13 Indian authorities in SQLite WAL mode.</w:t>
      </w:r>
    </w:p>
    <w:p>
      <w:pPr>
        <w:spacing w:after="60" w:line="276" w:lineRule="auto"/>
      </w:pPr>
      <w:r>
        <w:rPr>
          <w:rFonts w:ascii="Calibri" w:hAnsi="Calibri"/>
          <w:b/>
          <w:color w:val="0F172A"/>
          <w:sz w:val="19"/>
        </w:rPr>
        <w:t xml:space="preserve">• 2. Hybrid Retrieval Engine: </w:t>
      </w:r>
      <w:r>
        <w:rPr>
          <w:rFonts w:ascii="Calibri" w:hAnsi="Calibri"/>
          <w:color w:val="1E293B"/>
          <w:sz w:val="19"/>
        </w:rPr>
        <w:t xml:space="preserve"> Implement Dense (BGE-small) + BM25 FTS5 with RRF (k=60) and temporal date filtering.</w:t>
      </w:r>
    </w:p>
    <w:p>
      <w:pPr>
        <w:spacing w:after="60" w:line="276" w:lineRule="auto"/>
      </w:pPr>
      <w:r>
        <w:rPr>
          <w:rFonts w:ascii="Calibri" w:hAnsi="Calibri"/>
          <w:b/>
          <w:color w:val="0F172A"/>
          <w:sz w:val="19"/>
        </w:rPr>
        <w:t xml:space="preserve">• 3. Dataset Synthesis: </w:t>
      </w:r>
      <w:r>
        <w:rPr>
          <w:rFonts w:ascii="Calibri" w:hAnsi="Calibri"/>
          <w:color w:val="1E293B"/>
          <w:sz w:val="19"/>
        </w:rPr>
        <w:t xml:space="preserve"> Synthesize 257 golden CoT reasoning traces and 257 DPO preference pairs across 6 failure classes.</w:t>
      </w:r>
    </w:p>
    <w:p>
      <w:pPr>
        <w:spacing w:after="60" w:line="276" w:lineRule="auto"/>
      </w:pPr>
      <w:r>
        <w:rPr>
          <w:rFonts w:ascii="Calibri" w:hAnsi="Calibri"/>
          <w:b/>
          <w:color w:val="0F172A"/>
          <w:sz w:val="19"/>
        </w:rPr>
        <w:t xml:space="preserve">• 4. Two-Stage Fine-Tuning: </w:t>
      </w:r>
      <w:r>
        <w:rPr>
          <w:rFonts w:ascii="Calibri" w:hAnsi="Calibri"/>
          <w:color w:val="1E293B"/>
          <w:sz w:val="19"/>
        </w:rPr>
        <w:t xml:space="preserve"> Adapt DeepSeek-R1-7B on an 8GB consumer GPU using 4-bit NF4 QLoRA and native DPO.</w:t>
      </w:r>
    </w:p>
    <w:p>
      <w:pPr>
        <w:spacing w:after="60" w:line="276" w:lineRule="auto"/>
      </w:pPr>
      <w:r>
        <w:rPr>
          <w:rFonts w:ascii="Calibri" w:hAnsi="Calibri"/>
          <w:b/>
          <w:color w:val="0F172A"/>
          <w:sz w:val="19"/>
        </w:rPr>
        <w:t xml:space="preserve">• 5. Local Deployment Engine: </w:t>
      </w:r>
      <w:r>
        <w:rPr>
          <w:rFonts w:ascii="Calibri" w:hAnsi="Calibri"/>
          <w:color w:val="1E293B"/>
          <w:sz w:val="19"/>
        </w:rPr>
        <w:t xml:space="preserve"> Export standalone FP16 weights (15.2 GB) and build an on-premises FastAPI backend with streaming SSE.</w:t>
      </w:r>
    </w:p>
    <w:p>
      <w:pPr>
        <w:spacing w:after="60" w:line="276" w:lineRule="auto"/>
      </w:pPr>
      <w:r>
        <w:rPr>
          <w:rFonts w:ascii="Calibri" w:hAnsi="Calibri"/>
          <w:b/>
          <w:color w:val="0F172A"/>
          <w:sz w:val="19"/>
        </w:rPr>
        <w:t xml:space="preserve">• 6. Empirical Evaluation: </w:t>
      </w:r>
      <w:r>
        <w:rPr>
          <w:rFonts w:ascii="Calibri" w:hAnsi="Calibri"/>
          <w:color w:val="1E293B"/>
          <w:sz w:val="19"/>
        </w:rPr>
        <w:t xml:space="preserve"> Benchmark on 300 G7 queries and 324 IndiaFinBench questions via a 70B LLM Judge.</w:t>
      </w:r>
    </w:p>
    <w:p>
      <w:pPr>
        <w:keepNext/>
        <w:spacing w:before="280" w:after="120"/>
      </w:pPr>
      <w:r>
        <w:rPr>
          <w:rFonts w:ascii="Calibri" w:hAnsi="Calibri"/>
          <w:b/>
          <w:color w:val="1E3A8A"/>
          <w:sz w:val="26"/>
        </w:rPr>
        <w:t>PART I &amp; J — Scope &amp; Empirical Benchmark Results</w:t>
      </w:r>
    </w:p>
    <w:p>
      <w:pPr>
        <w:keepNext/>
        <w:spacing w:before="280" w:after="120"/>
      </w:pPr>
      <w:r>
        <w:rPr>
          <w:rFonts w:ascii="Calibri" w:hAnsi="Calibri"/>
          <w:b/>
          <w:color w:val="0F172A"/>
          <w:sz w:val="22"/>
        </w:rPr>
        <w:t>Table A: Internal G7 Hard Suite Benchmark (300 Queries via LLaMA-3.3-70B Judge)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072"/>
        <w:gridCol w:w="1072"/>
        <w:gridCol w:w="1072"/>
        <w:gridCol w:w="1072"/>
        <w:gridCol w:w="1072"/>
        <w:gridCol w:w="1072"/>
        <w:gridCol w:w="1072"/>
        <w:gridCol w:w="1072"/>
        <w:gridCol w:w="1072"/>
      </w:tblGrid>
      <w:tr>
        <w:tc>
          <w:tcPr>
            <w:tcW w:type="dxa" w:w="2592"/>
            <w:shd w:fill="1E3A8A"/>
            <w:tcMar>
              <w:top w:w="80" w:type="dxa"/>
              <w:bottom w:w="80" w:type="dxa"/>
              <w:left w:w="50" w:type="dxa"/>
              <w:right w:w="50" w:type="dxa"/>
            </w:tcMar>
          </w:tcPr>
          <w:p>
            <w:pPr>
              <w:spacing w:after="0"/>
            </w:pPr>
            <w:r>
              <w:rPr>
                <w:rFonts w:ascii="Calibri" w:hAnsi="Calibri"/>
                <w:b/>
                <w:color w:val="FFFFFF"/>
                <w:sz w:val="16"/>
              </w:rPr>
              <w:t>Model Configuration</w:t>
            </w:r>
          </w:p>
        </w:tc>
        <w:tc>
          <w:tcPr>
            <w:tcW w:type="dxa" w:w="720"/>
            <w:shd w:fill="1E3A8A"/>
            <w:tcMar>
              <w:top w:w="80" w:type="dxa"/>
              <w:bottom w:w="80" w:type="dxa"/>
              <w:left w:w="50" w:type="dxa"/>
              <w:right w:w="50" w:type="dxa"/>
            </w:tcMar>
          </w:tcPr>
          <w:p>
            <w:pPr>
              <w:spacing w:after="0"/>
            </w:pPr>
            <w:r>
              <w:rPr>
                <w:rFonts w:ascii="Calibri" w:hAnsi="Calibri"/>
                <w:b/>
                <w:color w:val="FFFFFF"/>
                <w:sz w:val="16"/>
              </w:rPr>
              <w:t>C1</w:t>
            </w:r>
          </w:p>
        </w:tc>
        <w:tc>
          <w:tcPr>
            <w:tcW w:type="dxa" w:w="720"/>
            <w:shd w:fill="1E3A8A"/>
            <w:tcMar>
              <w:top w:w="80" w:type="dxa"/>
              <w:bottom w:w="80" w:type="dxa"/>
              <w:left w:w="50" w:type="dxa"/>
              <w:right w:w="50" w:type="dxa"/>
            </w:tcMar>
          </w:tcPr>
          <w:p>
            <w:pPr>
              <w:spacing w:after="0"/>
            </w:pPr>
            <w:r>
              <w:rPr>
                <w:rFonts w:ascii="Calibri" w:hAnsi="Calibri"/>
                <w:b/>
                <w:color w:val="FFFFFF"/>
                <w:sz w:val="16"/>
              </w:rPr>
              <w:t>C2</w:t>
            </w:r>
          </w:p>
        </w:tc>
        <w:tc>
          <w:tcPr>
            <w:tcW w:type="dxa" w:w="720"/>
            <w:shd w:fill="1E3A8A"/>
            <w:tcMar>
              <w:top w:w="80" w:type="dxa"/>
              <w:bottom w:w="80" w:type="dxa"/>
              <w:left w:w="50" w:type="dxa"/>
              <w:right w:w="50" w:type="dxa"/>
            </w:tcMar>
          </w:tcPr>
          <w:p>
            <w:pPr>
              <w:spacing w:after="0"/>
            </w:pPr>
            <w:r>
              <w:rPr>
                <w:rFonts w:ascii="Calibri" w:hAnsi="Calibri"/>
                <w:b/>
                <w:color w:val="FFFFFF"/>
                <w:sz w:val="16"/>
              </w:rPr>
              <w:t>C3</w:t>
            </w:r>
          </w:p>
        </w:tc>
        <w:tc>
          <w:tcPr>
            <w:tcW w:type="dxa" w:w="720"/>
            <w:shd w:fill="1E3A8A"/>
            <w:tcMar>
              <w:top w:w="80" w:type="dxa"/>
              <w:bottom w:w="80" w:type="dxa"/>
              <w:left w:w="50" w:type="dxa"/>
              <w:right w:w="50" w:type="dxa"/>
            </w:tcMar>
          </w:tcPr>
          <w:p>
            <w:pPr>
              <w:spacing w:after="0"/>
            </w:pPr>
            <w:r>
              <w:rPr>
                <w:rFonts w:ascii="Calibri" w:hAnsi="Calibri"/>
                <w:b/>
                <w:color w:val="FFFFFF"/>
                <w:sz w:val="16"/>
              </w:rPr>
              <w:t>C4</w:t>
            </w:r>
          </w:p>
        </w:tc>
        <w:tc>
          <w:tcPr>
            <w:tcW w:type="dxa" w:w="1152"/>
            <w:shd w:fill="1E3A8A"/>
            <w:tcMar>
              <w:top w:w="80" w:type="dxa"/>
              <w:bottom w:w="80" w:type="dxa"/>
              <w:left w:w="50" w:type="dxa"/>
              <w:right w:w="50" w:type="dxa"/>
            </w:tcMar>
          </w:tcPr>
          <w:p>
            <w:pPr>
              <w:spacing w:after="0"/>
            </w:pPr>
            <w:r>
              <w:rPr>
                <w:rFonts w:ascii="Calibri" w:hAnsi="Calibri"/>
                <w:b/>
                <w:color w:val="FFFFFF"/>
                <w:sz w:val="16"/>
              </w:rPr>
              <w:t>C5 (Refuse)</w:t>
            </w:r>
          </w:p>
        </w:tc>
        <w:tc>
          <w:tcPr>
            <w:tcW w:type="dxa" w:w="1152"/>
            <w:shd w:fill="1E3A8A"/>
            <w:tcMar>
              <w:top w:w="80" w:type="dxa"/>
              <w:bottom w:w="80" w:type="dxa"/>
              <w:left w:w="50" w:type="dxa"/>
              <w:right w:w="50" w:type="dxa"/>
            </w:tcMar>
          </w:tcPr>
          <w:p>
            <w:pPr>
              <w:spacing w:after="0"/>
            </w:pPr>
            <w:r>
              <w:rPr>
                <w:rFonts w:ascii="Calibri" w:hAnsi="Calibri"/>
                <w:b/>
                <w:color w:val="FFFFFF"/>
                <w:sz w:val="16"/>
              </w:rPr>
              <w:t>C6 (Reject)</w:t>
            </w:r>
          </w:p>
        </w:tc>
        <w:tc>
          <w:tcPr>
            <w:tcW w:type="dxa" w:w="864"/>
            <w:shd w:fill="1E3A8A"/>
            <w:tcMar>
              <w:top w:w="80" w:type="dxa"/>
              <w:bottom w:w="80" w:type="dxa"/>
              <w:left w:w="50" w:type="dxa"/>
              <w:right w:w="50" w:type="dxa"/>
            </w:tcMar>
          </w:tcPr>
          <w:p>
            <w:pPr>
              <w:spacing w:after="0"/>
            </w:pPr>
            <w:r>
              <w:rPr>
                <w:rFonts w:ascii="Calibri" w:hAnsi="Calibri"/>
                <w:b/>
                <w:color w:val="FFFFFF"/>
                <w:sz w:val="16"/>
              </w:rPr>
              <w:t>Citation</w:t>
            </w:r>
          </w:p>
        </w:tc>
        <w:tc>
          <w:tcPr>
            <w:tcW w:type="dxa" w:w="1008"/>
            <w:shd w:fill="1E3A8A"/>
            <w:tcMar>
              <w:top w:w="80" w:type="dxa"/>
              <w:bottom w:w="80" w:type="dxa"/>
              <w:left w:w="50" w:type="dxa"/>
              <w:right w:w="50" w:type="dxa"/>
            </w:tcMar>
          </w:tcPr>
          <w:p>
            <w:pPr>
              <w:spacing w:after="0"/>
            </w:pPr>
            <w:r>
              <w:rPr>
                <w:rFonts w:ascii="Calibri" w:hAnsi="Calibri"/>
                <w:b/>
                <w:color w:val="FFFFFF"/>
                <w:sz w:val="16"/>
              </w:rPr>
              <w:t>Judge Score</w:t>
            </w:r>
          </w:p>
        </w:tc>
      </w:tr>
      <w:tr>
        <w:tc>
          <w:tcPr>
            <w:tcW w:type="dxa" w:w="2592"/>
            <w:shd w:fill="F8FAFC"/>
            <w:tcMar>
              <w:top w:w="70" w:type="dxa"/>
              <w:bottom w:w="70" w:type="dxa"/>
              <w:left w:w="50" w:type="dxa"/>
              <w:right w:w="50" w:type="dxa"/>
            </w:tcMar>
          </w:tcPr>
          <w:p>
            <w:pPr>
              <w:spacing w:after="0"/>
            </w:pPr>
            <w:r>
              <w:rPr>
                <w:rFonts w:ascii="Calibri" w:hAnsi="Calibri"/>
                <w:color w:val="334155"/>
                <w:sz w:val="16"/>
              </w:rPr>
              <w:t>Base 3B (Llama-3.2-3B)</w:t>
            </w:r>
          </w:p>
        </w:tc>
        <w:tc>
          <w:tcPr>
            <w:tcW w:type="dxa" w:w="720"/>
            <w:shd w:fill="F8FAFC"/>
            <w:tcMar>
              <w:top w:w="70" w:type="dxa"/>
              <w:bottom w:w="70" w:type="dxa"/>
              <w:left w:w="50" w:type="dxa"/>
              <w:right w:w="50" w:type="dxa"/>
            </w:tcMar>
          </w:tcPr>
          <w:p>
            <w:pPr>
              <w:spacing w:after="0"/>
            </w:pPr>
            <w:r>
              <w:rPr>
                <w:rFonts w:ascii="Calibri" w:hAnsi="Calibri"/>
                <w:color w:val="334155"/>
                <w:sz w:val="16"/>
              </w:rPr>
              <w:t>58.0%</w:t>
            </w:r>
          </w:p>
        </w:tc>
        <w:tc>
          <w:tcPr>
            <w:tcW w:type="dxa" w:w="720"/>
            <w:shd w:fill="F8FAFC"/>
            <w:tcMar>
              <w:top w:w="70" w:type="dxa"/>
              <w:bottom w:w="70" w:type="dxa"/>
              <w:left w:w="50" w:type="dxa"/>
              <w:right w:w="50" w:type="dxa"/>
            </w:tcMar>
          </w:tcPr>
          <w:p>
            <w:pPr>
              <w:spacing w:after="0"/>
            </w:pPr>
            <w:r>
              <w:rPr>
                <w:rFonts w:ascii="Calibri" w:hAnsi="Calibri"/>
                <w:color w:val="334155"/>
                <w:sz w:val="16"/>
              </w:rPr>
              <w:t>52.0%</w:t>
            </w:r>
          </w:p>
        </w:tc>
        <w:tc>
          <w:tcPr>
            <w:tcW w:type="dxa" w:w="720"/>
            <w:shd w:fill="F8FAFC"/>
            <w:tcMar>
              <w:top w:w="70" w:type="dxa"/>
              <w:bottom w:w="70" w:type="dxa"/>
              <w:left w:w="50" w:type="dxa"/>
              <w:right w:w="50" w:type="dxa"/>
            </w:tcMar>
          </w:tcPr>
          <w:p>
            <w:pPr>
              <w:spacing w:after="0"/>
            </w:pPr>
            <w:r>
              <w:rPr>
                <w:rFonts w:ascii="Calibri" w:hAnsi="Calibri"/>
                <w:color w:val="334155"/>
                <w:sz w:val="16"/>
              </w:rPr>
              <w:t>46.0%</w:t>
            </w:r>
          </w:p>
        </w:tc>
        <w:tc>
          <w:tcPr>
            <w:tcW w:type="dxa" w:w="720"/>
            <w:shd w:fill="F8FAFC"/>
            <w:tcMar>
              <w:top w:w="70" w:type="dxa"/>
              <w:bottom w:w="70" w:type="dxa"/>
              <w:left w:w="50" w:type="dxa"/>
              <w:right w:w="50" w:type="dxa"/>
            </w:tcMar>
          </w:tcPr>
          <w:p>
            <w:pPr>
              <w:spacing w:after="0"/>
            </w:pPr>
            <w:r>
              <w:rPr>
                <w:rFonts w:ascii="Calibri" w:hAnsi="Calibri"/>
                <w:color w:val="334155"/>
                <w:sz w:val="16"/>
              </w:rPr>
              <w:t>44.0%</w:t>
            </w:r>
          </w:p>
        </w:tc>
        <w:tc>
          <w:tcPr>
            <w:tcW w:type="dxa" w:w="1152"/>
            <w:shd w:fill="F8FAFC"/>
            <w:tcMar>
              <w:top w:w="70" w:type="dxa"/>
              <w:bottom w:w="70" w:type="dxa"/>
              <w:left w:w="50" w:type="dxa"/>
              <w:right w:w="50" w:type="dxa"/>
            </w:tcMar>
          </w:tcPr>
          <w:p>
            <w:pPr>
              <w:spacing w:after="0"/>
            </w:pPr>
            <w:r>
              <w:rPr>
                <w:rFonts w:ascii="Calibri" w:hAnsi="Calibri"/>
                <w:color w:val="334155"/>
                <w:sz w:val="16"/>
              </w:rPr>
              <w:t>0.0%</w:t>
            </w:r>
          </w:p>
        </w:tc>
        <w:tc>
          <w:tcPr>
            <w:tcW w:type="dxa" w:w="1152"/>
            <w:shd w:fill="F8FAFC"/>
            <w:tcMar>
              <w:top w:w="70" w:type="dxa"/>
              <w:bottom w:w="70" w:type="dxa"/>
              <w:left w:w="50" w:type="dxa"/>
              <w:right w:w="50" w:type="dxa"/>
            </w:tcMar>
          </w:tcPr>
          <w:p>
            <w:pPr>
              <w:spacing w:after="0"/>
            </w:pPr>
            <w:r>
              <w:rPr>
                <w:rFonts w:ascii="Calibri" w:hAnsi="Calibri"/>
                <w:color w:val="334155"/>
                <w:sz w:val="16"/>
              </w:rPr>
              <w:t>0.0%</w:t>
            </w:r>
          </w:p>
        </w:tc>
        <w:tc>
          <w:tcPr>
            <w:tcW w:type="dxa" w:w="864"/>
            <w:shd w:fill="F8FAFC"/>
            <w:tcMar>
              <w:top w:w="70" w:type="dxa"/>
              <w:bottom w:w="70" w:type="dxa"/>
              <w:left w:w="50" w:type="dxa"/>
              <w:right w:w="50" w:type="dxa"/>
            </w:tcMar>
          </w:tcPr>
          <w:p>
            <w:pPr>
              <w:spacing w:after="0"/>
            </w:pPr>
            <w:r>
              <w:rPr>
                <w:rFonts w:ascii="Calibri" w:hAnsi="Calibri"/>
                <w:color w:val="334155"/>
                <w:sz w:val="16"/>
              </w:rPr>
              <w:t>18.6%</w:t>
            </w:r>
          </w:p>
        </w:tc>
        <w:tc>
          <w:tcPr>
            <w:tcW w:type="dxa" w:w="1008"/>
            <w:shd w:fill="F8FAFC"/>
            <w:tcMar>
              <w:top w:w="70" w:type="dxa"/>
              <w:bottom w:w="70" w:type="dxa"/>
              <w:left w:w="50" w:type="dxa"/>
              <w:right w:w="50" w:type="dxa"/>
            </w:tcMar>
          </w:tcPr>
          <w:p>
            <w:pPr>
              <w:spacing w:after="0"/>
            </w:pPr>
            <w:r>
              <w:rPr>
                <w:rFonts w:ascii="Calibri" w:hAnsi="Calibri"/>
                <w:color w:val="334155"/>
                <w:sz w:val="16"/>
              </w:rPr>
              <w:t>44.80%</w:t>
            </w:r>
          </w:p>
        </w:tc>
      </w:tr>
      <w:tr>
        <w:tc>
          <w:tcPr>
            <w:tcW w:type="dxa" w:w="2592"/>
            <w:shd w:fill="FFFFFF"/>
            <w:tcMar>
              <w:top w:w="70" w:type="dxa"/>
              <w:bottom w:w="70" w:type="dxa"/>
              <w:left w:w="50" w:type="dxa"/>
              <w:right w:w="50" w:type="dxa"/>
            </w:tcMar>
          </w:tcPr>
          <w:p>
            <w:pPr>
              <w:spacing w:after="0"/>
            </w:pPr>
            <w:r>
              <w:rPr>
                <w:rFonts w:ascii="Calibri" w:hAnsi="Calibri"/>
                <w:color w:val="334155"/>
                <w:sz w:val="16"/>
              </w:rPr>
              <w:t>RAFT Fine-Tuned 3B</w:t>
            </w:r>
          </w:p>
        </w:tc>
        <w:tc>
          <w:tcPr>
            <w:tcW w:type="dxa" w:w="720"/>
            <w:shd w:fill="FFFFFF"/>
            <w:tcMar>
              <w:top w:w="70" w:type="dxa"/>
              <w:bottom w:w="70" w:type="dxa"/>
              <w:left w:w="50" w:type="dxa"/>
              <w:right w:w="50" w:type="dxa"/>
            </w:tcMar>
          </w:tcPr>
          <w:p>
            <w:pPr>
              <w:spacing w:after="0"/>
            </w:pPr>
            <w:r>
              <w:rPr>
                <w:rFonts w:ascii="Calibri" w:hAnsi="Calibri"/>
                <w:color w:val="334155"/>
                <w:sz w:val="16"/>
              </w:rPr>
              <w:t>72.0%</w:t>
            </w:r>
          </w:p>
        </w:tc>
        <w:tc>
          <w:tcPr>
            <w:tcW w:type="dxa" w:w="720"/>
            <w:shd w:fill="FFFFFF"/>
            <w:tcMar>
              <w:top w:w="70" w:type="dxa"/>
              <w:bottom w:w="70" w:type="dxa"/>
              <w:left w:w="50" w:type="dxa"/>
              <w:right w:w="50" w:type="dxa"/>
            </w:tcMar>
          </w:tcPr>
          <w:p>
            <w:pPr>
              <w:spacing w:after="0"/>
            </w:pPr>
            <w:r>
              <w:rPr>
                <w:rFonts w:ascii="Calibri" w:hAnsi="Calibri"/>
                <w:color w:val="334155"/>
                <w:sz w:val="16"/>
              </w:rPr>
              <w:t>68.0%</w:t>
            </w:r>
          </w:p>
        </w:tc>
        <w:tc>
          <w:tcPr>
            <w:tcW w:type="dxa" w:w="720"/>
            <w:shd w:fill="FFFFFF"/>
            <w:tcMar>
              <w:top w:w="70" w:type="dxa"/>
              <w:bottom w:w="70" w:type="dxa"/>
              <w:left w:w="50" w:type="dxa"/>
              <w:right w:w="50" w:type="dxa"/>
            </w:tcMar>
          </w:tcPr>
          <w:p>
            <w:pPr>
              <w:spacing w:after="0"/>
            </w:pPr>
            <w:r>
              <w:rPr>
                <w:rFonts w:ascii="Calibri" w:hAnsi="Calibri"/>
                <w:color w:val="334155"/>
                <w:sz w:val="16"/>
              </w:rPr>
              <w:t>64.0%</w:t>
            </w:r>
          </w:p>
        </w:tc>
        <w:tc>
          <w:tcPr>
            <w:tcW w:type="dxa" w:w="720"/>
            <w:shd w:fill="FFFFFF"/>
            <w:tcMar>
              <w:top w:w="70" w:type="dxa"/>
              <w:bottom w:w="70" w:type="dxa"/>
              <w:left w:w="50" w:type="dxa"/>
              <w:right w:w="50" w:type="dxa"/>
            </w:tcMar>
          </w:tcPr>
          <w:p>
            <w:pPr>
              <w:spacing w:after="0"/>
            </w:pPr>
            <w:r>
              <w:rPr>
                <w:rFonts w:ascii="Calibri" w:hAnsi="Calibri"/>
                <w:color w:val="334155"/>
                <w:sz w:val="16"/>
              </w:rPr>
              <w:t>60.0%</w:t>
            </w:r>
          </w:p>
        </w:tc>
        <w:tc>
          <w:tcPr>
            <w:tcW w:type="dxa" w:w="1152"/>
            <w:shd w:fill="FFFFFF"/>
            <w:tcMar>
              <w:top w:w="70" w:type="dxa"/>
              <w:bottom w:w="70" w:type="dxa"/>
              <w:left w:w="50" w:type="dxa"/>
              <w:right w:w="50" w:type="dxa"/>
            </w:tcMar>
          </w:tcPr>
          <w:p>
            <w:pPr>
              <w:spacing w:after="0"/>
            </w:pPr>
            <w:r>
              <w:rPr>
                <w:rFonts w:ascii="Calibri" w:hAnsi="Calibri"/>
                <w:color w:val="334155"/>
                <w:sz w:val="16"/>
              </w:rPr>
              <w:t>0.0%</w:t>
            </w:r>
          </w:p>
        </w:tc>
        <w:tc>
          <w:tcPr>
            <w:tcW w:type="dxa" w:w="1152"/>
            <w:shd w:fill="FFFFFF"/>
            <w:tcMar>
              <w:top w:w="70" w:type="dxa"/>
              <w:bottom w:w="70" w:type="dxa"/>
              <w:left w:w="50" w:type="dxa"/>
              <w:right w:w="50" w:type="dxa"/>
            </w:tcMar>
          </w:tcPr>
          <w:p>
            <w:pPr>
              <w:spacing w:after="0"/>
            </w:pPr>
            <w:r>
              <w:rPr>
                <w:rFonts w:ascii="Calibri" w:hAnsi="Calibri"/>
                <w:color w:val="334155"/>
                <w:sz w:val="16"/>
              </w:rPr>
              <w:t>0.0%</w:t>
            </w:r>
          </w:p>
        </w:tc>
        <w:tc>
          <w:tcPr>
            <w:tcW w:type="dxa" w:w="864"/>
            <w:shd w:fill="FFFFFF"/>
            <w:tcMar>
              <w:top w:w="70" w:type="dxa"/>
              <w:bottom w:w="70" w:type="dxa"/>
              <w:left w:w="50" w:type="dxa"/>
              <w:right w:w="50" w:type="dxa"/>
            </w:tcMar>
          </w:tcPr>
          <w:p>
            <w:pPr>
              <w:spacing w:after="0"/>
            </w:pPr>
            <w:r>
              <w:rPr>
                <w:rFonts w:ascii="Calibri" w:hAnsi="Calibri"/>
                <w:color w:val="334155"/>
                <w:sz w:val="16"/>
              </w:rPr>
              <w:t>78.0%</w:t>
            </w:r>
          </w:p>
        </w:tc>
        <w:tc>
          <w:tcPr>
            <w:tcW w:type="dxa" w:w="1008"/>
            <w:shd w:fill="FFFFFF"/>
            <w:tcMar>
              <w:top w:w="70" w:type="dxa"/>
              <w:bottom w:w="70" w:type="dxa"/>
              <w:left w:w="50" w:type="dxa"/>
              <w:right w:w="50" w:type="dxa"/>
            </w:tcMar>
          </w:tcPr>
          <w:p>
            <w:pPr>
              <w:spacing w:after="0"/>
            </w:pPr>
            <w:r>
              <w:rPr>
                <w:rFonts w:ascii="Calibri" w:hAnsi="Calibri"/>
                <w:color w:val="334155"/>
                <w:sz w:val="16"/>
              </w:rPr>
              <w:t>18.80%*</w:t>
            </w:r>
          </w:p>
        </w:tc>
      </w:tr>
      <w:tr>
        <w:tc>
          <w:tcPr>
            <w:tcW w:type="dxa" w:w="2592"/>
            <w:shd w:fill="F8FAFC"/>
            <w:tcMar>
              <w:top w:w="70" w:type="dxa"/>
              <w:bottom w:w="70" w:type="dxa"/>
              <w:left w:w="50" w:type="dxa"/>
              <w:right w:w="50" w:type="dxa"/>
            </w:tcMar>
          </w:tcPr>
          <w:p>
            <w:pPr>
              <w:spacing w:after="0"/>
            </w:pPr>
            <w:r>
              <w:rPr>
                <w:rFonts w:ascii="Calibri" w:hAnsi="Calibri"/>
                <w:color w:val="334155"/>
                <w:sz w:val="16"/>
              </w:rPr>
              <w:t>Stage 1 SFT 7B (DeepSeek-R1)</w:t>
            </w:r>
          </w:p>
        </w:tc>
        <w:tc>
          <w:tcPr>
            <w:tcW w:type="dxa" w:w="720"/>
            <w:shd w:fill="F8FAFC"/>
            <w:tcMar>
              <w:top w:w="70" w:type="dxa"/>
              <w:bottom w:w="70" w:type="dxa"/>
              <w:left w:w="50" w:type="dxa"/>
              <w:right w:w="50" w:type="dxa"/>
            </w:tcMar>
          </w:tcPr>
          <w:p>
            <w:pPr>
              <w:spacing w:after="0"/>
            </w:pPr>
            <w:r>
              <w:rPr>
                <w:rFonts w:ascii="Calibri" w:hAnsi="Calibri"/>
                <w:color w:val="334155"/>
                <w:sz w:val="16"/>
              </w:rPr>
              <w:t>90.0%</w:t>
            </w:r>
          </w:p>
        </w:tc>
        <w:tc>
          <w:tcPr>
            <w:tcW w:type="dxa" w:w="720"/>
            <w:shd w:fill="F8FAFC"/>
            <w:tcMar>
              <w:top w:w="70" w:type="dxa"/>
              <w:bottom w:w="70" w:type="dxa"/>
              <w:left w:w="50" w:type="dxa"/>
              <w:right w:w="50" w:type="dxa"/>
            </w:tcMar>
          </w:tcPr>
          <w:p>
            <w:pPr>
              <w:spacing w:after="0"/>
            </w:pPr>
            <w:r>
              <w:rPr>
                <w:rFonts w:ascii="Calibri" w:hAnsi="Calibri"/>
                <w:color w:val="334155"/>
                <w:sz w:val="16"/>
              </w:rPr>
              <w:t>92.0%</w:t>
            </w:r>
          </w:p>
        </w:tc>
        <w:tc>
          <w:tcPr>
            <w:tcW w:type="dxa" w:w="720"/>
            <w:shd w:fill="F8FAFC"/>
            <w:tcMar>
              <w:top w:w="70" w:type="dxa"/>
              <w:bottom w:w="70" w:type="dxa"/>
              <w:left w:w="50" w:type="dxa"/>
              <w:right w:w="50" w:type="dxa"/>
            </w:tcMar>
          </w:tcPr>
          <w:p>
            <w:pPr>
              <w:spacing w:after="0"/>
            </w:pPr>
            <w:r>
              <w:rPr>
                <w:rFonts w:ascii="Calibri" w:hAnsi="Calibri"/>
                <w:color w:val="334155"/>
                <w:sz w:val="16"/>
              </w:rPr>
              <w:t>89.5%</w:t>
            </w:r>
          </w:p>
        </w:tc>
        <w:tc>
          <w:tcPr>
            <w:tcW w:type="dxa" w:w="720"/>
            <w:shd w:fill="F8FAFC"/>
            <w:tcMar>
              <w:top w:w="70" w:type="dxa"/>
              <w:bottom w:w="70" w:type="dxa"/>
              <w:left w:w="50" w:type="dxa"/>
              <w:right w:w="50" w:type="dxa"/>
            </w:tcMar>
          </w:tcPr>
          <w:p>
            <w:pPr>
              <w:spacing w:after="0"/>
            </w:pPr>
            <w:r>
              <w:rPr>
                <w:rFonts w:ascii="Calibri" w:hAnsi="Calibri"/>
                <w:color w:val="334155"/>
                <w:sz w:val="16"/>
              </w:rPr>
              <w:t>91.0%</w:t>
            </w:r>
          </w:p>
        </w:tc>
        <w:tc>
          <w:tcPr>
            <w:tcW w:type="dxa" w:w="1152"/>
            <w:shd w:fill="F8FAFC"/>
            <w:tcMar>
              <w:top w:w="70" w:type="dxa"/>
              <w:bottom w:w="70" w:type="dxa"/>
              <w:left w:w="50" w:type="dxa"/>
              <w:right w:w="50" w:type="dxa"/>
            </w:tcMar>
          </w:tcPr>
          <w:p>
            <w:pPr>
              <w:spacing w:after="0"/>
            </w:pPr>
            <w:r>
              <w:rPr>
                <w:rFonts w:ascii="Calibri" w:hAnsi="Calibri"/>
                <w:color w:val="334155"/>
                <w:sz w:val="16"/>
              </w:rPr>
              <w:t>0.0%</w:t>
            </w:r>
          </w:p>
        </w:tc>
        <w:tc>
          <w:tcPr>
            <w:tcW w:type="dxa" w:w="1152"/>
            <w:shd w:fill="F8FAFC"/>
            <w:tcMar>
              <w:top w:w="70" w:type="dxa"/>
              <w:bottom w:w="70" w:type="dxa"/>
              <w:left w:w="50" w:type="dxa"/>
              <w:right w:w="50" w:type="dxa"/>
            </w:tcMar>
          </w:tcPr>
          <w:p>
            <w:pPr>
              <w:spacing w:after="0"/>
            </w:pPr>
            <w:r>
              <w:rPr>
                <w:rFonts w:ascii="Calibri" w:hAnsi="Calibri"/>
                <w:color w:val="334155"/>
                <w:sz w:val="16"/>
              </w:rPr>
              <w:t>0.0%</w:t>
            </w:r>
          </w:p>
        </w:tc>
        <w:tc>
          <w:tcPr>
            <w:tcW w:type="dxa" w:w="864"/>
            <w:shd w:fill="F8FAFC"/>
            <w:tcMar>
              <w:top w:w="70" w:type="dxa"/>
              <w:bottom w:w="70" w:type="dxa"/>
              <w:left w:w="50" w:type="dxa"/>
              <w:right w:w="50" w:type="dxa"/>
            </w:tcMar>
          </w:tcPr>
          <w:p>
            <w:pPr>
              <w:spacing w:after="0"/>
            </w:pPr>
            <w:r>
              <w:rPr>
                <w:rFonts w:ascii="Calibri" w:hAnsi="Calibri"/>
                <w:color w:val="334155"/>
                <w:sz w:val="16"/>
              </w:rPr>
              <w:t>88.4%</w:t>
            </w:r>
          </w:p>
        </w:tc>
        <w:tc>
          <w:tcPr>
            <w:tcW w:type="dxa" w:w="1008"/>
            <w:shd w:fill="F8FAFC"/>
            <w:tcMar>
              <w:top w:w="70" w:type="dxa"/>
              <w:bottom w:w="70" w:type="dxa"/>
              <w:left w:w="50" w:type="dxa"/>
              <w:right w:w="50" w:type="dxa"/>
            </w:tcMar>
          </w:tcPr>
          <w:p>
            <w:pPr>
              <w:spacing w:after="0"/>
            </w:pPr>
            <w:r>
              <w:rPr>
                <w:rFonts w:ascii="Calibri" w:hAnsi="Calibri"/>
                <w:color w:val="334155"/>
                <w:sz w:val="16"/>
              </w:rPr>
              <w:t>68.17%</w:t>
            </w:r>
          </w:p>
        </w:tc>
      </w:tr>
      <w:tr>
        <w:tc>
          <w:tcPr>
            <w:tcW w:type="dxa" w:w="2592"/>
            <w:shd w:fill="EFF6FF"/>
            <w:tcMar>
              <w:top w:w="70" w:type="dxa"/>
              <w:bottom w:w="70" w:type="dxa"/>
              <w:left w:w="50" w:type="dxa"/>
              <w:right w:w="50" w:type="dxa"/>
            </w:tcMar>
          </w:tcPr>
          <w:p>
            <w:pPr>
              <w:spacing w:after="0"/>
            </w:pPr>
            <w:r>
              <w:rPr>
                <w:rFonts w:ascii="Calibri" w:hAnsi="Calibri"/>
                <w:b/>
                <w:color w:val="1E3A8A"/>
                <w:sz w:val="16"/>
              </w:rPr>
              <w:t>Stage 2 DPO 7B (Our Final Model)</w:t>
            </w:r>
          </w:p>
        </w:tc>
        <w:tc>
          <w:tcPr>
            <w:tcW w:type="dxa" w:w="720"/>
            <w:shd w:fill="EFF6FF"/>
            <w:tcMar>
              <w:top w:w="70" w:type="dxa"/>
              <w:bottom w:w="70" w:type="dxa"/>
              <w:left w:w="50" w:type="dxa"/>
              <w:right w:w="50" w:type="dxa"/>
            </w:tcMar>
          </w:tcPr>
          <w:p>
            <w:pPr>
              <w:spacing w:after="0"/>
            </w:pPr>
            <w:r>
              <w:rPr>
                <w:rFonts w:ascii="Calibri" w:hAnsi="Calibri"/>
                <w:b/>
                <w:color w:val="047857"/>
                <w:sz w:val="16"/>
              </w:rPr>
              <w:t>92.2%</w:t>
            </w:r>
          </w:p>
        </w:tc>
        <w:tc>
          <w:tcPr>
            <w:tcW w:type="dxa" w:w="720"/>
            <w:shd w:fill="EFF6FF"/>
            <w:tcMar>
              <w:top w:w="70" w:type="dxa"/>
              <w:bottom w:w="70" w:type="dxa"/>
              <w:left w:w="50" w:type="dxa"/>
              <w:right w:w="50" w:type="dxa"/>
            </w:tcMar>
          </w:tcPr>
          <w:p>
            <w:pPr>
              <w:spacing w:after="0"/>
            </w:pPr>
            <w:r>
              <w:rPr>
                <w:rFonts w:ascii="Calibri" w:hAnsi="Calibri"/>
                <w:b/>
                <w:color w:val="047857"/>
                <w:sz w:val="16"/>
              </w:rPr>
              <w:t>94.4%</w:t>
            </w:r>
          </w:p>
        </w:tc>
        <w:tc>
          <w:tcPr>
            <w:tcW w:type="dxa" w:w="720"/>
            <w:shd w:fill="EFF6FF"/>
            <w:tcMar>
              <w:top w:w="70" w:type="dxa"/>
              <w:bottom w:w="70" w:type="dxa"/>
              <w:left w:w="50" w:type="dxa"/>
              <w:right w:w="50" w:type="dxa"/>
            </w:tcMar>
          </w:tcPr>
          <w:p>
            <w:pPr>
              <w:spacing w:after="0"/>
            </w:pPr>
            <w:r>
              <w:rPr>
                <w:rFonts w:ascii="Calibri" w:hAnsi="Calibri"/>
                <w:b/>
                <w:color w:val="047857"/>
                <w:sz w:val="16"/>
              </w:rPr>
              <w:t>96.7%</w:t>
            </w:r>
          </w:p>
        </w:tc>
        <w:tc>
          <w:tcPr>
            <w:tcW w:type="dxa" w:w="720"/>
            <w:shd w:fill="EFF6FF"/>
            <w:tcMar>
              <w:top w:w="70" w:type="dxa"/>
              <w:bottom w:w="70" w:type="dxa"/>
              <w:left w:w="50" w:type="dxa"/>
              <w:right w:w="50" w:type="dxa"/>
            </w:tcMar>
          </w:tcPr>
          <w:p>
            <w:pPr>
              <w:spacing w:after="0"/>
            </w:pPr>
            <w:r>
              <w:rPr>
                <w:rFonts w:ascii="Calibri" w:hAnsi="Calibri"/>
                <w:b/>
                <w:color w:val="047857"/>
                <w:sz w:val="16"/>
              </w:rPr>
              <w:t>93.8%*</w:t>
            </w:r>
          </w:p>
        </w:tc>
        <w:tc>
          <w:tcPr>
            <w:tcW w:type="dxa" w:w="1152"/>
            <w:shd w:fill="EFF6FF"/>
            <w:tcMar>
              <w:top w:w="70" w:type="dxa"/>
              <w:bottom w:w="70" w:type="dxa"/>
              <w:left w:w="50" w:type="dxa"/>
              <w:right w:w="50" w:type="dxa"/>
            </w:tcMar>
          </w:tcPr>
          <w:p>
            <w:pPr>
              <w:spacing w:after="0"/>
            </w:pPr>
            <w:r>
              <w:rPr>
                <w:rFonts w:ascii="Calibri" w:hAnsi="Calibri"/>
                <w:b/>
                <w:color w:val="047857"/>
                <w:sz w:val="16"/>
              </w:rPr>
              <w:t>82.5%</w:t>
            </w:r>
          </w:p>
        </w:tc>
        <w:tc>
          <w:tcPr>
            <w:tcW w:type="dxa" w:w="1152"/>
            <w:shd w:fill="EFF6FF"/>
            <w:tcMar>
              <w:top w:w="70" w:type="dxa"/>
              <w:bottom w:w="70" w:type="dxa"/>
              <w:left w:w="50" w:type="dxa"/>
              <w:right w:w="50" w:type="dxa"/>
            </w:tcMar>
          </w:tcPr>
          <w:p>
            <w:pPr>
              <w:spacing w:after="0"/>
            </w:pPr>
            <w:r>
              <w:rPr>
                <w:rFonts w:ascii="Calibri" w:hAnsi="Calibri"/>
                <w:b/>
                <w:color w:val="047857"/>
                <w:sz w:val="16"/>
              </w:rPr>
              <w:t>58.0%</w:t>
            </w:r>
          </w:p>
        </w:tc>
        <w:tc>
          <w:tcPr>
            <w:tcW w:type="dxa" w:w="864"/>
            <w:shd w:fill="EFF6FF"/>
            <w:tcMar>
              <w:top w:w="70" w:type="dxa"/>
              <w:bottom w:w="70" w:type="dxa"/>
              <w:left w:w="50" w:type="dxa"/>
              <w:right w:w="50" w:type="dxa"/>
            </w:tcMar>
          </w:tcPr>
          <w:p>
            <w:pPr>
              <w:spacing w:after="0"/>
            </w:pPr>
            <w:r>
              <w:rPr>
                <w:rFonts w:ascii="Calibri" w:hAnsi="Calibri"/>
                <w:b/>
                <w:color w:val="047857"/>
                <w:sz w:val="16"/>
              </w:rPr>
              <w:t>99.2%</w:t>
            </w:r>
          </w:p>
        </w:tc>
        <w:tc>
          <w:tcPr>
            <w:tcW w:type="dxa" w:w="1008"/>
            <w:shd w:fill="EFF6FF"/>
            <w:tcMar>
              <w:top w:w="70" w:type="dxa"/>
              <w:bottom w:w="70" w:type="dxa"/>
              <w:left w:w="50" w:type="dxa"/>
              <w:right w:w="50" w:type="dxa"/>
            </w:tcMar>
          </w:tcPr>
          <w:p>
            <w:pPr>
              <w:spacing w:after="0"/>
            </w:pPr>
            <w:r>
              <w:rPr>
                <w:rFonts w:ascii="Calibri" w:hAnsi="Calibri"/>
                <w:b/>
                <w:color w:val="1E3A8A"/>
                <w:sz w:val="16"/>
              </w:rPr>
              <w:t>70.71%</w:t>
            </w:r>
          </w:p>
        </w:tc>
      </w:tr>
    </w:tbl>
    <w:p>
      <w:pPr>
        <w:spacing w:after="120"/>
      </w:pPr>
    </w:p>
    <w:p>
      <w:pPr>
        <w:keepNext/>
        <w:spacing w:before="280" w:after="120"/>
      </w:pPr>
      <w:r>
        <w:rPr>
          <w:rFonts w:ascii="Calibri" w:hAnsi="Calibri"/>
          <w:b/>
          <w:color w:val="0F172A"/>
          <w:sz w:val="22"/>
        </w:rPr>
        <w:t>Table B: Complete IndiaFinBench Test Split Leaderboard (arXiv:2604.19298 — 324 Questions)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206"/>
        <w:gridCol w:w="1206"/>
        <w:gridCol w:w="1206"/>
        <w:gridCol w:w="1206"/>
        <w:gridCol w:w="1206"/>
        <w:gridCol w:w="1206"/>
        <w:gridCol w:w="1206"/>
        <w:gridCol w:w="1206"/>
      </w:tblGrid>
      <w:tr>
        <w:tc>
          <w:tcPr>
            <w:tcW w:type="dxa" w:w="2304"/>
            <w:shd w:fill="1E3A8A"/>
            <w:tcMar>
              <w:top w:w="80" w:type="dxa"/>
              <w:bottom w:w="80" w:type="dxa"/>
              <w:left w:w="50" w:type="dxa"/>
              <w:right w:w="50" w:type="dxa"/>
            </w:tcMar>
          </w:tcPr>
          <w:p>
            <w:pPr>
              <w:spacing w:after="0"/>
            </w:pPr>
            <w:r>
              <w:rPr>
                <w:rFonts w:ascii="Calibri" w:hAnsi="Calibri"/>
                <w:b/>
                <w:color w:val="FFFFFF"/>
                <w:sz w:val="16"/>
              </w:rPr>
              <w:t>Model Name</w:t>
            </w:r>
          </w:p>
        </w:tc>
        <w:tc>
          <w:tcPr>
            <w:tcW w:type="dxa" w:w="1728"/>
            <w:shd w:fill="1E3A8A"/>
            <w:tcMar>
              <w:top w:w="80" w:type="dxa"/>
              <w:bottom w:w="80" w:type="dxa"/>
              <w:left w:w="50" w:type="dxa"/>
              <w:right w:w="50" w:type="dxa"/>
            </w:tcMar>
          </w:tcPr>
          <w:p>
            <w:pPr>
              <w:spacing w:after="0"/>
            </w:pPr>
            <w:r>
              <w:rPr>
                <w:rFonts w:ascii="Calibri" w:hAnsi="Calibri"/>
                <w:b/>
                <w:color w:val="FFFFFF"/>
                <w:sz w:val="16"/>
              </w:rPr>
              <w:t>Hosting / Size</w:t>
            </w:r>
          </w:p>
        </w:tc>
        <w:tc>
          <w:tcPr>
            <w:tcW w:type="dxa" w:w="864"/>
            <w:shd w:fill="1E3A8A"/>
            <w:tcMar>
              <w:top w:w="80" w:type="dxa"/>
              <w:bottom w:w="80" w:type="dxa"/>
              <w:left w:w="50" w:type="dxa"/>
              <w:right w:w="50" w:type="dxa"/>
            </w:tcMar>
          </w:tcPr>
          <w:p>
            <w:pPr>
              <w:spacing w:after="0"/>
            </w:pPr>
            <w:r>
              <w:rPr>
                <w:rFonts w:ascii="Calibri" w:hAnsi="Calibri"/>
                <w:b/>
                <w:color w:val="FFFFFF"/>
                <w:sz w:val="16"/>
              </w:rPr>
              <w:t>Regulatory</w:t>
            </w:r>
          </w:p>
        </w:tc>
        <w:tc>
          <w:tcPr>
            <w:tcW w:type="dxa" w:w="864"/>
            <w:shd w:fill="1E3A8A"/>
            <w:tcMar>
              <w:top w:w="80" w:type="dxa"/>
              <w:bottom w:w="80" w:type="dxa"/>
              <w:left w:w="50" w:type="dxa"/>
              <w:right w:w="50" w:type="dxa"/>
            </w:tcMar>
          </w:tcPr>
          <w:p>
            <w:pPr>
              <w:spacing w:after="0"/>
            </w:pPr>
            <w:r>
              <w:rPr>
                <w:rFonts w:ascii="Calibri" w:hAnsi="Calibri"/>
                <w:b/>
                <w:color w:val="FFFFFF"/>
                <w:sz w:val="16"/>
              </w:rPr>
              <w:t>Contradiction</w:t>
            </w:r>
          </w:p>
        </w:tc>
        <w:tc>
          <w:tcPr>
            <w:tcW w:type="dxa" w:w="864"/>
            <w:shd w:fill="1E3A8A"/>
            <w:tcMar>
              <w:top w:w="80" w:type="dxa"/>
              <w:bottom w:w="80" w:type="dxa"/>
              <w:left w:w="50" w:type="dxa"/>
              <w:right w:w="50" w:type="dxa"/>
            </w:tcMar>
          </w:tcPr>
          <w:p>
            <w:pPr>
              <w:spacing w:after="0"/>
            </w:pPr>
            <w:r>
              <w:rPr>
                <w:rFonts w:ascii="Calibri" w:hAnsi="Calibri"/>
                <w:b/>
                <w:color w:val="FFFFFF"/>
                <w:sz w:val="16"/>
              </w:rPr>
              <w:t>Temporal</w:t>
            </w:r>
          </w:p>
        </w:tc>
        <w:tc>
          <w:tcPr>
            <w:tcW w:type="dxa" w:w="864"/>
            <w:shd w:fill="1E3A8A"/>
            <w:tcMar>
              <w:top w:w="80" w:type="dxa"/>
              <w:bottom w:w="80" w:type="dxa"/>
              <w:left w:w="50" w:type="dxa"/>
              <w:right w:w="50" w:type="dxa"/>
            </w:tcMar>
          </w:tcPr>
          <w:p>
            <w:pPr>
              <w:spacing w:after="0"/>
            </w:pPr>
            <w:r>
              <w:rPr>
                <w:rFonts w:ascii="Calibri" w:hAnsi="Calibri"/>
                <w:b/>
                <w:color w:val="FFFFFF"/>
                <w:sz w:val="16"/>
              </w:rPr>
              <w:t>Numerical</w:t>
            </w:r>
          </w:p>
        </w:tc>
        <w:tc>
          <w:tcPr>
            <w:tcW w:type="dxa" w:w="864"/>
            <w:shd w:fill="1E3A8A"/>
            <w:tcMar>
              <w:top w:w="80" w:type="dxa"/>
              <w:bottom w:w="80" w:type="dxa"/>
              <w:left w:w="50" w:type="dxa"/>
              <w:right w:w="50" w:type="dxa"/>
            </w:tcMar>
          </w:tcPr>
          <w:p>
            <w:pPr>
              <w:spacing w:after="0"/>
            </w:pPr>
            <w:r>
              <w:rPr>
                <w:rFonts w:ascii="Calibri" w:hAnsi="Calibri"/>
                <w:b/>
                <w:color w:val="FFFFFF"/>
                <w:sz w:val="16"/>
              </w:rPr>
              <w:t>Overall</w:t>
            </w:r>
          </w:p>
        </w:tc>
        <w:tc>
          <w:tcPr>
            <w:tcW w:type="dxa" w:w="1296"/>
            <w:shd w:fill="1E3A8A"/>
            <w:tcMar>
              <w:top w:w="80" w:type="dxa"/>
              <w:bottom w:w="80" w:type="dxa"/>
              <w:left w:w="50" w:type="dxa"/>
              <w:right w:w="50" w:type="dxa"/>
            </w:tcMar>
          </w:tcPr>
          <w:p>
            <w:pPr>
              <w:spacing w:after="0"/>
            </w:pPr>
            <w:r>
              <w:rPr>
                <w:rFonts w:ascii="Calibri" w:hAnsi="Calibri"/>
                <w:b/>
                <w:color w:val="FFFFFF"/>
                <w:sz w:val="16"/>
              </w:rPr>
              <w:t>Standing Tier</w:t>
            </w:r>
          </w:p>
        </w:tc>
      </w:tr>
      <w:tr>
        <w:tc>
          <w:tcPr>
            <w:tcW w:type="dxa" w:w="2304"/>
            <w:shd w:fill="F8FAFC"/>
            <w:tcMar>
              <w:top w:w="70" w:type="dxa"/>
              <w:bottom w:w="70" w:type="dxa"/>
              <w:left w:w="50" w:type="dxa"/>
              <w:right w:w="50" w:type="dxa"/>
            </w:tcMar>
          </w:tcPr>
          <w:p>
            <w:pPr>
              <w:spacing w:after="0"/>
            </w:pPr>
            <w:r>
              <w:rPr>
                <w:rFonts w:ascii="Calibri" w:hAnsi="Calibri"/>
                <w:color w:val="334155"/>
                <w:sz w:val="16"/>
              </w:rPr>
              <w:t>Gemini 2.5 Flash</w:t>
            </w:r>
          </w:p>
        </w:tc>
        <w:tc>
          <w:tcPr>
            <w:tcW w:type="dxa" w:w="1728"/>
            <w:shd w:fill="F8FAFC"/>
            <w:tcMar>
              <w:top w:w="70" w:type="dxa"/>
              <w:bottom w:w="70" w:type="dxa"/>
              <w:left w:w="50" w:type="dxa"/>
              <w:right w:w="50" w:type="dxa"/>
            </w:tcMar>
          </w:tcPr>
          <w:p>
            <w:pPr>
              <w:spacing w:after="0"/>
            </w:pPr>
            <w:r>
              <w:rPr>
                <w:rFonts w:ascii="Calibri" w:hAnsi="Calibri"/>
                <w:color w:val="334155"/>
                <w:sz w:val="16"/>
              </w:rPr>
              <w:t>Cloud MoE (Proprietary)</w:t>
            </w:r>
          </w:p>
        </w:tc>
        <w:tc>
          <w:tcPr>
            <w:tcW w:type="dxa" w:w="864"/>
            <w:shd w:fill="F8FAFC"/>
            <w:tcMar>
              <w:top w:w="70" w:type="dxa"/>
              <w:bottom w:w="70" w:type="dxa"/>
              <w:left w:w="50" w:type="dxa"/>
              <w:right w:w="50" w:type="dxa"/>
            </w:tcMar>
          </w:tcPr>
          <w:p>
            <w:pPr>
              <w:spacing w:after="0"/>
            </w:pPr>
            <w:r>
              <w:rPr>
                <w:rFonts w:ascii="Calibri" w:hAnsi="Calibri"/>
                <w:color w:val="334155"/>
                <w:sz w:val="16"/>
              </w:rPr>
              <w:t>93.40%</w:t>
            </w:r>
          </w:p>
        </w:tc>
        <w:tc>
          <w:tcPr>
            <w:tcW w:type="dxa" w:w="864"/>
            <w:shd w:fill="F8FAFC"/>
            <w:tcMar>
              <w:top w:w="70" w:type="dxa"/>
              <w:bottom w:w="70" w:type="dxa"/>
              <w:left w:w="50" w:type="dxa"/>
              <w:right w:w="50" w:type="dxa"/>
            </w:tcMar>
          </w:tcPr>
          <w:p>
            <w:pPr>
              <w:spacing w:after="0"/>
            </w:pPr>
            <w:r>
              <w:rPr>
                <w:rFonts w:ascii="Calibri" w:hAnsi="Calibri"/>
                <w:color w:val="334155"/>
                <w:sz w:val="16"/>
              </w:rPr>
              <w:t>88.00%</w:t>
            </w:r>
          </w:p>
        </w:tc>
        <w:tc>
          <w:tcPr>
            <w:tcW w:type="dxa" w:w="864"/>
            <w:shd w:fill="F8FAFC"/>
            <w:tcMar>
              <w:top w:w="70" w:type="dxa"/>
              <w:bottom w:w="70" w:type="dxa"/>
              <w:left w:w="50" w:type="dxa"/>
              <w:right w:w="50" w:type="dxa"/>
            </w:tcMar>
          </w:tcPr>
          <w:p>
            <w:pPr>
              <w:spacing w:after="0"/>
            </w:pPr>
            <w:r>
              <w:rPr>
                <w:rFonts w:ascii="Calibri" w:hAnsi="Calibri"/>
                <w:color w:val="334155"/>
                <w:sz w:val="16"/>
              </w:rPr>
              <w:t>86.50%</w:t>
            </w:r>
          </w:p>
        </w:tc>
        <w:tc>
          <w:tcPr>
            <w:tcW w:type="dxa" w:w="864"/>
            <w:shd w:fill="F8FAFC"/>
            <w:tcMar>
              <w:top w:w="70" w:type="dxa"/>
              <w:bottom w:w="70" w:type="dxa"/>
              <w:left w:w="50" w:type="dxa"/>
              <w:right w:w="50" w:type="dxa"/>
            </w:tcMar>
          </w:tcPr>
          <w:p>
            <w:pPr>
              <w:spacing w:after="0"/>
            </w:pPr>
            <w:r>
              <w:rPr>
                <w:rFonts w:ascii="Calibri" w:hAnsi="Calibri"/>
                <w:color w:val="334155"/>
                <w:sz w:val="16"/>
              </w:rPr>
              <w:t>87.20%</w:t>
            </w:r>
          </w:p>
        </w:tc>
        <w:tc>
          <w:tcPr>
            <w:tcW w:type="dxa" w:w="864"/>
            <w:shd w:fill="F8FAFC"/>
            <w:tcMar>
              <w:top w:w="70" w:type="dxa"/>
              <w:bottom w:w="70" w:type="dxa"/>
              <w:left w:w="50" w:type="dxa"/>
              <w:right w:w="50" w:type="dxa"/>
            </w:tcMar>
          </w:tcPr>
          <w:p>
            <w:pPr>
              <w:spacing w:after="0"/>
            </w:pPr>
            <w:r>
              <w:rPr>
                <w:rFonts w:ascii="Calibri" w:hAnsi="Calibri"/>
                <w:color w:val="334155"/>
                <w:sz w:val="16"/>
              </w:rPr>
              <w:t>89.70%</w:t>
            </w:r>
          </w:p>
        </w:tc>
        <w:tc>
          <w:tcPr>
            <w:tcW w:type="dxa" w:w="1296"/>
            <w:shd w:fill="F8FAFC"/>
            <w:tcMar>
              <w:top w:w="70" w:type="dxa"/>
              <w:bottom w:w="70" w:type="dxa"/>
              <w:left w:w="50" w:type="dxa"/>
              <w:right w:w="50" w:type="dxa"/>
            </w:tcMar>
          </w:tcPr>
          <w:p>
            <w:pPr>
              <w:spacing w:after="0"/>
            </w:pPr>
            <w:r>
              <w:rPr>
                <w:rFonts w:ascii="Calibri" w:hAnsi="Calibri"/>
                <w:color w:val="334155"/>
                <w:sz w:val="16"/>
              </w:rPr>
              <w:t>Tier 1 (Cloud API)</w:t>
            </w:r>
          </w:p>
        </w:tc>
      </w:tr>
      <w:tr>
        <w:tc>
          <w:tcPr>
            <w:tcW w:type="dxa" w:w="2304"/>
            <w:shd w:fill="FFFFFF"/>
            <w:tcMar>
              <w:top w:w="70" w:type="dxa"/>
              <w:bottom w:w="70" w:type="dxa"/>
              <w:left w:w="50" w:type="dxa"/>
              <w:right w:w="50" w:type="dxa"/>
            </w:tcMar>
          </w:tcPr>
          <w:p>
            <w:pPr>
              <w:spacing w:after="0"/>
            </w:pPr>
            <w:r>
              <w:rPr>
                <w:rFonts w:ascii="Calibri" w:hAnsi="Calibri"/>
                <w:color w:val="334155"/>
                <w:sz w:val="16"/>
              </w:rPr>
              <w:t>GPT-4o</w:t>
            </w:r>
          </w:p>
        </w:tc>
        <w:tc>
          <w:tcPr>
            <w:tcW w:type="dxa" w:w="1728"/>
            <w:shd w:fill="FFFFFF"/>
            <w:tcMar>
              <w:top w:w="70" w:type="dxa"/>
              <w:bottom w:w="70" w:type="dxa"/>
              <w:left w:w="50" w:type="dxa"/>
              <w:right w:w="50" w:type="dxa"/>
            </w:tcMar>
          </w:tcPr>
          <w:p>
            <w:pPr>
              <w:spacing w:after="0"/>
            </w:pPr>
            <w:r>
              <w:rPr>
                <w:rFonts w:ascii="Calibri" w:hAnsi="Calibri"/>
                <w:color w:val="334155"/>
                <w:sz w:val="16"/>
              </w:rPr>
              <w:t>Cloud MoE (Proprietary)</w:t>
            </w:r>
          </w:p>
        </w:tc>
        <w:tc>
          <w:tcPr>
            <w:tcW w:type="dxa" w:w="864"/>
            <w:shd w:fill="FFFFFF"/>
            <w:tcMar>
              <w:top w:w="70" w:type="dxa"/>
              <w:bottom w:w="70" w:type="dxa"/>
              <w:left w:w="50" w:type="dxa"/>
              <w:right w:w="50" w:type="dxa"/>
            </w:tcMar>
          </w:tcPr>
          <w:p>
            <w:pPr>
              <w:spacing w:after="0"/>
            </w:pPr>
            <w:r>
              <w:rPr>
                <w:rFonts w:ascii="Calibri" w:hAnsi="Calibri"/>
                <w:color w:val="334155"/>
                <w:sz w:val="16"/>
              </w:rPr>
              <w:t>92.10%</w:t>
            </w:r>
          </w:p>
        </w:tc>
        <w:tc>
          <w:tcPr>
            <w:tcW w:type="dxa" w:w="864"/>
            <w:shd w:fill="FFFFFF"/>
            <w:tcMar>
              <w:top w:w="70" w:type="dxa"/>
              <w:bottom w:w="70" w:type="dxa"/>
              <w:left w:w="50" w:type="dxa"/>
              <w:right w:w="50" w:type="dxa"/>
            </w:tcMar>
          </w:tcPr>
          <w:p>
            <w:pPr>
              <w:spacing w:after="0"/>
            </w:pPr>
            <w:r>
              <w:rPr>
                <w:rFonts w:ascii="Calibri" w:hAnsi="Calibri"/>
                <w:color w:val="334155"/>
                <w:sz w:val="16"/>
              </w:rPr>
              <w:t>86.00%</w:t>
            </w:r>
          </w:p>
        </w:tc>
        <w:tc>
          <w:tcPr>
            <w:tcW w:type="dxa" w:w="864"/>
            <w:shd w:fill="FFFFFF"/>
            <w:tcMar>
              <w:top w:w="70" w:type="dxa"/>
              <w:bottom w:w="70" w:type="dxa"/>
              <w:left w:w="50" w:type="dxa"/>
              <w:right w:w="50" w:type="dxa"/>
            </w:tcMar>
          </w:tcPr>
          <w:p>
            <w:pPr>
              <w:spacing w:after="0"/>
            </w:pPr>
            <w:r>
              <w:rPr>
                <w:rFonts w:ascii="Calibri" w:hAnsi="Calibri"/>
                <w:color w:val="334155"/>
                <w:sz w:val="16"/>
              </w:rPr>
              <w:t>84.40%</w:t>
            </w:r>
          </w:p>
        </w:tc>
        <w:tc>
          <w:tcPr>
            <w:tcW w:type="dxa" w:w="864"/>
            <w:shd w:fill="FFFFFF"/>
            <w:tcMar>
              <w:top w:w="70" w:type="dxa"/>
              <w:bottom w:w="70" w:type="dxa"/>
              <w:left w:w="50" w:type="dxa"/>
              <w:right w:w="50" w:type="dxa"/>
            </w:tcMar>
          </w:tcPr>
          <w:p>
            <w:pPr>
              <w:spacing w:after="0"/>
            </w:pPr>
            <w:r>
              <w:rPr>
                <w:rFonts w:ascii="Calibri" w:hAnsi="Calibri"/>
                <w:color w:val="334155"/>
                <w:sz w:val="16"/>
              </w:rPr>
              <w:t>85.10%</w:t>
            </w:r>
          </w:p>
        </w:tc>
        <w:tc>
          <w:tcPr>
            <w:tcW w:type="dxa" w:w="864"/>
            <w:shd w:fill="FFFFFF"/>
            <w:tcMar>
              <w:top w:w="70" w:type="dxa"/>
              <w:bottom w:w="70" w:type="dxa"/>
              <w:left w:w="50" w:type="dxa"/>
              <w:right w:w="50" w:type="dxa"/>
            </w:tcMar>
          </w:tcPr>
          <w:p>
            <w:pPr>
              <w:spacing w:after="0"/>
            </w:pPr>
            <w:r>
              <w:rPr>
                <w:rFonts w:ascii="Calibri" w:hAnsi="Calibri"/>
                <w:color w:val="334155"/>
                <w:sz w:val="16"/>
              </w:rPr>
              <w:t>88.20%</w:t>
            </w:r>
          </w:p>
        </w:tc>
        <w:tc>
          <w:tcPr>
            <w:tcW w:type="dxa" w:w="1296"/>
            <w:shd w:fill="FFFFFF"/>
            <w:tcMar>
              <w:top w:w="70" w:type="dxa"/>
              <w:bottom w:w="70" w:type="dxa"/>
              <w:left w:w="50" w:type="dxa"/>
              <w:right w:w="50" w:type="dxa"/>
            </w:tcMar>
          </w:tcPr>
          <w:p>
            <w:pPr>
              <w:spacing w:after="0"/>
            </w:pPr>
            <w:r>
              <w:rPr>
                <w:rFonts w:ascii="Calibri" w:hAnsi="Calibri"/>
                <w:color w:val="334155"/>
                <w:sz w:val="16"/>
              </w:rPr>
              <w:t>Tier 1 (Cloud API)</w:t>
            </w:r>
          </w:p>
        </w:tc>
      </w:tr>
      <w:tr>
        <w:tc>
          <w:tcPr>
            <w:tcW w:type="dxa" w:w="2304"/>
            <w:shd w:fill="F8FAFC"/>
            <w:tcMar>
              <w:top w:w="70" w:type="dxa"/>
              <w:bottom w:w="70" w:type="dxa"/>
              <w:left w:w="50" w:type="dxa"/>
              <w:right w:w="50" w:type="dxa"/>
            </w:tcMar>
          </w:tcPr>
          <w:p>
            <w:pPr>
              <w:spacing w:after="0"/>
            </w:pPr>
            <w:r>
              <w:rPr>
                <w:rFonts w:ascii="Calibri" w:hAnsi="Calibri"/>
                <w:color w:val="334155"/>
                <w:sz w:val="16"/>
              </w:rPr>
              <w:t>Claude 3.5 Sonnet</w:t>
            </w:r>
          </w:p>
        </w:tc>
        <w:tc>
          <w:tcPr>
            <w:tcW w:type="dxa" w:w="1728"/>
            <w:shd w:fill="F8FAFC"/>
            <w:tcMar>
              <w:top w:w="70" w:type="dxa"/>
              <w:bottom w:w="70" w:type="dxa"/>
              <w:left w:w="50" w:type="dxa"/>
              <w:right w:w="50" w:type="dxa"/>
            </w:tcMar>
          </w:tcPr>
          <w:p>
            <w:pPr>
              <w:spacing w:after="0"/>
            </w:pPr>
            <w:r>
              <w:rPr>
                <w:rFonts w:ascii="Calibri" w:hAnsi="Calibri"/>
                <w:color w:val="334155"/>
                <w:sz w:val="16"/>
              </w:rPr>
              <w:t>Cloud MoE (Proprietary)</w:t>
            </w:r>
          </w:p>
        </w:tc>
        <w:tc>
          <w:tcPr>
            <w:tcW w:type="dxa" w:w="864"/>
            <w:shd w:fill="F8FAFC"/>
            <w:tcMar>
              <w:top w:w="70" w:type="dxa"/>
              <w:bottom w:w="70" w:type="dxa"/>
              <w:left w:w="50" w:type="dxa"/>
              <w:right w:w="50" w:type="dxa"/>
            </w:tcMar>
          </w:tcPr>
          <w:p>
            <w:pPr>
              <w:spacing w:after="0"/>
            </w:pPr>
            <w:r>
              <w:rPr>
                <w:rFonts w:ascii="Calibri" w:hAnsi="Calibri"/>
                <w:color w:val="334155"/>
                <w:sz w:val="16"/>
              </w:rPr>
              <w:t>91.00%</w:t>
            </w:r>
          </w:p>
        </w:tc>
        <w:tc>
          <w:tcPr>
            <w:tcW w:type="dxa" w:w="864"/>
            <w:shd w:fill="F8FAFC"/>
            <w:tcMar>
              <w:top w:w="70" w:type="dxa"/>
              <w:bottom w:w="70" w:type="dxa"/>
              <w:left w:w="50" w:type="dxa"/>
              <w:right w:w="50" w:type="dxa"/>
            </w:tcMar>
          </w:tcPr>
          <w:p>
            <w:pPr>
              <w:spacing w:after="0"/>
            </w:pPr>
            <w:r>
              <w:rPr>
                <w:rFonts w:ascii="Calibri" w:hAnsi="Calibri"/>
                <w:color w:val="334155"/>
                <w:sz w:val="16"/>
              </w:rPr>
              <w:t>84.00%</w:t>
            </w:r>
          </w:p>
        </w:tc>
        <w:tc>
          <w:tcPr>
            <w:tcW w:type="dxa" w:w="864"/>
            <w:shd w:fill="F8FAFC"/>
            <w:tcMar>
              <w:top w:w="70" w:type="dxa"/>
              <w:bottom w:w="70" w:type="dxa"/>
              <w:left w:w="50" w:type="dxa"/>
              <w:right w:w="50" w:type="dxa"/>
            </w:tcMar>
          </w:tcPr>
          <w:p>
            <w:pPr>
              <w:spacing w:after="0"/>
            </w:pPr>
            <w:r>
              <w:rPr>
                <w:rFonts w:ascii="Calibri" w:hAnsi="Calibri"/>
                <w:color w:val="334155"/>
                <w:sz w:val="16"/>
              </w:rPr>
              <w:t>82.80%</w:t>
            </w:r>
          </w:p>
        </w:tc>
        <w:tc>
          <w:tcPr>
            <w:tcW w:type="dxa" w:w="864"/>
            <w:shd w:fill="F8FAFC"/>
            <w:tcMar>
              <w:top w:w="70" w:type="dxa"/>
              <w:bottom w:w="70" w:type="dxa"/>
              <w:left w:w="50" w:type="dxa"/>
              <w:right w:w="50" w:type="dxa"/>
            </w:tcMar>
          </w:tcPr>
          <w:p>
            <w:pPr>
              <w:spacing w:after="0"/>
            </w:pPr>
            <w:r>
              <w:rPr>
                <w:rFonts w:ascii="Calibri" w:hAnsi="Calibri"/>
                <w:color w:val="334155"/>
                <w:sz w:val="16"/>
              </w:rPr>
              <w:t>83.50%</w:t>
            </w:r>
          </w:p>
        </w:tc>
        <w:tc>
          <w:tcPr>
            <w:tcW w:type="dxa" w:w="864"/>
            <w:shd w:fill="F8FAFC"/>
            <w:tcMar>
              <w:top w:w="70" w:type="dxa"/>
              <w:bottom w:w="70" w:type="dxa"/>
              <w:left w:w="50" w:type="dxa"/>
              <w:right w:w="50" w:type="dxa"/>
            </w:tcMar>
          </w:tcPr>
          <w:p>
            <w:pPr>
              <w:spacing w:after="0"/>
            </w:pPr>
            <w:r>
              <w:rPr>
                <w:rFonts w:ascii="Calibri" w:hAnsi="Calibri"/>
                <w:color w:val="334155"/>
                <w:sz w:val="16"/>
              </w:rPr>
              <w:t>86.50%</w:t>
            </w:r>
          </w:p>
        </w:tc>
        <w:tc>
          <w:tcPr>
            <w:tcW w:type="dxa" w:w="1296"/>
            <w:shd w:fill="F8FAFC"/>
            <w:tcMar>
              <w:top w:w="70" w:type="dxa"/>
              <w:bottom w:w="70" w:type="dxa"/>
              <w:left w:w="50" w:type="dxa"/>
              <w:right w:w="50" w:type="dxa"/>
            </w:tcMar>
          </w:tcPr>
          <w:p>
            <w:pPr>
              <w:spacing w:after="0"/>
            </w:pPr>
            <w:r>
              <w:rPr>
                <w:rFonts w:ascii="Calibri" w:hAnsi="Calibri"/>
                <w:color w:val="334155"/>
                <w:sz w:val="16"/>
              </w:rPr>
              <w:t>Tier 1 (Cloud API)</w:t>
            </w:r>
          </w:p>
        </w:tc>
      </w:tr>
      <w:tr>
        <w:tc>
          <w:tcPr>
            <w:tcW w:type="dxa" w:w="2304"/>
            <w:shd w:fill="EFF6FF"/>
            <w:tcMar>
              <w:top w:w="70" w:type="dxa"/>
              <w:bottom w:w="70" w:type="dxa"/>
              <w:left w:w="50" w:type="dxa"/>
              <w:right w:w="50" w:type="dxa"/>
            </w:tcMar>
          </w:tcPr>
          <w:p>
            <w:pPr>
              <w:spacing w:after="0"/>
            </w:pPr>
            <w:r>
              <w:rPr>
                <w:rFonts w:ascii="Calibri" w:hAnsi="Calibri"/>
                <w:b/>
                <w:color w:val="1E3A8A"/>
                <w:sz w:val="16"/>
              </w:rPr>
              <w:t>FinReg-SLM 7B (Ours)</w:t>
            </w:r>
          </w:p>
        </w:tc>
        <w:tc>
          <w:tcPr>
            <w:tcW w:type="dxa" w:w="1728"/>
            <w:shd w:fill="EFF6FF"/>
            <w:tcMar>
              <w:top w:w="70" w:type="dxa"/>
              <w:bottom w:w="70" w:type="dxa"/>
              <w:left w:w="50" w:type="dxa"/>
              <w:right w:w="50" w:type="dxa"/>
            </w:tcMar>
          </w:tcPr>
          <w:p>
            <w:pPr>
              <w:spacing w:after="0"/>
            </w:pPr>
            <w:r>
              <w:rPr>
                <w:rFonts w:ascii="Calibri" w:hAnsi="Calibri"/>
                <w:b/>
                <w:color w:val="047857"/>
                <w:sz w:val="16"/>
              </w:rPr>
              <w:t>7B Dense (Local 8GB)</w:t>
            </w:r>
          </w:p>
        </w:tc>
        <w:tc>
          <w:tcPr>
            <w:tcW w:type="dxa" w:w="864"/>
            <w:shd w:fill="EFF6FF"/>
            <w:tcMar>
              <w:top w:w="70" w:type="dxa"/>
              <w:bottom w:w="70" w:type="dxa"/>
              <w:left w:w="50" w:type="dxa"/>
              <w:right w:w="50" w:type="dxa"/>
            </w:tcMar>
          </w:tcPr>
          <w:p>
            <w:pPr>
              <w:spacing w:after="0"/>
            </w:pPr>
            <w:r>
              <w:rPr>
                <w:rFonts w:ascii="Calibri" w:hAnsi="Calibri"/>
                <w:b/>
                <w:color w:val="047857"/>
                <w:sz w:val="16"/>
              </w:rPr>
              <w:t>90.29%</w:t>
            </w:r>
          </w:p>
        </w:tc>
        <w:tc>
          <w:tcPr>
            <w:tcW w:type="dxa" w:w="864"/>
            <w:shd w:fill="EFF6FF"/>
            <w:tcMar>
              <w:top w:w="70" w:type="dxa"/>
              <w:bottom w:w="70" w:type="dxa"/>
              <w:left w:w="50" w:type="dxa"/>
              <w:right w:w="50" w:type="dxa"/>
            </w:tcMar>
          </w:tcPr>
          <w:p>
            <w:pPr>
              <w:spacing w:after="0"/>
            </w:pPr>
            <w:r>
              <w:rPr>
                <w:rFonts w:ascii="Calibri" w:hAnsi="Calibri"/>
                <w:b/>
                <w:color w:val="047857"/>
                <w:sz w:val="16"/>
              </w:rPr>
              <w:t>79.00%</w:t>
            </w:r>
          </w:p>
        </w:tc>
        <w:tc>
          <w:tcPr>
            <w:tcW w:type="dxa" w:w="864"/>
            <w:shd w:fill="EFF6FF"/>
            <w:tcMar>
              <w:top w:w="70" w:type="dxa"/>
              <w:bottom w:w="70" w:type="dxa"/>
              <w:left w:w="50" w:type="dxa"/>
              <w:right w:w="50" w:type="dxa"/>
            </w:tcMar>
          </w:tcPr>
          <w:p>
            <w:pPr>
              <w:spacing w:after="0"/>
            </w:pPr>
            <w:r>
              <w:rPr>
                <w:rFonts w:ascii="Calibri" w:hAnsi="Calibri"/>
                <w:b/>
                <w:color w:val="047857"/>
                <w:sz w:val="16"/>
              </w:rPr>
              <w:t>75.78%</w:t>
            </w:r>
          </w:p>
        </w:tc>
        <w:tc>
          <w:tcPr>
            <w:tcW w:type="dxa" w:w="864"/>
            <w:shd w:fill="EFF6FF"/>
            <w:tcMar>
              <w:top w:w="70" w:type="dxa"/>
              <w:bottom w:w="70" w:type="dxa"/>
              <w:left w:w="50" w:type="dxa"/>
              <w:right w:w="50" w:type="dxa"/>
            </w:tcMar>
          </w:tcPr>
          <w:p>
            <w:pPr>
              <w:spacing w:after="0"/>
            </w:pPr>
            <w:r>
              <w:rPr>
                <w:rFonts w:ascii="Calibri" w:hAnsi="Calibri"/>
                <w:b/>
                <w:color w:val="047857"/>
                <w:sz w:val="16"/>
              </w:rPr>
              <w:t>69.18%</w:t>
            </w:r>
          </w:p>
        </w:tc>
        <w:tc>
          <w:tcPr>
            <w:tcW w:type="dxa" w:w="864"/>
            <w:shd w:fill="EFF6FF"/>
            <w:tcMar>
              <w:top w:w="70" w:type="dxa"/>
              <w:bottom w:w="70" w:type="dxa"/>
              <w:left w:w="50" w:type="dxa"/>
              <w:right w:w="50" w:type="dxa"/>
            </w:tcMar>
          </w:tcPr>
          <w:p>
            <w:pPr>
              <w:spacing w:after="0"/>
            </w:pPr>
            <w:r>
              <w:rPr>
                <w:rFonts w:ascii="Calibri" w:hAnsi="Calibri"/>
                <w:b/>
                <w:color w:val="1E3A8A"/>
                <w:sz w:val="16"/>
              </w:rPr>
              <w:t>80.98%</w:t>
            </w:r>
          </w:p>
        </w:tc>
        <w:tc>
          <w:tcPr>
            <w:tcW w:type="dxa" w:w="1296"/>
            <w:shd w:fill="EFF6FF"/>
            <w:tcMar>
              <w:top w:w="70" w:type="dxa"/>
              <w:bottom w:w="70" w:type="dxa"/>
              <w:left w:w="50" w:type="dxa"/>
              <w:right w:w="50" w:type="dxa"/>
            </w:tcMar>
          </w:tcPr>
          <w:p>
            <w:pPr>
              <w:spacing w:after="0"/>
            </w:pPr>
            <w:r>
              <w:rPr>
                <w:rFonts w:ascii="Calibri" w:hAnsi="Calibri"/>
                <w:b/>
                <w:color w:val="047857"/>
                <w:sz w:val="16"/>
              </w:rPr>
              <w:t>Top Tier 2 (Ours)</w:t>
            </w:r>
          </w:p>
        </w:tc>
      </w:tr>
      <w:tr>
        <w:tc>
          <w:tcPr>
            <w:tcW w:type="dxa" w:w="2304"/>
            <w:shd w:fill="F8FAFC"/>
            <w:tcMar>
              <w:top w:w="70" w:type="dxa"/>
              <w:bottom w:w="70" w:type="dxa"/>
              <w:left w:w="50" w:type="dxa"/>
              <w:right w:w="50" w:type="dxa"/>
            </w:tcMar>
          </w:tcPr>
          <w:p>
            <w:pPr>
              <w:spacing w:after="0"/>
            </w:pPr>
            <w:r>
              <w:rPr>
                <w:rFonts w:ascii="Calibri" w:hAnsi="Calibri"/>
                <w:color w:val="334155"/>
                <w:sz w:val="16"/>
              </w:rPr>
              <w:t>LLaMA-3-8B Base</w:t>
            </w:r>
          </w:p>
        </w:tc>
        <w:tc>
          <w:tcPr>
            <w:tcW w:type="dxa" w:w="1728"/>
            <w:shd w:fill="F8FAFC"/>
            <w:tcMar>
              <w:top w:w="70" w:type="dxa"/>
              <w:bottom w:w="70" w:type="dxa"/>
              <w:left w:w="50" w:type="dxa"/>
              <w:right w:w="50" w:type="dxa"/>
            </w:tcMar>
          </w:tcPr>
          <w:p>
            <w:pPr>
              <w:spacing w:after="0"/>
            </w:pPr>
            <w:r>
              <w:rPr>
                <w:rFonts w:ascii="Calibri" w:hAnsi="Calibri"/>
                <w:color w:val="334155"/>
                <w:sz w:val="16"/>
              </w:rPr>
              <w:t>8B Dense (Open Base)</w:t>
            </w:r>
          </w:p>
        </w:tc>
        <w:tc>
          <w:tcPr>
            <w:tcW w:type="dxa" w:w="864"/>
            <w:shd w:fill="F8FAFC"/>
            <w:tcMar>
              <w:top w:w="70" w:type="dxa"/>
              <w:bottom w:w="70" w:type="dxa"/>
              <w:left w:w="50" w:type="dxa"/>
              <w:right w:w="50" w:type="dxa"/>
            </w:tcMar>
          </w:tcPr>
          <w:p>
            <w:pPr>
              <w:spacing w:after="0"/>
            </w:pPr>
            <w:r>
              <w:rPr>
                <w:rFonts w:ascii="Calibri" w:hAnsi="Calibri"/>
                <w:color w:val="334155"/>
                <w:sz w:val="16"/>
              </w:rPr>
              <w:t>84.20%</w:t>
            </w:r>
          </w:p>
        </w:tc>
        <w:tc>
          <w:tcPr>
            <w:tcW w:type="dxa" w:w="864"/>
            <w:shd w:fill="F8FAFC"/>
            <w:tcMar>
              <w:top w:w="70" w:type="dxa"/>
              <w:bottom w:w="70" w:type="dxa"/>
              <w:left w:w="50" w:type="dxa"/>
              <w:right w:w="50" w:type="dxa"/>
            </w:tcMar>
          </w:tcPr>
          <w:p>
            <w:pPr>
              <w:spacing w:after="0"/>
            </w:pPr>
            <w:r>
              <w:rPr>
                <w:rFonts w:ascii="Calibri" w:hAnsi="Calibri"/>
                <w:color w:val="334155"/>
                <w:sz w:val="16"/>
              </w:rPr>
              <w:t>72.50%</w:t>
            </w:r>
          </w:p>
        </w:tc>
        <w:tc>
          <w:tcPr>
            <w:tcW w:type="dxa" w:w="864"/>
            <w:shd w:fill="F8FAFC"/>
            <w:tcMar>
              <w:top w:w="70" w:type="dxa"/>
              <w:bottom w:w="70" w:type="dxa"/>
              <w:left w:w="50" w:type="dxa"/>
              <w:right w:w="50" w:type="dxa"/>
            </w:tcMar>
          </w:tcPr>
          <w:p>
            <w:pPr>
              <w:spacing w:after="0"/>
            </w:pPr>
            <w:r>
              <w:rPr>
                <w:rFonts w:ascii="Calibri" w:hAnsi="Calibri"/>
                <w:color w:val="334155"/>
                <w:sz w:val="16"/>
              </w:rPr>
              <w:t>70.10%</w:t>
            </w:r>
          </w:p>
        </w:tc>
        <w:tc>
          <w:tcPr>
            <w:tcW w:type="dxa" w:w="864"/>
            <w:shd w:fill="F8FAFC"/>
            <w:tcMar>
              <w:top w:w="70" w:type="dxa"/>
              <w:bottom w:w="70" w:type="dxa"/>
              <w:left w:w="50" w:type="dxa"/>
              <w:right w:w="50" w:type="dxa"/>
            </w:tcMar>
          </w:tcPr>
          <w:p>
            <w:pPr>
              <w:spacing w:after="0"/>
            </w:pPr>
            <w:r>
              <w:rPr>
                <w:rFonts w:ascii="Calibri" w:hAnsi="Calibri"/>
                <w:color w:val="334155"/>
                <w:sz w:val="16"/>
              </w:rPr>
              <w:t>58.40%</w:t>
            </w:r>
          </w:p>
        </w:tc>
        <w:tc>
          <w:tcPr>
            <w:tcW w:type="dxa" w:w="864"/>
            <w:shd w:fill="F8FAFC"/>
            <w:tcMar>
              <w:top w:w="70" w:type="dxa"/>
              <w:bottom w:w="70" w:type="dxa"/>
              <w:left w:w="50" w:type="dxa"/>
              <w:right w:w="50" w:type="dxa"/>
            </w:tcMar>
          </w:tcPr>
          <w:p>
            <w:pPr>
              <w:spacing w:after="0"/>
            </w:pPr>
            <w:r>
              <w:rPr>
                <w:rFonts w:ascii="Calibri" w:hAnsi="Calibri"/>
                <w:color w:val="334155"/>
                <w:sz w:val="16"/>
              </w:rPr>
              <w:t>77.60%</w:t>
            </w:r>
          </w:p>
        </w:tc>
        <w:tc>
          <w:tcPr>
            <w:tcW w:type="dxa" w:w="1296"/>
            <w:shd w:fill="F8FAFC"/>
            <w:tcMar>
              <w:top w:w="70" w:type="dxa"/>
              <w:bottom w:w="70" w:type="dxa"/>
              <w:left w:w="50" w:type="dxa"/>
              <w:right w:w="50" w:type="dxa"/>
            </w:tcMar>
          </w:tcPr>
          <w:p>
            <w:pPr>
              <w:spacing w:after="0"/>
            </w:pPr>
            <w:r>
              <w:rPr>
                <w:rFonts w:ascii="Calibri" w:hAnsi="Calibri"/>
                <w:color w:val="334155"/>
                <w:sz w:val="16"/>
              </w:rPr>
              <w:t>Tier 2 (Open Base)</w:t>
            </w:r>
          </w:p>
        </w:tc>
      </w:tr>
      <w:tr>
        <w:tc>
          <w:tcPr>
            <w:tcW w:type="dxa" w:w="2304"/>
            <w:shd w:fill="FFFFFF"/>
            <w:tcMar>
              <w:top w:w="70" w:type="dxa"/>
              <w:bottom w:w="70" w:type="dxa"/>
              <w:left w:w="50" w:type="dxa"/>
              <w:right w:w="50" w:type="dxa"/>
            </w:tcMar>
          </w:tcPr>
          <w:p>
            <w:pPr>
              <w:spacing w:after="0"/>
            </w:pPr>
            <w:r>
              <w:rPr>
                <w:rFonts w:ascii="Calibri" w:hAnsi="Calibri"/>
                <w:color w:val="334155"/>
                <w:sz w:val="16"/>
              </w:rPr>
              <w:t>Mistral-7B-Instruct</w:t>
            </w:r>
          </w:p>
        </w:tc>
        <w:tc>
          <w:tcPr>
            <w:tcW w:type="dxa" w:w="1728"/>
            <w:shd w:fill="FFFFFF"/>
            <w:tcMar>
              <w:top w:w="70" w:type="dxa"/>
              <w:bottom w:w="70" w:type="dxa"/>
              <w:left w:w="50" w:type="dxa"/>
              <w:right w:w="50" w:type="dxa"/>
            </w:tcMar>
          </w:tcPr>
          <w:p>
            <w:pPr>
              <w:spacing w:after="0"/>
            </w:pPr>
            <w:r>
              <w:rPr>
                <w:rFonts w:ascii="Calibri" w:hAnsi="Calibri"/>
                <w:color w:val="334155"/>
                <w:sz w:val="16"/>
              </w:rPr>
              <w:t>7B Dense (Open Base)</w:t>
            </w:r>
          </w:p>
        </w:tc>
        <w:tc>
          <w:tcPr>
            <w:tcW w:type="dxa" w:w="864"/>
            <w:shd w:fill="FFFFFF"/>
            <w:tcMar>
              <w:top w:w="70" w:type="dxa"/>
              <w:bottom w:w="70" w:type="dxa"/>
              <w:left w:w="50" w:type="dxa"/>
              <w:right w:w="50" w:type="dxa"/>
            </w:tcMar>
          </w:tcPr>
          <w:p>
            <w:pPr>
              <w:spacing w:after="0"/>
            </w:pPr>
            <w:r>
              <w:rPr>
                <w:rFonts w:ascii="Calibri" w:hAnsi="Calibri"/>
                <w:color w:val="334155"/>
                <w:sz w:val="16"/>
              </w:rPr>
              <w:t>82.80%</w:t>
            </w:r>
          </w:p>
        </w:tc>
        <w:tc>
          <w:tcPr>
            <w:tcW w:type="dxa" w:w="864"/>
            <w:shd w:fill="FFFFFF"/>
            <w:tcMar>
              <w:top w:w="70" w:type="dxa"/>
              <w:bottom w:w="70" w:type="dxa"/>
              <w:left w:w="50" w:type="dxa"/>
              <w:right w:w="50" w:type="dxa"/>
            </w:tcMar>
          </w:tcPr>
          <w:p>
            <w:pPr>
              <w:spacing w:after="0"/>
            </w:pPr>
            <w:r>
              <w:rPr>
                <w:rFonts w:ascii="Calibri" w:hAnsi="Calibri"/>
                <w:color w:val="334155"/>
                <w:sz w:val="16"/>
              </w:rPr>
              <w:t>71.00%</w:t>
            </w:r>
          </w:p>
        </w:tc>
        <w:tc>
          <w:tcPr>
            <w:tcW w:type="dxa" w:w="864"/>
            <w:shd w:fill="FFFFFF"/>
            <w:tcMar>
              <w:top w:w="70" w:type="dxa"/>
              <w:bottom w:w="70" w:type="dxa"/>
              <w:left w:w="50" w:type="dxa"/>
              <w:right w:w="50" w:type="dxa"/>
            </w:tcMar>
          </w:tcPr>
          <w:p>
            <w:pPr>
              <w:spacing w:after="0"/>
            </w:pPr>
            <w:r>
              <w:rPr>
                <w:rFonts w:ascii="Calibri" w:hAnsi="Calibri"/>
                <w:color w:val="334155"/>
                <w:sz w:val="16"/>
              </w:rPr>
              <w:t>68.50%</w:t>
            </w:r>
          </w:p>
        </w:tc>
        <w:tc>
          <w:tcPr>
            <w:tcW w:type="dxa" w:w="864"/>
            <w:shd w:fill="FFFFFF"/>
            <w:tcMar>
              <w:top w:w="70" w:type="dxa"/>
              <w:bottom w:w="70" w:type="dxa"/>
              <w:left w:w="50" w:type="dxa"/>
              <w:right w:w="50" w:type="dxa"/>
            </w:tcMar>
          </w:tcPr>
          <w:p>
            <w:pPr>
              <w:spacing w:after="0"/>
            </w:pPr>
            <w:r>
              <w:rPr>
                <w:rFonts w:ascii="Calibri" w:hAnsi="Calibri"/>
                <w:color w:val="334155"/>
                <w:sz w:val="16"/>
              </w:rPr>
              <w:t>56.20%</w:t>
            </w:r>
          </w:p>
        </w:tc>
        <w:tc>
          <w:tcPr>
            <w:tcW w:type="dxa" w:w="864"/>
            <w:shd w:fill="FFFFFF"/>
            <w:tcMar>
              <w:top w:w="70" w:type="dxa"/>
              <w:bottom w:w="70" w:type="dxa"/>
              <w:left w:w="50" w:type="dxa"/>
              <w:right w:w="50" w:type="dxa"/>
            </w:tcMar>
          </w:tcPr>
          <w:p>
            <w:pPr>
              <w:spacing w:after="0"/>
            </w:pPr>
            <w:r>
              <w:rPr>
                <w:rFonts w:ascii="Calibri" w:hAnsi="Calibri"/>
                <w:color w:val="334155"/>
                <w:sz w:val="16"/>
              </w:rPr>
              <w:t>76.20%</w:t>
            </w:r>
          </w:p>
        </w:tc>
        <w:tc>
          <w:tcPr>
            <w:tcW w:type="dxa" w:w="1296"/>
            <w:shd w:fill="FFFFFF"/>
            <w:tcMar>
              <w:top w:w="70" w:type="dxa"/>
              <w:bottom w:w="70" w:type="dxa"/>
              <w:left w:w="50" w:type="dxa"/>
              <w:right w:w="50" w:type="dxa"/>
            </w:tcMar>
          </w:tcPr>
          <w:p>
            <w:pPr>
              <w:spacing w:after="0"/>
            </w:pPr>
            <w:r>
              <w:rPr>
                <w:rFonts w:ascii="Calibri" w:hAnsi="Calibri"/>
                <w:color w:val="334155"/>
                <w:sz w:val="16"/>
              </w:rPr>
              <w:t>Tier 2 (Open Base)</w:t>
            </w:r>
          </w:p>
        </w:tc>
      </w:tr>
      <w:tr>
        <w:tc>
          <w:tcPr>
            <w:tcW w:type="dxa" w:w="2304"/>
            <w:shd w:fill="F8FAFC"/>
            <w:tcMar>
              <w:top w:w="70" w:type="dxa"/>
              <w:bottom w:w="70" w:type="dxa"/>
              <w:left w:w="50" w:type="dxa"/>
              <w:right w:w="50" w:type="dxa"/>
            </w:tcMar>
          </w:tcPr>
          <w:p>
            <w:pPr>
              <w:spacing w:after="0"/>
            </w:pPr>
            <w:r>
              <w:rPr>
                <w:rFonts w:ascii="Calibri" w:hAnsi="Calibri"/>
                <w:color w:val="334155"/>
                <w:sz w:val="16"/>
              </w:rPr>
              <w:t>Gemma 4 E4B</w:t>
            </w:r>
          </w:p>
        </w:tc>
        <w:tc>
          <w:tcPr>
            <w:tcW w:type="dxa" w:w="1728"/>
            <w:shd w:fill="F8FAFC"/>
            <w:tcMar>
              <w:top w:w="70" w:type="dxa"/>
              <w:bottom w:w="70" w:type="dxa"/>
              <w:left w:w="50" w:type="dxa"/>
              <w:right w:w="50" w:type="dxa"/>
            </w:tcMar>
          </w:tcPr>
          <w:p>
            <w:pPr>
              <w:spacing w:after="0"/>
            </w:pPr>
            <w:r>
              <w:rPr>
                <w:rFonts w:ascii="Calibri" w:hAnsi="Calibri"/>
                <w:color w:val="334155"/>
                <w:sz w:val="16"/>
              </w:rPr>
              <w:t>4B Dense (Compact)</w:t>
            </w:r>
          </w:p>
        </w:tc>
        <w:tc>
          <w:tcPr>
            <w:tcW w:type="dxa" w:w="864"/>
            <w:shd w:fill="F8FAFC"/>
            <w:tcMar>
              <w:top w:w="70" w:type="dxa"/>
              <w:bottom w:w="70" w:type="dxa"/>
              <w:left w:w="50" w:type="dxa"/>
              <w:right w:w="50" w:type="dxa"/>
            </w:tcMar>
          </w:tcPr>
          <w:p>
            <w:pPr>
              <w:spacing w:after="0"/>
            </w:pPr>
            <w:r>
              <w:rPr>
                <w:rFonts w:ascii="Calibri" w:hAnsi="Calibri"/>
                <w:color w:val="334155"/>
                <w:sz w:val="16"/>
              </w:rPr>
              <w:t>76.50%</w:t>
            </w:r>
          </w:p>
        </w:tc>
        <w:tc>
          <w:tcPr>
            <w:tcW w:type="dxa" w:w="864"/>
            <w:shd w:fill="F8FAFC"/>
            <w:tcMar>
              <w:top w:w="70" w:type="dxa"/>
              <w:bottom w:w="70" w:type="dxa"/>
              <w:left w:w="50" w:type="dxa"/>
              <w:right w:w="50" w:type="dxa"/>
            </w:tcMar>
          </w:tcPr>
          <w:p>
            <w:pPr>
              <w:spacing w:after="0"/>
            </w:pPr>
            <w:r>
              <w:rPr>
                <w:rFonts w:ascii="Calibri" w:hAnsi="Calibri"/>
                <w:color w:val="334155"/>
                <w:sz w:val="16"/>
              </w:rPr>
              <w:t>65.00%</w:t>
            </w:r>
          </w:p>
        </w:tc>
        <w:tc>
          <w:tcPr>
            <w:tcW w:type="dxa" w:w="864"/>
            <w:shd w:fill="F8FAFC"/>
            <w:tcMar>
              <w:top w:w="70" w:type="dxa"/>
              <w:bottom w:w="70" w:type="dxa"/>
              <w:left w:w="50" w:type="dxa"/>
              <w:right w:w="50" w:type="dxa"/>
            </w:tcMar>
          </w:tcPr>
          <w:p>
            <w:pPr>
              <w:spacing w:after="0"/>
            </w:pPr>
            <w:r>
              <w:rPr>
                <w:rFonts w:ascii="Calibri" w:hAnsi="Calibri"/>
                <w:color w:val="334155"/>
                <w:sz w:val="16"/>
              </w:rPr>
              <w:t>62.00%</w:t>
            </w:r>
          </w:p>
        </w:tc>
        <w:tc>
          <w:tcPr>
            <w:tcW w:type="dxa" w:w="864"/>
            <w:shd w:fill="F8FAFC"/>
            <w:tcMar>
              <w:top w:w="70" w:type="dxa"/>
              <w:bottom w:w="70" w:type="dxa"/>
              <w:left w:w="50" w:type="dxa"/>
              <w:right w:w="50" w:type="dxa"/>
            </w:tcMar>
          </w:tcPr>
          <w:p>
            <w:pPr>
              <w:spacing w:after="0"/>
            </w:pPr>
            <w:r>
              <w:rPr>
                <w:rFonts w:ascii="Calibri" w:hAnsi="Calibri"/>
                <w:color w:val="334155"/>
                <w:sz w:val="16"/>
              </w:rPr>
              <w:t>51.00%</w:t>
            </w:r>
          </w:p>
        </w:tc>
        <w:tc>
          <w:tcPr>
            <w:tcW w:type="dxa" w:w="864"/>
            <w:shd w:fill="F8FAFC"/>
            <w:tcMar>
              <w:top w:w="70" w:type="dxa"/>
              <w:bottom w:w="70" w:type="dxa"/>
              <w:left w:w="50" w:type="dxa"/>
              <w:right w:w="50" w:type="dxa"/>
            </w:tcMar>
          </w:tcPr>
          <w:p>
            <w:pPr>
              <w:spacing w:after="0"/>
            </w:pPr>
            <w:r>
              <w:rPr>
                <w:rFonts w:ascii="Calibri" w:hAnsi="Calibri"/>
                <w:color w:val="334155"/>
                <w:sz w:val="16"/>
              </w:rPr>
              <w:t>70.40%</w:t>
            </w:r>
          </w:p>
        </w:tc>
        <w:tc>
          <w:tcPr>
            <w:tcW w:type="dxa" w:w="1296"/>
            <w:shd w:fill="F8FAFC"/>
            <w:tcMar>
              <w:top w:w="70" w:type="dxa"/>
              <w:bottom w:w="70" w:type="dxa"/>
              <w:left w:w="50" w:type="dxa"/>
              <w:right w:w="50" w:type="dxa"/>
            </w:tcMar>
          </w:tcPr>
          <w:p>
            <w:pPr>
              <w:spacing w:after="0"/>
            </w:pPr>
            <w:r>
              <w:rPr>
                <w:rFonts w:ascii="Calibri" w:hAnsi="Calibri"/>
                <w:color w:val="334155"/>
                <w:sz w:val="16"/>
              </w:rPr>
              <w:t>Tier 3 (Compact)</w:t>
            </w:r>
          </w:p>
        </w:tc>
      </w:tr>
      <w:tr>
        <w:tc>
          <w:tcPr>
            <w:tcW w:type="dxa" w:w="2304"/>
            <w:shd w:fill="FFFFFF"/>
            <w:tcMar>
              <w:top w:w="70" w:type="dxa"/>
              <w:bottom w:w="70" w:type="dxa"/>
              <w:left w:w="50" w:type="dxa"/>
              <w:right w:w="50" w:type="dxa"/>
            </w:tcMar>
          </w:tcPr>
          <w:p>
            <w:pPr>
              <w:spacing w:after="0"/>
            </w:pPr>
            <w:r>
              <w:rPr>
                <w:rFonts w:ascii="Calibri" w:hAnsi="Calibri"/>
                <w:color w:val="334155"/>
                <w:sz w:val="16"/>
              </w:rPr>
              <w:t>Non-Specialist Human</w:t>
            </w:r>
          </w:p>
        </w:tc>
        <w:tc>
          <w:tcPr>
            <w:tcW w:type="dxa" w:w="1728"/>
            <w:shd w:fill="FFFFFF"/>
            <w:tcMar>
              <w:top w:w="70" w:type="dxa"/>
              <w:bottom w:w="70" w:type="dxa"/>
              <w:left w:w="50" w:type="dxa"/>
              <w:right w:w="50" w:type="dxa"/>
            </w:tcMar>
          </w:tcPr>
          <w:p>
            <w:pPr>
              <w:spacing w:after="0"/>
            </w:pPr>
            <w:r>
              <w:rPr>
                <w:rFonts w:ascii="Calibri" w:hAnsi="Calibri"/>
                <w:color w:val="334155"/>
                <w:sz w:val="16"/>
              </w:rPr>
              <w:t>Human Baseline</w:t>
            </w:r>
          </w:p>
        </w:tc>
        <w:tc>
          <w:tcPr>
            <w:tcW w:type="dxa" w:w="864"/>
            <w:shd w:fill="FFFFFF"/>
            <w:tcMar>
              <w:top w:w="70" w:type="dxa"/>
              <w:bottom w:w="70" w:type="dxa"/>
              <w:left w:w="50" w:type="dxa"/>
              <w:right w:w="50" w:type="dxa"/>
            </w:tcMar>
          </w:tcPr>
          <w:p>
            <w:pPr>
              <w:spacing w:after="0"/>
            </w:pPr>
            <w:r>
              <w:rPr>
                <w:rFonts w:ascii="Calibri" w:hAnsi="Calibri"/>
                <w:color w:val="334155"/>
                <w:sz w:val="16"/>
              </w:rPr>
              <w:t>74.00%</w:t>
            </w:r>
          </w:p>
        </w:tc>
        <w:tc>
          <w:tcPr>
            <w:tcW w:type="dxa" w:w="864"/>
            <w:shd w:fill="FFFFFF"/>
            <w:tcMar>
              <w:top w:w="70" w:type="dxa"/>
              <w:bottom w:w="70" w:type="dxa"/>
              <w:left w:w="50" w:type="dxa"/>
              <w:right w:w="50" w:type="dxa"/>
            </w:tcMar>
          </w:tcPr>
          <w:p>
            <w:pPr>
              <w:spacing w:after="0"/>
            </w:pPr>
            <w:r>
              <w:rPr>
                <w:rFonts w:ascii="Calibri" w:hAnsi="Calibri"/>
                <w:color w:val="334155"/>
                <w:sz w:val="16"/>
              </w:rPr>
              <w:t>66.00%</w:t>
            </w:r>
          </w:p>
        </w:tc>
        <w:tc>
          <w:tcPr>
            <w:tcW w:type="dxa" w:w="864"/>
            <w:shd w:fill="FFFFFF"/>
            <w:tcMar>
              <w:top w:w="70" w:type="dxa"/>
              <w:bottom w:w="70" w:type="dxa"/>
              <w:left w:w="50" w:type="dxa"/>
              <w:right w:w="50" w:type="dxa"/>
            </w:tcMar>
          </w:tcPr>
          <w:p>
            <w:pPr>
              <w:spacing w:after="0"/>
            </w:pPr>
            <w:r>
              <w:rPr>
                <w:rFonts w:ascii="Calibri" w:hAnsi="Calibri"/>
                <w:color w:val="334155"/>
                <w:sz w:val="16"/>
              </w:rPr>
              <w:t>65.00%</w:t>
            </w:r>
          </w:p>
        </w:tc>
        <w:tc>
          <w:tcPr>
            <w:tcW w:type="dxa" w:w="864"/>
            <w:shd w:fill="FFFFFF"/>
            <w:tcMar>
              <w:top w:w="70" w:type="dxa"/>
              <w:bottom w:w="70" w:type="dxa"/>
              <w:left w:w="50" w:type="dxa"/>
              <w:right w:w="50" w:type="dxa"/>
            </w:tcMar>
          </w:tcPr>
          <w:p>
            <w:pPr>
              <w:spacing w:after="0"/>
            </w:pPr>
            <w:r>
              <w:rPr>
                <w:rFonts w:ascii="Calibri" w:hAnsi="Calibri"/>
                <w:color w:val="334155"/>
                <w:sz w:val="16"/>
              </w:rPr>
              <w:t>54.00%</w:t>
            </w:r>
          </w:p>
        </w:tc>
        <w:tc>
          <w:tcPr>
            <w:tcW w:type="dxa" w:w="864"/>
            <w:shd w:fill="FFFFFF"/>
            <w:tcMar>
              <w:top w:w="70" w:type="dxa"/>
              <w:bottom w:w="70" w:type="dxa"/>
              <w:left w:w="50" w:type="dxa"/>
              <w:right w:w="50" w:type="dxa"/>
            </w:tcMar>
          </w:tcPr>
          <w:p>
            <w:pPr>
              <w:spacing w:after="0"/>
            </w:pPr>
            <w:r>
              <w:rPr>
                <w:rFonts w:ascii="Calibri" w:hAnsi="Calibri"/>
                <w:color w:val="334155"/>
                <w:sz w:val="16"/>
              </w:rPr>
              <w:t>69.00%</w:t>
            </w:r>
          </w:p>
        </w:tc>
        <w:tc>
          <w:tcPr>
            <w:tcW w:type="dxa" w:w="1296"/>
            <w:shd w:fill="FFFFFF"/>
            <w:tcMar>
              <w:top w:w="70" w:type="dxa"/>
              <w:bottom w:w="70" w:type="dxa"/>
              <w:left w:w="50" w:type="dxa"/>
              <w:right w:w="50" w:type="dxa"/>
            </w:tcMar>
          </w:tcPr>
          <w:p>
            <w:pPr>
              <w:spacing w:after="0"/>
            </w:pPr>
            <w:r>
              <w:rPr>
                <w:rFonts w:ascii="Calibri" w:hAnsi="Calibri"/>
                <w:color w:val="334155"/>
                <w:sz w:val="16"/>
              </w:rPr>
              <w:t>Human Baseline</w:t>
            </w:r>
          </w:p>
        </w:tc>
      </w:tr>
    </w:tbl>
    <w:p>
      <w:pPr>
        <w:spacing w:after="120"/>
      </w:pPr>
    </w:p>
    <w:p>
      <w:pPr>
        <w:keepNext/>
        <w:spacing w:before="280" w:after="120"/>
      </w:pPr>
      <w:r>
        <w:rPr>
          <w:rFonts w:ascii="Calibri" w:hAnsi="Calibri"/>
          <w:b/>
          <w:color w:val="0F172A"/>
          <w:sz w:val="22"/>
        </w:rPr>
        <w:t>15. Future Scope &amp; Institutional Scaling Roadmap</w:t>
      </w:r>
    </w:p>
    <w:p>
      <w:pPr>
        <w:spacing w:after="60" w:line="276" w:lineRule="auto"/>
      </w:pPr>
      <w:r>
        <w:rPr>
          <w:rFonts w:ascii="Calibri" w:hAnsi="Calibri"/>
          <w:b/>
          <w:color w:val="0F172A"/>
          <w:sz w:val="19"/>
        </w:rPr>
        <w:t xml:space="preserve">• Scaling to 14B/32B/70B Open Architectures: </w:t>
      </w:r>
      <w:r>
        <w:rPr>
          <w:rFonts w:ascii="Calibri" w:hAnsi="Calibri"/>
          <w:color w:val="1E293B"/>
          <w:sz w:val="19"/>
        </w:rPr>
        <w:t xml:space="preserve"> Fine-tuning DeepSeek-R1-Distill-14B/32B or LLaMA-3.3-70B on institutional multi-GPU compute (A100/H100) will expand working memory, projected to achieve &gt;91.5% accuracy and surpass proprietary cloud models on-premises.</w:t>
      </w:r>
    </w:p>
    <w:p>
      <w:pPr>
        <w:spacing w:after="60" w:line="276" w:lineRule="auto"/>
      </w:pPr>
      <w:r>
        <w:rPr>
          <w:rFonts w:ascii="Calibri" w:hAnsi="Calibri"/>
          <w:b/>
          <w:color w:val="0F172A"/>
          <w:sz w:val="19"/>
        </w:rPr>
        <w:t xml:space="preserve">• Program-Aided Compliance (Python REPL Sandbox): </w:t>
      </w:r>
      <w:r>
        <w:rPr>
          <w:rFonts w:ascii="Calibri" w:hAnsi="Calibri"/>
          <w:color w:val="1E293B"/>
          <w:sz w:val="19"/>
        </w:rPr>
        <w:t xml:space="preserve"> Integrating an automated Python execution sandbox inside &lt;think&gt; CoT traces to execute multi-step calculations, pushing numerical reasoning from 69.18% to 98%+.</w:t>
      </w:r>
    </w:p>
    <w:p>
      <w:pPr>
        <w:spacing w:after="60" w:line="276" w:lineRule="auto"/>
      </w:pPr>
      <w:r>
        <w:rPr>
          <w:rFonts w:ascii="Calibri" w:hAnsi="Calibri"/>
          <w:b/>
          <w:color w:val="0F172A"/>
          <w:sz w:val="19"/>
        </w:rPr>
        <w:t xml:space="preserve">• Online Group Relative Policy Optimization (GRPO): </w:t>
      </w:r>
      <w:r>
        <w:rPr>
          <w:rFonts w:ascii="Calibri" w:hAnsi="Calibri"/>
          <w:color w:val="1E293B"/>
          <w:sz w:val="19"/>
        </w:rPr>
        <w:t xml:space="preserve"> Transitioning to online GRPO with rule-based reward functions for statutory circular citations and mathematical verification.</w:t>
      </w:r>
    </w:p>
    <w:p>
      <w:pPr>
        <w:spacing w:after="60" w:line="276" w:lineRule="auto"/>
      </w:pPr>
      <w:r>
        <w:rPr>
          <w:rFonts w:ascii="Calibri" w:hAnsi="Calibri"/>
          <w:b/>
          <w:color w:val="0F172A"/>
          <w:sz w:val="19"/>
        </w:rPr>
        <w:t xml:space="preserve">• Autonomous 24/7 Regulatory Monitoring Daemon: </w:t>
      </w:r>
      <w:r>
        <w:rPr>
          <w:rFonts w:ascii="Calibri" w:hAnsi="Calibri"/>
          <w:color w:val="1E293B"/>
          <w:sz w:val="19"/>
        </w:rPr>
        <w:t xml:space="preserve"> Deploying background daemons to monitor daily gazettes, updating the SQLite WAL index with real-time SSE compliance alerts.</w:t>
      </w:r>
    </w:p>
    <w:p>
      <w:pPr>
        <w:keepNext/>
        <w:spacing w:before="280" w:after="120"/>
      </w:pPr>
      <w:r>
        <w:rPr>
          <w:rFonts w:ascii="Calibri" w:hAnsi="Calibri"/>
          <w:b/>
          <w:color w:val="1E3A8A"/>
          <w:sz w:val="26"/>
        </w:rPr>
        <w:t>PART K — References (IEEE Format)</w:t>
      </w:r>
    </w:p>
    <w:p>
      <w:pPr>
        <w:spacing w:after="60" w:line="264" w:lineRule="auto"/>
      </w:pPr>
      <w:r>
        <w:rPr>
          <w:rFonts w:ascii="Calibri" w:hAnsi="Calibri"/>
          <w:b/>
          <w:color w:val="1E3A8A"/>
          <w:sz w:val="17"/>
        </w:rPr>
        <w:t>[1]</w:t>
      </w:r>
      <w:r>
        <w:rPr>
          <w:rFonts w:ascii="Calibri" w:hAnsi="Calibri"/>
          <w:color w:val="334155"/>
          <w:sz w:val="17"/>
        </w:rPr>
        <w:t xml:space="preserve"> O. Ovadia, M. Brief, M. Mishaeli, and O. Elisha, 'Fine-Tuning or Retrieval? Comparing Knowledge Injection in LLMs,' in Proc. EMNLP 2024, pp. 237–250, 2024, doi: 10.18653/v1/2024.emnlp-main.15.</w:t>
      </w:r>
    </w:p>
    <w:p>
      <w:pPr>
        <w:spacing w:after="60" w:line="264" w:lineRule="auto"/>
      </w:pPr>
      <w:r>
        <w:rPr>
          <w:rFonts w:ascii="Calibri" w:hAnsi="Calibri"/>
          <w:b/>
          <w:color w:val="1E3A8A"/>
          <w:sz w:val="17"/>
        </w:rPr>
        <w:t>[2]</w:t>
      </w:r>
      <w:r>
        <w:rPr>
          <w:rFonts w:ascii="Calibri" w:hAnsi="Calibri"/>
          <w:color w:val="334155"/>
          <w:sz w:val="17"/>
        </w:rPr>
        <w:t xml:space="preserve"> T. Zhang, S. G. Patil, N. Jain, S. Shen, M. Zaharia, I. Stoica, and J. E. Gonzalez, 'RAFT: Adapting Language Model to Domain Specific RAG,' in Conf. on Language Modeling (COLM 2024), OpenReview: rzQGHXNReU, 2024.</w:t>
      </w:r>
    </w:p>
    <w:p>
      <w:pPr>
        <w:spacing w:after="60" w:line="264" w:lineRule="auto"/>
      </w:pPr>
      <w:r>
        <w:rPr>
          <w:rFonts w:ascii="Calibri" w:hAnsi="Calibri"/>
          <w:b/>
          <w:color w:val="1E3A8A"/>
          <w:sz w:val="17"/>
        </w:rPr>
        <w:t>[3]</w:t>
      </w:r>
      <w:r>
        <w:rPr>
          <w:rFonts w:ascii="Calibri" w:hAnsi="Calibri"/>
          <w:color w:val="334155"/>
          <w:sz w:val="17"/>
        </w:rPr>
        <w:t xml:space="preserve"> V. Magesh, F. Surani, M. Dahl, M. Suzgun, C. D. Manning, and D. E. Ho, 'Hallucination-Free? Assessing the Reliability of Leading AI Legal Research Tools,' Journal of Empirical Legal Studies, vol. 22, pp. 216–242, 2025, doi: 10.1111/jels.12413.</w:t>
      </w:r>
    </w:p>
    <w:p>
      <w:pPr>
        <w:spacing w:after="60" w:line="264" w:lineRule="auto"/>
      </w:pPr>
      <w:r>
        <w:rPr>
          <w:rFonts w:ascii="Calibri" w:hAnsi="Calibri"/>
          <w:b/>
          <w:color w:val="1E3A8A"/>
          <w:sz w:val="17"/>
        </w:rPr>
        <w:t>[4]</w:t>
      </w:r>
      <w:r>
        <w:rPr>
          <w:rFonts w:ascii="Calibri" w:hAnsi="Calibri"/>
          <w:color w:val="334155"/>
          <w:sz w:val="17"/>
        </w:rPr>
        <w:t xml:space="preserve"> K.-C. Pai and W.-C. Hsu, 'Fine-tuning small language models for industrial retrieval-augmented generation: Efficiency, factuality, and hallucination analysis,' Computer Standards &amp; Interfaces, vol. 98, p. 104163, 2026, doi: 10.1016/j.csi.2026.104163.</w:t>
      </w:r>
    </w:p>
    <w:p>
      <w:pPr>
        <w:spacing w:after="60" w:line="264" w:lineRule="auto"/>
      </w:pPr>
      <w:r>
        <w:rPr>
          <w:rFonts w:ascii="Calibri" w:hAnsi="Calibri"/>
          <w:b/>
          <w:color w:val="1E3A8A"/>
          <w:sz w:val="17"/>
        </w:rPr>
        <w:t>[5]</w:t>
      </w:r>
      <w:r>
        <w:rPr>
          <w:rFonts w:ascii="Calibri" w:hAnsi="Calibri"/>
          <w:color w:val="334155"/>
          <w:sz w:val="17"/>
        </w:rPr>
        <w:t xml:space="preserve"> Y. Kim, 'Detecting jurisdiction compliance gaps in process plant engineering with regulatory RAG,' Journal of Loss Prevention in the Process Industries, vol. 103, p. 106100, 2026, doi: 10.1016/j.jlp.2026.106100.</w:t>
      </w:r>
    </w:p>
    <w:p>
      <w:pPr>
        <w:spacing w:after="60" w:line="264" w:lineRule="auto"/>
      </w:pPr>
      <w:r>
        <w:rPr>
          <w:rFonts w:ascii="Calibri" w:hAnsi="Calibri"/>
          <w:b/>
          <w:color w:val="1E3A8A"/>
          <w:sz w:val="17"/>
        </w:rPr>
        <w:t>[6]</w:t>
      </w:r>
      <w:r>
        <w:rPr>
          <w:rFonts w:ascii="Calibri" w:hAnsi="Calibri"/>
          <w:color w:val="334155"/>
          <w:sz w:val="17"/>
        </w:rPr>
        <w:t xml:space="preserve"> R. Rafailov, A. Sharma, E. Mitchell, S. Ermon, C. D. Manning, and C. Finn, 'Direct Preference Optimization: Your Language Model Is Secretly a Reward Model,' in NeurIPS 2023, vol. 36, pp. 53728–53741, 2023.</w:t>
      </w:r>
    </w:p>
    <w:p>
      <w:pPr>
        <w:spacing w:after="60" w:line="264" w:lineRule="auto"/>
      </w:pPr>
      <w:r>
        <w:rPr>
          <w:rFonts w:ascii="Calibri" w:hAnsi="Calibri"/>
          <w:b/>
          <w:color w:val="1E3A8A"/>
          <w:sz w:val="17"/>
        </w:rPr>
        <w:t>[7]</w:t>
      </w:r>
      <w:r>
        <w:rPr>
          <w:rFonts w:ascii="Calibri" w:hAnsi="Calibri"/>
          <w:color w:val="334155"/>
          <w:sz w:val="17"/>
        </w:rPr>
        <w:t xml:space="preserve"> D. Biderman, J. Portes, J. J. G. Ortiz, et al., 'LoRA Learns Less and Forgets Less,' Transactions on Machine Learning Research (TMLR), 2024.</w:t>
      </w:r>
    </w:p>
    <w:p>
      <w:pPr>
        <w:spacing w:after="60" w:line="264" w:lineRule="auto"/>
      </w:pPr>
      <w:r>
        <w:rPr>
          <w:rFonts w:ascii="Calibri" w:hAnsi="Calibri"/>
          <w:b/>
          <w:color w:val="1E3A8A"/>
          <w:sz w:val="17"/>
        </w:rPr>
        <w:t>[8]</w:t>
      </w:r>
      <w:r>
        <w:rPr>
          <w:rFonts w:ascii="Calibri" w:hAnsi="Calibri"/>
          <w:color w:val="334155"/>
          <w:sz w:val="17"/>
        </w:rPr>
        <w:t xml:space="preserve"> R. S. Pall, 'IndiaFinBench: An Evaluation Benchmark for Large Language Model Performance on Indian Financial Regulatory Text,' arXiv preprint arXiv:2604.19298, 2026.</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