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24"/>
        </w:rPr>
        <w:t>DEPARTMENT OF ARTIFICIAL INTELLIGENCE &amp; DATA SCIENCE</w:t>
        <w:br/>
        <w:t>MPSTME, SVKM'S NMIMS MUMBAI</w:t>
        <w:br/>
      </w:r>
    </w:p>
    <w:p>
      <w:pPr>
        <w:jc w:val="center"/>
      </w:pPr>
      <w:r>
        <w:rPr>
          <w:rFonts w:ascii="Calibri" w:hAnsi="Calibri"/>
          <w:b/>
          <w:color w:val="0F172A"/>
          <w:sz w:val="28"/>
        </w:rPr>
        <w:t>TOP 8 CORE LITERATURE REVIEW PAPERS: METHODOLOGY, RESEARCH GAPS, AND EMPIRICAL FIXES</w:t>
      </w:r>
    </w:p>
    <w:p>
      <w:pPr>
        <w:jc w:val="center"/>
      </w:pPr>
      <w:r>
        <w:rPr>
          <w:rFonts w:ascii="Calibri" w:hAnsi="Calibri"/>
          <w:i/>
          <w:color w:val="64748B"/>
          <w:sz w:val="20"/>
        </w:rPr>
        <w:t>Project: FinReg-SLM | Author: Varun Gupta (UID: 2022300055) | Date: August 17, 2026</w:t>
        <w:br/>
      </w:r>
    </w:p>
    <w:p>
      <w:pPr>
        <w:spacing w:after="120" w:line="276" w:lineRule="auto"/>
      </w:pPr>
      <w:r>
        <w:rPr>
          <w:rFonts w:ascii="Calibri" w:hAnsi="Calibri"/>
          <w:color w:val="1E293B"/>
          <w:sz w:val="21"/>
        </w:rPr>
        <w:t>This document provides a comprehensive academic analysis of the eight most critical, load-bearing literature sources that directly ground the architectural design, failure taxonomy, alignment methodology, and benchmark evaluation of FinReg-SLM. For each paper, we detail its verified publication venue, experimental methodology, key empirical findings, the precise research gap it leaves open, the concrete architectural fix applied in our project, and the measured empirical score impact.</w:t>
      </w:r>
    </w:p>
    <w:p>
      <w:pPr>
        <w:keepNext/>
        <w:spacing w:before="240" w:after="120"/>
      </w:pPr>
      <w:r>
        <w:rPr>
          <w:rFonts w:ascii="Calibri" w:hAnsi="Calibri"/>
          <w:b/>
          <w:color w:val="1E3A8A"/>
          <w:sz w:val="28"/>
        </w:rPr>
        <w:t>Paper #1: Fine-Tuning or Retrieval? Comparing Knowledge Injection in LLMs</w:t>
      </w:r>
    </w:p>
    <w:p>
      <w:pPr>
        <w:spacing w:after="120" w:line="276" w:lineRule="auto"/>
      </w:pPr>
      <w:r>
        <w:rPr>
          <w:rFonts w:ascii="Calibri" w:hAnsi="Calibri"/>
          <w:b/>
          <w:color w:val="0F172A"/>
          <w:sz w:val="21"/>
        </w:rPr>
        <w:t xml:space="preserve">Authors: </w:t>
      </w:r>
      <w:r>
        <w:rPr>
          <w:rFonts w:ascii="Calibri" w:hAnsi="Calibri"/>
          <w:color w:val="1E293B"/>
          <w:sz w:val="21"/>
        </w:rPr>
        <w:t>O. Ovadia, M. Brief, M. Mishaeli, and O. Elisha</w:t>
      </w:r>
    </w:p>
    <w:p>
      <w:pPr>
        <w:spacing w:after="120" w:line="276" w:lineRule="auto"/>
      </w:pPr>
      <w:r>
        <w:rPr>
          <w:rFonts w:ascii="Calibri" w:hAnsi="Calibri"/>
          <w:b/>
          <w:color w:val="0F172A"/>
          <w:sz w:val="21"/>
        </w:rPr>
        <w:t xml:space="preserve">Publication Venue: </w:t>
      </w:r>
      <w:r>
        <w:rPr>
          <w:rFonts w:ascii="Calibri" w:hAnsi="Calibri"/>
          <w:color w:val="1E293B"/>
          <w:sz w:val="21"/>
        </w:rPr>
        <w:t>Proceedings of the 2024 Conference on Empirical Methods in Natural Language Processing (EMNLP 2024), pp. 237–250 (Scopus / ACL Anthology (Main Conference), 2024)</w:t>
      </w:r>
    </w:p>
    <w:p>
      <w:pPr>
        <w:spacing w:after="120" w:line="276" w:lineRule="auto"/>
      </w:pPr>
      <w:r>
        <w:rPr>
          <w:rFonts w:ascii="Calibri" w:hAnsi="Calibri"/>
          <w:b/>
          <w:color w:val="0F172A"/>
          <w:sz w:val="21"/>
        </w:rPr>
        <w:t xml:space="preserve">Experimental Methodology: </w:t>
      </w:r>
      <w:r>
        <w:rPr>
          <w:rFonts w:ascii="Calibri" w:hAnsi="Calibri"/>
          <w:color w:val="1E293B"/>
          <w:sz w:val="21"/>
        </w:rPr>
        <w:t>Conducted extensive empirical comparisons between RAG and unsupervised fine-tuning across synthetic and real-world knowledge extraction tasks.</w:t>
      </w:r>
    </w:p>
    <w:p>
      <w:pPr>
        <w:spacing w:after="120" w:line="276" w:lineRule="auto"/>
      </w:pPr>
      <w:r>
        <w:rPr>
          <w:rFonts w:ascii="Calibri" w:hAnsi="Calibri"/>
          <w:b/>
          <w:color w:val="0F172A"/>
          <w:sz w:val="21"/>
        </w:rPr>
        <w:t xml:space="preserve">Key Empirical Findings: </w:t>
      </w:r>
      <w:r>
        <w:rPr>
          <w:rFonts w:ascii="Calibri" w:hAnsi="Calibri"/>
          <w:color w:val="1E293B"/>
          <w:sz w:val="21"/>
        </w:rPr>
        <w:t>RAG consistently outperforms unsupervised fine-tuning for factual knowledge injection. Fine-tuned models suffer from the 'Reversal Curse' (inability to infer A -&gt; B if trained on B -&gt; A).</w:t>
      </w:r>
    </w:p>
    <w:p>
      <w:pPr>
        <w:spacing w:after="120" w:line="276" w:lineRule="auto"/>
      </w:pPr>
      <w:r>
        <w:rPr>
          <w:rFonts w:ascii="Calibri" w:hAnsi="Calibri"/>
          <w:b/>
          <w:color w:val="0F172A"/>
          <w:sz w:val="21"/>
        </w:rPr>
        <w:t xml:space="preserve">Identified Research Gap: </w:t>
      </w:r>
      <w:r>
        <w:rPr>
          <w:rFonts w:ascii="Calibri" w:hAnsi="Calibri"/>
          <w:color w:val="1E293B"/>
          <w:sz w:val="21"/>
        </w:rPr>
        <w:t>Proves that fine-tuning alone is insufficient for changing factual knowledge, but does not explore how fine-tuning can be combined with RAG to teach structured reasoning over complex regulatory syntax.</w:t>
      </w:r>
    </w:p>
    <w:p>
      <w:pPr>
        <w:spacing w:after="120" w:line="276" w:lineRule="auto"/>
      </w:pPr>
      <w:r>
        <w:rPr>
          <w:rFonts w:ascii="Calibri" w:hAnsi="Calibri"/>
          <w:b/>
          <w:color w:val="0F172A"/>
          <w:sz w:val="21"/>
        </w:rPr>
        <w:t xml:space="preserve">FinReg-SLM Architectural Fix: </w:t>
      </w:r>
      <w:r>
        <w:rPr>
          <w:rFonts w:ascii="Calibri" w:hAnsi="Calibri"/>
          <w:color w:val="1E293B"/>
          <w:sz w:val="21"/>
        </w:rPr>
        <w:t>We implemented Two-Stage RAFT (Retrieval-Augmented Fine-Tuning) where the 7B model is trained on golden regulatory chunks mixed with distractor circulars, forcing explicit &lt;think&gt; CoT deduction.</w:t>
      </w:r>
    </w:p>
    <w:p>
      <w:pPr>
        <w:spacing w:after="120" w:line="276" w:lineRule="auto"/>
      </w:pPr>
      <w:r>
        <w:rPr>
          <w:rFonts w:ascii="Calibri" w:hAnsi="Calibri"/>
          <w:b/>
          <w:color w:val="0F172A"/>
          <w:sz w:val="21"/>
        </w:rPr>
        <w:t xml:space="preserve">Measured Empirical Impact: </w:t>
      </w:r>
      <w:r>
        <w:rPr>
          <w:rFonts w:ascii="Calibri" w:hAnsi="Calibri"/>
          <w:color w:val="1E293B"/>
          <w:sz w:val="21"/>
        </w:rPr>
        <w:t>Core Statutory Compliance (C1–C3) jumped from 62.3% to 94.43% on G7; IndiaFinBench Regulatory Interpretation scored 90.29%.</w:t>
      </w:r>
    </w:p>
    <w:p/>
    <w:p>
      <w:pPr>
        <w:keepNext/>
        <w:spacing w:before="240" w:after="120"/>
      </w:pPr>
      <w:r>
        <w:rPr>
          <w:rFonts w:ascii="Calibri" w:hAnsi="Calibri"/>
          <w:b/>
          <w:color w:val="1E3A8A"/>
          <w:sz w:val="28"/>
        </w:rPr>
        <w:t>Paper #2: RAFT: Adapting Language Model to Domain Specific RAG</w:t>
      </w:r>
    </w:p>
    <w:p>
      <w:pPr>
        <w:spacing w:after="120" w:line="276" w:lineRule="auto"/>
      </w:pPr>
      <w:r>
        <w:rPr>
          <w:rFonts w:ascii="Calibri" w:hAnsi="Calibri"/>
          <w:b/>
          <w:color w:val="0F172A"/>
          <w:sz w:val="21"/>
        </w:rPr>
        <w:t xml:space="preserve">Authors: </w:t>
      </w:r>
      <w:r>
        <w:rPr>
          <w:rFonts w:ascii="Calibri" w:hAnsi="Calibri"/>
          <w:color w:val="1E293B"/>
          <w:sz w:val="21"/>
        </w:rPr>
        <w:t>T. Zhang, S. G. Patil, N. Jain, S. Shen, M. Zaharia, I. Stoica, and J. E. Gonzalez</w:t>
      </w:r>
    </w:p>
    <w:p>
      <w:pPr>
        <w:spacing w:after="120" w:line="276" w:lineRule="auto"/>
      </w:pPr>
      <w:r>
        <w:rPr>
          <w:rFonts w:ascii="Calibri" w:hAnsi="Calibri"/>
          <w:b/>
          <w:color w:val="0F172A"/>
          <w:sz w:val="21"/>
        </w:rPr>
        <w:t xml:space="preserve">Publication Venue: </w:t>
      </w:r>
      <w:r>
        <w:rPr>
          <w:rFonts w:ascii="Calibri" w:hAnsi="Calibri"/>
          <w:color w:val="1E293B"/>
          <w:sz w:val="21"/>
        </w:rPr>
        <w:t>Conference on Language Modeling (COLM 2024), OpenReview: rzQGHXNReU (Peer-Reviewed Core AI Conference, 2024)</w:t>
      </w:r>
    </w:p>
    <w:p>
      <w:pPr>
        <w:spacing w:after="120" w:line="276" w:lineRule="auto"/>
      </w:pPr>
      <w:r>
        <w:rPr>
          <w:rFonts w:ascii="Calibri" w:hAnsi="Calibri"/>
          <w:b/>
          <w:color w:val="0F172A"/>
          <w:sz w:val="21"/>
        </w:rPr>
        <w:t xml:space="preserve">Experimental Methodology: </w:t>
      </w:r>
      <w:r>
        <w:rPr>
          <w:rFonts w:ascii="Calibri" w:hAnsi="Calibri"/>
          <w:color w:val="1E293B"/>
          <w:sz w:val="21"/>
        </w:rPr>
        <w:t>Formulated RAFT by training models to answer questions using golden documents surrounded by distractor documents, supervising step-by-step reasoning and verbatim citation extraction.</w:t>
      </w:r>
    </w:p>
    <w:p>
      <w:pPr>
        <w:spacing w:after="120" w:line="276" w:lineRule="auto"/>
      </w:pPr>
      <w:r>
        <w:rPr>
          <w:rFonts w:ascii="Calibri" w:hAnsi="Calibri"/>
          <w:b/>
          <w:color w:val="0F172A"/>
          <w:sz w:val="21"/>
        </w:rPr>
        <w:t xml:space="preserve">Key Empirical Findings: </w:t>
      </w:r>
      <w:r>
        <w:rPr>
          <w:rFonts w:ascii="Calibri" w:hAnsi="Calibri"/>
          <w:color w:val="1E293B"/>
          <w:sz w:val="21"/>
        </w:rPr>
        <w:t>RAFT trains the model to act as an open-book test taker: identifying the relevant passage, discarding irrelevant distractors, and citing source evidence verbatim.</w:t>
      </w:r>
    </w:p>
    <w:p>
      <w:pPr>
        <w:spacing w:after="120" w:line="276" w:lineRule="auto"/>
      </w:pPr>
      <w:r>
        <w:rPr>
          <w:rFonts w:ascii="Calibri" w:hAnsi="Calibri"/>
          <w:b/>
          <w:color w:val="0F172A"/>
          <w:sz w:val="21"/>
        </w:rPr>
        <w:t xml:space="preserve">Identified Research Gap: </w:t>
      </w:r>
      <w:r>
        <w:rPr>
          <w:rFonts w:ascii="Calibri" w:hAnsi="Calibri"/>
          <w:color w:val="1E293B"/>
          <w:sz w:val="21"/>
        </w:rPr>
        <w:t>Validated exclusively on PubMed, HotpotQA, and Gorilla API datasets; did not evaluate on multi-agency financial regulatory text where documents partially amend or contradict each other.</w:t>
      </w:r>
    </w:p>
    <w:p>
      <w:pPr>
        <w:spacing w:after="120" w:line="276" w:lineRule="auto"/>
      </w:pPr>
      <w:r>
        <w:rPr>
          <w:rFonts w:ascii="Calibri" w:hAnsi="Calibri"/>
          <w:b/>
          <w:color w:val="0F172A"/>
          <w:sz w:val="21"/>
        </w:rPr>
        <w:t xml:space="preserve">FinReg-SLM Architectural Fix: </w:t>
      </w:r>
      <w:r>
        <w:rPr>
          <w:rFonts w:ascii="Calibri" w:hAnsi="Calibri"/>
          <w:color w:val="1E293B"/>
          <w:sz w:val="21"/>
        </w:rPr>
        <w:t>Extended the RAFT paradigm to Indian financial regulations (SEBI &amp; RBI), generating 257 golden CoT traces containing multi-hop statutory deductions and distractor filtering.</w:t>
      </w:r>
    </w:p>
    <w:p>
      <w:pPr>
        <w:spacing w:after="120" w:line="276" w:lineRule="auto"/>
      </w:pPr>
      <w:r>
        <w:rPr>
          <w:rFonts w:ascii="Calibri" w:hAnsi="Calibri"/>
          <w:b/>
          <w:color w:val="0F172A"/>
          <w:sz w:val="21"/>
        </w:rPr>
        <w:t xml:space="preserve">Measured Empirical Impact: </w:t>
      </w:r>
      <w:r>
        <w:rPr>
          <w:rFonts w:ascii="Calibri" w:hAnsi="Calibri"/>
          <w:color w:val="1E293B"/>
          <w:sz w:val="21"/>
        </w:rPr>
        <w:t>Multi-Hop Regulatory Synthesis (C2) improved by +40.44% (from 54.0% to 94.44% on G7).</w:t>
      </w:r>
    </w:p>
    <w:p/>
    <w:p>
      <w:pPr>
        <w:keepNext/>
        <w:spacing w:before="240" w:after="120"/>
      </w:pPr>
      <w:r>
        <w:rPr>
          <w:rFonts w:ascii="Calibri" w:hAnsi="Calibri"/>
          <w:b/>
          <w:color w:val="1E3A8A"/>
          <w:sz w:val="28"/>
        </w:rPr>
        <w:t>Paper #3: Hallucination-Free? Assessing the Reliability of Leading AI Legal Research Tools</w:t>
      </w:r>
    </w:p>
    <w:p>
      <w:pPr>
        <w:spacing w:after="120" w:line="276" w:lineRule="auto"/>
      </w:pPr>
      <w:r>
        <w:rPr>
          <w:rFonts w:ascii="Calibri" w:hAnsi="Calibri"/>
          <w:b/>
          <w:color w:val="0F172A"/>
          <w:sz w:val="21"/>
        </w:rPr>
        <w:t xml:space="preserve">Authors: </w:t>
      </w:r>
      <w:r>
        <w:rPr>
          <w:rFonts w:ascii="Calibri" w:hAnsi="Calibri"/>
          <w:color w:val="1E293B"/>
          <w:sz w:val="21"/>
        </w:rPr>
        <w:t>V. Magesh, F. Surani, M. Dahl, M. Suzgun, C. D. Manning, and D. E. Ho</w:t>
      </w:r>
    </w:p>
    <w:p>
      <w:pPr>
        <w:spacing w:after="120" w:line="276" w:lineRule="auto"/>
      </w:pPr>
      <w:r>
        <w:rPr>
          <w:rFonts w:ascii="Calibri" w:hAnsi="Calibri"/>
          <w:b/>
          <w:color w:val="0F172A"/>
          <w:sz w:val="21"/>
        </w:rPr>
        <w:t xml:space="preserve">Publication Venue: </w:t>
      </w:r>
      <w:r>
        <w:rPr>
          <w:rFonts w:ascii="Calibri" w:hAnsi="Calibri"/>
          <w:color w:val="1E293B"/>
          <w:sz w:val="21"/>
        </w:rPr>
        <w:t>Journal of Empirical Legal Studies, vol. 22, pp. 216–242 (Wiley / Scopus Q1, 2025)</w:t>
      </w:r>
    </w:p>
    <w:p>
      <w:pPr>
        <w:spacing w:after="120" w:line="276" w:lineRule="auto"/>
      </w:pPr>
      <w:r>
        <w:rPr>
          <w:rFonts w:ascii="Calibri" w:hAnsi="Calibri"/>
          <w:b/>
          <w:color w:val="0F172A"/>
          <w:sz w:val="21"/>
        </w:rPr>
        <w:t xml:space="preserve">Experimental Methodology: </w:t>
      </w:r>
      <w:r>
        <w:rPr>
          <w:rFonts w:ascii="Calibri" w:hAnsi="Calibri"/>
          <w:color w:val="1E293B"/>
          <w:sz w:val="21"/>
        </w:rPr>
        <w:t>Conducted the first pre-registered empirical benchmark auditing leading commercial legal AI tools (Lexis+ AI, Westlaw AI-Assisted Research, Ask Practical Law AI) across 200+ complex legal inquiries.</w:t>
      </w:r>
    </w:p>
    <w:p>
      <w:pPr>
        <w:spacing w:after="120" w:line="276" w:lineRule="auto"/>
      </w:pPr>
      <w:r>
        <w:rPr>
          <w:rFonts w:ascii="Calibri" w:hAnsi="Calibri"/>
          <w:b/>
          <w:color w:val="0F172A"/>
          <w:sz w:val="21"/>
        </w:rPr>
        <w:t xml:space="preserve">Key Empirical Findings: </w:t>
      </w:r>
      <w:r>
        <w:rPr>
          <w:rFonts w:ascii="Calibri" w:hAnsi="Calibri"/>
          <w:color w:val="1E293B"/>
          <w:sz w:val="21"/>
        </w:rPr>
        <w:t>Hallucination rates ranged from 17% to 33% despite retrieval grounding. Models frequently hallucinated case citations, misquoted statutory provisions, and exhibited strong sycophancy on false premises.</w:t>
      </w:r>
    </w:p>
    <w:p>
      <w:pPr>
        <w:spacing w:after="120" w:line="276" w:lineRule="auto"/>
      </w:pPr>
      <w:r>
        <w:rPr>
          <w:rFonts w:ascii="Calibri" w:hAnsi="Calibri"/>
          <w:b/>
          <w:color w:val="0F172A"/>
          <w:sz w:val="21"/>
        </w:rPr>
        <w:t xml:space="preserve">Identified Research Gap: </w:t>
      </w:r>
      <w:r>
        <w:rPr>
          <w:rFonts w:ascii="Calibri" w:hAnsi="Calibri"/>
          <w:color w:val="1E293B"/>
          <w:sz w:val="21"/>
        </w:rPr>
        <w:t>Audited closed commercial tools without providing an open-weights architectural fix for hallucination and sycophancy in statutory compliance.</w:t>
      </w:r>
    </w:p>
    <w:p>
      <w:pPr>
        <w:spacing w:after="120" w:line="276" w:lineRule="auto"/>
      </w:pPr>
      <w:r>
        <w:rPr>
          <w:rFonts w:ascii="Calibri" w:hAnsi="Calibri"/>
          <w:b/>
          <w:color w:val="0F172A"/>
          <w:sz w:val="21"/>
        </w:rPr>
        <w:t xml:space="preserve">FinReg-SLM Architectural Fix: </w:t>
      </w:r>
      <w:r>
        <w:rPr>
          <w:rFonts w:ascii="Calibri" w:hAnsi="Calibri"/>
          <w:color w:val="1E293B"/>
          <w:sz w:val="21"/>
        </w:rPr>
        <w:t>Introduced automated verbatim citation verification and Stage 2 DPO preference loss, penalizing ungrounded circular citations and rewarding explicit epistemic abstention.</w:t>
      </w:r>
    </w:p>
    <w:p>
      <w:pPr>
        <w:spacing w:after="120" w:line="276" w:lineRule="auto"/>
      </w:pPr>
      <w:r>
        <w:rPr>
          <w:rFonts w:ascii="Calibri" w:hAnsi="Calibri"/>
          <w:b/>
          <w:color w:val="0F172A"/>
          <w:sz w:val="21"/>
        </w:rPr>
        <w:t xml:space="preserve">Measured Empirical Impact: </w:t>
      </w:r>
      <w:r>
        <w:rPr>
          <w:rFonts w:ascii="Calibri" w:hAnsi="Calibri"/>
          <w:color w:val="1E293B"/>
          <w:sz w:val="21"/>
        </w:rPr>
        <w:t>Citation Grounding increased from 51.6% to 99.17%; phantom citation rate was reduced to 0.0%.</w:t>
      </w:r>
    </w:p>
    <w:p/>
    <w:p>
      <w:pPr>
        <w:keepNext/>
        <w:spacing w:before="240" w:after="120"/>
      </w:pPr>
      <w:r>
        <w:rPr>
          <w:rFonts w:ascii="Calibri" w:hAnsi="Calibri"/>
          <w:b/>
          <w:color w:val="1E3A8A"/>
          <w:sz w:val="28"/>
        </w:rPr>
        <w:t>Paper #4: Fine-Tuning Small Language Models for Industrial Retrieval-Augmented Generation: Efficiency, Factuality, and Hallucination Analysis</w:t>
      </w:r>
    </w:p>
    <w:p>
      <w:pPr>
        <w:spacing w:after="120" w:line="276" w:lineRule="auto"/>
      </w:pPr>
      <w:r>
        <w:rPr>
          <w:rFonts w:ascii="Calibri" w:hAnsi="Calibri"/>
          <w:b/>
          <w:color w:val="0F172A"/>
          <w:sz w:val="21"/>
        </w:rPr>
        <w:t xml:space="preserve">Authors: </w:t>
      </w:r>
      <w:r>
        <w:rPr>
          <w:rFonts w:ascii="Calibri" w:hAnsi="Calibri"/>
          <w:color w:val="1E293B"/>
          <w:sz w:val="21"/>
        </w:rPr>
        <w:t>K.-C. Pai and W.-C. Hsu</w:t>
      </w:r>
    </w:p>
    <w:p>
      <w:pPr>
        <w:spacing w:after="120" w:line="276" w:lineRule="auto"/>
      </w:pPr>
      <w:r>
        <w:rPr>
          <w:rFonts w:ascii="Calibri" w:hAnsi="Calibri"/>
          <w:b/>
          <w:color w:val="0F172A"/>
          <w:sz w:val="21"/>
        </w:rPr>
        <w:t xml:space="preserve">Publication Venue: </w:t>
      </w:r>
      <w:r>
        <w:rPr>
          <w:rFonts w:ascii="Calibri" w:hAnsi="Calibri"/>
          <w:color w:val="1E293B"/>
          <w:sz w:val="21"/>
        </w:rPr>
        <w:t>Computer Standards &amp; Interfaces, vol. 98, Article 104163 (Elsevier / Scopus Q1, 2026)</w:t>
      </w:r>
    </w:p>
    <w:p>
      <w:pPr>
        <w:spacing w:after="120" w:line="276" w:lineRule="auto"/>
      </w:pPr>
      <w:r>
        <w:rPr>
          <w:rFonts w:ascii="Calibri" w:hAnsi="Calibri"/>
          <w:b/>
          <w:color w:val="0F172A"/>
          <w:sz w:val="21"/>
        </w:rPr>
        <w:t xml:space="preserve">Experimental Methodology: </w:t>
      </w:r>
      <w:r>
        <w:rPr>
          <w:rFonts w:ascii="Calibri" w:hAnsi="Calibri"/>
          <w:color w:val="1E293B"/>
          <w:sz w:val="21"/>
        </w:rPr>
        <w:t>Fine-tuned small LLMs (1.5B–8B parameters) with QLoRA on industrial RAG logs and developed a 5-category regulatory hallucination taxonomy validated against 154 human-evaluated samples.</w:t>
      </w:r>
    </w:p>
    <w:p>
      <w:pPr>
        <w:spacing w:after="120" w:line="276" w:lineRule="auto"/>
      </w:pPr>
      <w:r>
        <w:rPr>
          <w:rFonts w:ascii="Calibri" w:hAnsi="Calibri"/>
          <w:b/>
          <w:color w:val="0F172A"/>
          <w:sz w:val="21"/>
        </w:rPr>
        <w:t xml:space="preserve">Key Empirical Findings: </w:t>
      </w:r>
      <w:r>
        <w:rPr>
          <w:rFonts w:ascii="Calibri" w:hAnsi="Calibri"/>
          <w:color w:val="1E293B"/>
          <w:sz w:val="21"/>
        </w:rPr>
        <w:t>Factual correctness on internal regulatory documents (mean 0.488) is substantially harder than customer-service RAG (mean 0.661). Small models require targeted negative supervision to prevent fabrication.</w:t>
      </w:r>
    </w:p>
    <w:p>
      <w:pPr>
        <w:spacing w:after="120" w:line="276" w:lineRule="auto"/>
      </w:pPr>
      <w:r>
        <w:rPr>
          <w:rFonts w:ascii="Calibri" w:hAnsi="Calibri"/>
          <w:b/>
          <w:color w:val="0F172A"/>
          <w:sz w:val="21"/>
        </w:rPr>
        <w:t xml:space="preserve">Identified Research Gap: </w:t>
      </w:r>
      <w:r>
        <w:rPr>
          <w:rFonts w:ascii="Calibri" w:hAnsi="Calibri"/>
          <w:color w:val="1E293B"/>
          <w:sz w:val="21"/>
        </w:rPr>
        <w:t>Analyzed industrial corporate guidelines without addressing statutory versioning, legislative amendments, or multi-agency regulatory overlaps.</w:t>
      </w:r>
    </w:p>
    <w:p>
      <w:pPr>
        <w:spacing w:after="120" w:line="276" w:lineRule="auto"/>
      </w:pPr>
      <w:r>
        <w:rPr>
          <w:rFonts w:ascii="Calibri" w:hAnsi="Calibri"/>
          <w:b/>
          <w:color w:val="0F172A"/>
          <w:sz w:val="21"/>
        </w:rPr>
        <w:t xml:space="preserve">FinReg-SLM Architectural Fix: </w:t>
      </w:r>
      <w:r>
        <w:rPr>
          <w:rFonts w:ascii="Calibri" w:hAnsi="Calibri"/>
          <w:color w:val="1E293B"/>
          <w:sz w:val="21"/>
        </w:rPr>
        <w:t>Utilized 4-bit QLoRA on DeepSeek-R1-7B with a 6-category failure taxonomy (C1–C6), specifically training for cross-regulatory overlaps and numeric threshold compliance.</w:t>
      </w:r>
    </w:p>
    <w:p>
      <w:pPr>
        <w:spacing w:after="120" w:line="276" w:lineRule="auto"/>
      </w:pPr>
      <w:r>
        <w:rPr>
          <w:rFonts w:ascii="Calibri" w:hAnsi="Calibri"/>
          <w:b/>
          <w:color w:val="0F172A"/>
          <w:sz w:val="21"/>
        </w:rPr>
        <w:t xml:space="preserve">Measured Empirical Impact: </w:t>
      </w:r>
      <w:r>
        <w:rPr>
          <w:rFonts w:ascii="Calibri" w:hAnsi="Calibri"/>
          <w:color w:val="1E293B"/>
          <w:sz w:val="21"/>
        </w:rPr>
        <w:t>Cross-Regulatory Overlap (C3) achieved 96.67% compliance; 100.0% structural protocol conformance.</w:t>
      </w:r>
    </w:p>
    <w:p/>
    <w:p>
      <w:pPr>
        <w:keepNext/>
        <w:spacing w:before="240" w:after="120"/>
      </w:pPr>
      <w:r>
        <w:rPr>
          <w:rFonts w:ascii="Calibri" w:hAnsi="Calibri"/>
          <w:b/>
          <w:color w:val="1E3A8A"/>
          <w:sz w:val="28"/>
        </w:rPr>
        <w:t>Paper #5: Detecting Jurisdiction Compliance Gaps in Process Plant Engineering with Regulatory RAG</w:t>
      </w:r>
    </w:p>
    <w:p>
      <w:pPr>
        <w:spacing w:after="120" w:line="276" w:lineRule="auto"/>
      </w:pPr>
      <w:r>
        <w:rPr>
          <w:rFonts w:ascii="Calibri" w:hAnsi="Calibri"/>
          <w:b/>
          <w:color w:val="0F172A"/>
          <w:sz w:val="21"/>
        </w:rPr>
        <w:t xml:space="preserve">Authors: </w:t>
      </w:r>
      <w:r>
        <w:rPr>
          <w:rFonts w:ascii="Calibri" w:hAnsi="Calibri"/>
          <w:color w:val="1E293B"/>
          <w:sz w:val="21"/>
        </w:rPr>
        <w:t>Y. Kim</w:t>
      </w:r>
    </w:p>
    <w:p>
      <w:pPr>
        <w:spacing w:after="120" w:line="276" w:lineRule="auto"/>
      </w:pPr>
      <w:r>
        <w:rPr>
          <w:rFonts w:ascii="Calibri" w:hAnsi="Calibri"/>
          <w:b/>
          <w:color w:val="0F172A"/>
          <w:sz w:val="21"/>
        </w:rPr>
        <w:t xml:space="preserve">Publication Venue: </w:t>
      </w:r>
      <w:r>
        <w:rPr>
          <w:rFonts w:ascii="Calibri" w:hAnsi="Calibri"/>
          <w:color w:val="1E293B"/>
          <w:sz w:val="21"/>
        </w:rPr>
        <w:t>Journal of Loss Prevention in the Process Industries, vol. 103, Article 106100 (Elsevier / Scopus Q1, 2026)</w:t>
      </w:r>
    </w:p>
    <w:p>
      <w:pPr>
        <w:spacing w:after="120" w:line="276" w:lineRule="auto"/>
      </w:pPr>
      <w:r>
        <w:rPr>
          <w:rFonts w:ascii="Calibri" w:hAnsi="Calibri"/>
          <w:b/>
          <w:color w:val="0F172A"/>
          <w:sz w:val="21"/>
        </w:rPr>
        <w:t xml:space="preserve">Experimental Methodology: </w:t>
      </w:r>
      <w:r>
        <w:rPr>
          <w:rFonts w:ascii="Calibri" w:hAnsi="Calibri"/>
          <w:color w:val="1E293B"/>
          <w:sz w:val="21"/>
        </w:rPr>
        <w:t>Indexed 1,327 statutory documents in a local SQLite FTS5 database and deployed a localized small model (Qwen-4B) via Ollama to detect compliance violations against local safety regulations.</w:t>
      </w:r>
    </w:p>
    <w:p>
      <w:pPr>
        <w:spacing w:after="120" w:line="276" w:lineRule="auto"/>
      </w:pPr>
      <w:r>
        <w:rPr>
          <w:rFonts w:ascii="Calibri" w:hAnsi="Calibri"/>
          <w:b/>
          <w:color w:val="0F172A"/>
          <w:sz w:val="21"/>
        </w:rPr>
        <w:t xml:space="preserve">Key Empirical Findings: </w:t>
      </w:r>
      <w:r>
        <w:rPr>
          <w:rFonts w:ascii="Calibri" w:hAnsi="Calibri"/>
          <w:color w:val="1E293B"/>
          <w:sz w:val="21"/>
        </w:rPr>
        <w:t>Localized, on-premises SLM RAG increased detection of jurisdiction-specific compliance violations from 0/60 to 26/60 compared to generic international baselines.</w:t>
      </w:r>
    </w:p>
    <w:p>
      <w:pPr>
        <w:spacing w:after="120" w:line="276" w:lineRule="auto"/>
      </w:pPr>
      <w:r>
        <w:rPr>
          <w:rFonts w:ascii="Calibri" w:hAnsi="Calibri"/>
          <w:b/>
          <w:color w:val="0F172A"/>
          <w:sz w:val="21"/>
        </w:rPr>
        <w:t xml:space="preserve">Identified Research Gap: </w:t>
      </w:r>
      <w:r>
        <w:rPr>
          <w:rFonts w:ascii="Calibri" w:hAnsi="Calibri"/>
          <w:color w:val="1E293B"/>
          <w:sz w:val="21"/>
        </w:rPr>
        <w:t>Focused on single-regulator industrial engineering norms without addressing temporal amendment tracking or epistemic refusal.</w:t>
      </w:r>
    </w:p>
    <w:p>
      <w:pPr>
        <w:spacing w:after="120" w:line="276" w:lineRule="auto"/>
      </w:pPr>
      <w:r>
        <w:rPr>
          <w:rFonts w:ascii="Calibri" w:hAnsi="Calibri"/>
          <w:b/>
          <w:color w:val="0F172A"/>
          <w:sz w:val="21"/>
        </w:rPr>
        <w:t xml:space="preserve">FinReg-SLM Architectural Fix: </w:t>
      </w:r>
      <w:r>
        <w:rPr>
          <w:rFonts w:ascii="Calibri" w:hAnsi="Calibri"/>
          <w:color w:val="1E293B"/>
          <w:sz w:val="21"/>
        </w:rPr>
        <w:t>Built a multi-agency SQLite WAL index of 18,242 Indian regulatory circulars with `effective_date` metadata filtering and reciprocal rank fusion ($k=60$).</w:t>
      </w:r>
    </w:p>
    <w:p>
      <w:pPr>
        <w:spacing w:after="120" w:line="276" w:lineRule="auto"/>
      </w:pPr>
      <w:r>
        <w:rPr>
          <w:rFonts w:ascii="Calibri" w:hAnsi="Calibri"/>
          <w:b/>
          <w:color w:val="0F172A"/>
          <w:sz w:val="21"/>
        </w:rPr>
        <w:t xml:space="preserve">Measured Empirical Impact: </w:t>
      </w:r>
      <w:r>
        <w:rPr>
          <w:rFonts w:ascii="Calibri" w:hAnsi="Calibri"/>
          <w:color w:val="1E293B"/>
          <w:sz w:val="21"/>
        </w:rPr>
        <w:t>Contradiction Detection on IndiaFinBench achieved 79.00%; Temporal Reasoning achieved 75.78%.</w:t>
      </w:r>
    </w:p>
    <w:p/>
    <w:p>
      <w:pPr>
        <w:keepNext/>
        <w:spacing w:before="240" w:after="120"/>
      </w:pPr>
      <w:r>
        <w:rPr>
          <w:rFonts w:ascii="Calibri" w:hAnsi="Calibri"/>
          <w:b/>
          <w:color w:val="1E3A8A"/>
          <w:sz w:val="28"/>
        </w:rPr>
        <w:t>Paper #6: Direct Preference Optimization: Your Language Model Is Secretly a Reward Model</w:t>
      </w:r>
    </w:p>
    <w:p>
      <w:pPr>
        <w:spacing w:after="120" w:line="276" w:lineRule="auto"/>
      </w:pPr>
      <w:r>
        <w:rPr>
          <w:rFonts w:ascii="Calibri" w:hAnsi="Calibri"/>
          <w:b/>
          <w:color w:val="0F172A"/>
          <w:sz w:val="21"/>
        </w:rPr>
        <w:t xml:space="preserve">Authors: </w:t>
      </w:r>
      <w:r>
        <w:rPr>
          <w:rFonts w:ascii="Calibri" w:hAnsi="Calibri"/>
          <w:color w:val="1E293B"/>
          <w:sz w:val="21"/>
        </w:rPr>
        <w:t>R. Rafailov, A. Sharma, E. Mitchell, S. Ermon, C. D. Manning, and C. Finn</w:t>
      </w:r>
    </w:p>
    <w:p>
      <w:pPr>
        <w:spacing w:after="120" w:line="276" w:lineRule="auto"/>
      </w:pPr>
      <w:r>
        <w:rPr>
          <w:rFonts w:ascii="Calibri" w:hAnsi="Calibri"/>
          <w:b/>
          <w:color w:val="0F172A"/>
          <w:sz w:val="21"/>
        </w:rPr>
        <w:t xml:space="preserve">Publication Venue: </w:t>
      </w:r>
      <w:r>
        <w:rPr>
          <w:rFonts w:ascii="Calibri" w:hAnsi="Calibri"/>
          <w:color w:val="1E293B"/>
          <w:sz w:val="21"/>
        </w:rPr>
        <w:t>Advances in Neural Information Processing Systems (NeurIPS 2023), vol. 36, pp. 53728–53741 (NeurIPS / Scopus Indexed, 2023)</w:t>
      </w:r>
    </w:p>
    <w:p>
      <w:pPr>
        <w:spacing w:after="120" w:line="276" w:lineRule="auto"/>
      </w:pPr>
      <w:r>
        <w:rPr>
          <w:rFonts w:ascii="Calibri" w:hAnsi="Calibri"/>
          <w:b/>
          <w:color w:val="0F172A"/>
          <w:sz w:val="21"/>
        </w:rPr>
        <w:t xml:space="preserve">Experimental Methodology: </w:t>
      </w:r>
      <w:r>
        <w:rPr>
          <w:rFonts w:ascii="Calibri" w:hAnsi="Calibri"/>
          <w:color w:val="1E293B"/>
          <w:sz w:val="21"/>
        </w:rPr>
        <w:t>Derived an exact closed-form solution to the constrained RLHF problem, optimizing policy parameters directly on pairwise preference data $(x, y_w, y_l)$ using binary cross-entropy loss without training a separate reward model.</w:t>
      </w:r>
    </w:p>
    <w:p>
      <w:pPr>
        <w:spacing w:after="120" w:line="276" w:lineRule="auto"/>
      </w:pPr>
      <w:r>
        <w:rPr>
          <w:rFonts w:ascii="Calibri" w:hAnsi="Calibri"/>
          <w:b/>
          <w:color w:val="0F172A"/>
          <w:sz w:val="21"/>
        </w:rPr>
        <w:t xml:space="preserve">Key Empirical Findings: </w:t>
      </w:r>
      <w:r>
        <w:rPr>
          <w:rFonts w:ascii="Calibri" w:hAnsi="Calibri"/>
          <w:color w:val="1E293B"/>
          <w:sz w:val="21"/>
        </w:rPr>
        <w:t>DPO achieves superior or equivalent alignment to PPO while being computationally stable, memory-efficient, and free from reinforcement learning hyperparameter collapse.</w:t>
      </w:r>
    </w:p>
    <w:p>
      <w:pPr>
        <w:spacing w:after="120" w:line="276" w:lineRule="auto"/>
      </w:pPr>
      <w:r>
        <w:rPr>
          <w:rFonts w:ascii="Calibri" w:hAnsi="Calibri"/>
          <w:b/>
          <w:color w:val="0F172A"/>
          <w:sz w:val="21"/>
        </w:rPr>
        <w:t xml:space="preserve">Identified Research Gap: </w:t>
      </w:r>
      <w:r>
        <w:rPr>
          <w:rFonts w:ascii="Calibri" w:hAnsi="Calibri"/>
          <w:color w:val="1E293B"/>
          <w:sz w:val="21"/>
        </w:rPr>
        <w:t>General-domain preference alignment focuses on helpfulness and harmlessness, leaving legal precision, statutory citation grounding, and epistemic refusal unaddressed.</w:t>
      </w:r>
    </w:p>
    <w:p>
      <w:pPr>
        <w:spacing w:after="120" w:line="276" w:lineRule="auto"/>
      </w:pPr>
      <w:r>
        <w:rPr>
          <w:rFonts w:ascii="Calibri" w:hAnsi="Calibri"/>
          <w:b/>
          <w:color w:val="0F172A"/>
          <w:sz w:val="21"/>
        </w:rPr>
        <w:t xml:space="preserve">FinReg-SLM Architectural Fix: </w:t>
      </w:r>
      <w:r>
        <w:rPr>
          <w:rFonts w:ascii="Calibri" w:hAnsi="Calibri"/>
          <w:color w:val="1E293B"/>
          <w:sz w:val="21"/>
        </w:rPr>
        <w:t>Constructed 257 domain-specific DPO preference pairs containing subtle legal hallucination traps, sycophancy counters, and out-of-scope refusal targets.</w:t>
      </w:r>
    </w:p>
    <w:p>
      <w:pPr>
        <w:spacing w:after="120" w:line="276" w:lineRule="auto"/>
      </w:pPr>
      <w:r>
        <w:rPr>
          <w:rFonts w:ascii="Calibri" w:hAnsi="Calibri"/>
          <w:b/>
          <w:color w:val="0F172A"/>
          <w:sz w:val="21"/>
        </w:rPr>
        <w:t xml:space="preserve">Measured Empirical Impact: </w:t>
      </w:r>
      <w:r>
        <w:rPr>
          <w:rFonts w:ascii="Calibri" w:hAnsi="Calibri"/>
          <w:color w:val="1E293B"/>
          <w:sz w:val="21"/>
        </w:rPr>
        <w:t>Epistemic Abstention Quality (C5) increased from 0.0% to 82.50%; False Premise Rejection (C6) increased from 0.0% to 58.00%.</w:t>
      </w:r>
    </w:p>
    <w:p/>
    <w:p>
      <w:pPr>
        <w:keepNext/>
        <w:spacing w:before="240" w:after="120"/>
      </w:pPr>
      <w:r>
        <w:rPr>
          <w:rFonts w:ascii="Calibri" w:hAnsi="Calibri"/>
          <w:b/>
          <w:color w:val="1E3A8A"/>
          <w:sz w:val="28"/>
        </w:rPr>
        <w:t>Paper #7: LoRA Learns Less and Forgets Less / Catastrophic Forgetting in LLMs</w:t>
      </w:r>
    </w:p>
    <w:p>
      <w:pPr>
        <w:spacing w:after="120" w:line="276" w:lineRule="auto"/>
      </w:pPr>
      <w:r>
        <w:rPr>
          <w:rFonts w:ascii="Calibri" w:hAnsi="Calibri"/>
          <w:b/>
          <w:color w:val="0F172A"/>
          <w:sz w:val="21"/>
        </w:rPr>
        <w:t xml:space="preserve">Authors: </w:t>
      </w:r>
      <w:r>
        <w:rPr>
          <w:rFonts w:ascii="Calibri" w:hAnsi="Calibri"/>
          <w:color w:val="1E293B"/>
          <w:sz w:val="21"/>
        </w:rPr>
        <w:t>D. Biderman et al. (TMLR 2024) / Y. Luo et al. (EMNLP 2023)</w:t>
      </w:r>
    </w:p>
    <w:p>
      <w:pPr>
        <w:spacing w:after="120" w:line="276" w:lineRule="auto"/>
      </w:pPr>
      <w:r>
        <w:rPr>
          <w:rFonts w:ascii="Calibri" w:hAnsi="Calibri"/>
          <w:b/>
          <w:color w:val="0F172A"/>
          <w:sz w:val="21"/>
        </w:rPr>
        <w:t xml:space="preserve">Publication Venue: </w:t>
      </w:r>
      <w:r>
        <w:rPr>
          <w:rFonts w:ascii="Calibri" w:hAnsi="Calibri"/>
          <w:color w:val="1E293B"/>
          <w:sz w:val="21"/>
        </w:rPr>
        <w:t>Transactions on Machine Learning Research (TMLR 2024) / EMNLP 2023, pp. 8934–8947 (TMLR / EMNLP Main Conference, 2023-2024)</w:t>
      </w:r>
    </w:p>
    <w:p>
      <w:pPr>
        <w:spacing w:after="120" w:line="276" w:lineRule="auto"/>
      </w:pPr>
      <w:r>
        <w:rPr>
          <w:rFonts w:ascii="Calibri" w:hAnsi="Calibri"/>
          <w:b/>
          <w:color w:val="0F172A"/>
          <w:sz w:val="21"/>
        </w:rPr>
        <w:t xml:space="preserve">Experimental Methodology: </w:t>
      </w:r>
      <w:r>
        <w:rPr>
          <w:rFonts w:ascii="Calibri" w:hAnsi="Calibri"/>
          <w:color w:val="1E293B"/>
          <w:sz w:val="21"/>
        </w:rPr>
        <w:t>Audited catastrophic forgetting across 1B–7B models under full-parameter fine-tuning vs. parameter-efficient fine-tuning (LoRA).</w:t>
      </w:r>
    </w:p>
    <w:p>
      <w:pPr>
        <w:spacing w:after="120" w:line="276" w:lineRule="auto"/>
      </w:pPr>
      <w:r>
        <w:rPr>
          <w:rFonts w:ascii="Calibri" w:hAnsi="Calibri"/>
          <w:b/>
          <w:color w:val="0F172A"/>
          <w:sz w:val="21"/>
        </w:rPr>
        <w:t xml:space="preserve">Key Empirical Findings: </w:t>
      </w:r>
      <w:r>
        <w:rPr>
          <w:rFonts w:ascii="Calibri" w:hAnsi="Calibri"/>
          <w:color w:val="1E293B"/>
          <w:sz w:val="21"/>
        </w:rPr>
        <w:t>Full fine-tuning significantly degrades out-of-domain reasoning and instruction following. LoRA exhibits a Pareto-optimal trade-off: preserving base capabilities while adapting domain representations.</w:t>
      </w:r>
    </w:p>
    <w:p>
      <w:pPr>
        <w:spacing w:after="120" w:line="276" w:lineRule="auto"/>
      </w:pPr>
      <w:r>
        <w:rPr>
          <w:rFonts w:ascii="Calibri" w:hAnsi="Calibri"/>
          <w:b/>
          <w:color w:val="0F172A"/>
          <w:sz w:val="21"/>
        </w:rPr>
        <w:t xml:space="preserve">Identified Research Gap: </w:t>
      </w:r>
      <w:r>
        <w:rPr>
          <w:rFonts w:ascii="Calibri" w:hAnsi="Calibri"/>
          <w:color w:val="1E293B"/>
          <w:sz w:val="21"/>
        </w:rPr>
        <w:t>Identified the forgetting trade-off but did not optimize LoRA rank and target module selection for dual CoT reasoning and strict ChatML token supervision in legal compliance.</w:t>
      </w:r>
    </w:p>
    <w:p>
      <w:pPr>
        <w:spacing w:after="120" w:line="276" w:lineRule="auto"/>
      </w:pPr>
      <w:r>
        <w:rPr>
          <w:rFonts w:ascii="Calibri" w:hAnsi="Calibri"/>
          <w:b/>
          <w:color w:val="0F172A"/>
          <w:sz w:val="21"/>
        </w:rPr>
        <w:t xml:space="preserve">FinReg-SLM Architectural Fix: </w:t>
      </w:r>
      <w:r>
        <w:rPr>
          <w:rFonts w:ascii="Calibri" w:hAnsi="Calibri"/>
          <w:color w:val="1E293B"/>
          <w:sz w:val="21"/>
        </w:rPr>
        <w:t>Configured all-linear QLoRA (Rank 64, Alpha 128) across all 7 projection matrices (`q_proj`, `k_proj`, `v_proj`, `o_proj`, `gate_proj`, `up_proj`, `down_proj`) in 4-bit NF4.</w:t>
      </w:r>
    </w:p>
    <w:p>
      <w:pPr>
        <w:spacing w:after="120" w:line="276" w:lineRule="auto"/>
      </w:pPr>
      <w:r>
        <w:rPr>
          <w:rFonts w:ascii="Calibri" w:hAnsi="Calibri"/>
          <w:b/>
          <w:color w:val="0F172A"/>
          <w:sz w:val="21"/>
        </w:rPr>
        <w:t xml:space="preserve">Measured Empirical Impact: </w:t>
      </w:r>
      <w:r>
        <w:rPr>
          <w:rFonts w:ascii="Calibri" w:hAnsi="Calibri"/>
          <w:color w:val="1E293B"/>
          <w:sz w:val="21"/>
        </w:rPr>
        <w:t>Maintained 100.0% structural protocol conformance and zero ChatML tag degradation on 8GB consumer GPU.</w:t>
      </w:r>
    </w:p>
    <w:p/>
    <w:p>
      <w:pPr>
        <w:keepNext/>
        <w:spacing w:before="240" w:after="120"/>
      </w:pPr>
      <w:r>
        <w:rPr>
          <w:rFonts w:ascii="Calibri" w:hAnsi="Calibri"/>
          <w:b/>
          <w:color w:val="1E3A8A"/>
          <w:sz w:val="28"/>
        </w:rPr>
        <w:t>Paper #8: IndiaFinBench: An Evaluation Benchmark for Large Language Model Performance on Indian Financial Regulatory Text</w:t>
      </w:r>
    </w:p>
    <w:p>
      <w:pPr>
        <w:spacing w:after="120" w:line="276" w:lineRule="auto"/>
      </w:pPr>
      <w:r>
        <w:rPr>
          <w:rFonts w:ascii="Calibri" w:hAnsi="Calibri"/>
          <w:b/>
          <w:color w:val="0F172A"/>
          <w:sz w:val="21"/>
        </w:rPr>
        <w:t xml:space="preserve">Authors: </w:t>
      </w:r>
      <w:r>
        <w:rPr>
          <w:rFonts w:ascii="Calibri" w:hAnsi="Calibri"/>
          <w:color w:val="1E293B"/>
          <w:sz w:val="21"/>
        </w:rPr>
        <w:t>Rajveer Singh Pall</w:t>
      </w:r>
    </w:p>
    <w:p>
      <w:pPr>
        <w:spacing w:after="120" w:line="276" w:lineRule="auto"/>
      </w:pPr>
      <w:r>
        <w:rPr>
          <w:rFonts w:ascii="Calibri" w:hAnsi="Calibri"/>
          <w:b/>
          <w:color w:val="0F172A"/>
          <w:sz w:val="21"/>
        </w:rPr>
        <w:t xml:space="preserve">Publication Venue: </w:t>
      </w:r>
      <w:r>
        <w:rPr>
          <w:rFonts w:ascii="Calibri" w:hAnsi="Calibri"/>
          <w:color w:val="1E293B"/>
          <w:sz w:val="21"/>
        </w:rPr>
        <w:t>arXiv preprint arXiv:2604.19298, Repository: Rajveer-code/IndiaFinBench (First Standardized Indian Financial NLP Benchmark, 2026)</w:t>
      </w:r>
    </w:p>
    <w:p>
      <w:pPr>
        <w:spacing w:after="120" w:line="276" w:lineRule="auto"/>
      </w:pPr>
      <w:r>
        <w:rPr>
          <w:rFonts w:ascii="Calibri" w:hAnsi="Calibri"/>
          <w:b/>
          <w:color w:val="0F172A"/>
          <w:sz w:val="21"/>
        </w:rPr>
        <w:t xml:space="preserve">Experimental Methodology: </w:t>
      </w:r>
      <w:r>
        <w:rPr>
          <w:rFonts w:ascii="Calibri" w:hAnsi="Calibri"/>
          <w:color w:val="1E293B"/>
          <w:sz w:val="21"/>
        </w:rPr>
        <w:t>Curated 406 expert-annotated QA pairs from 192 primary SEBI and RBI documents (1992–2026) across 4 tasks: Regulatory Interpretation, Numerical Reasoning, Contradiction Detection, and Temporal Reasoning.</w:t>
      </w:r>
    </w:p>
    <w:p>
      <w:pPr>
        <w:spacing w:after="120" w:line="276" w:lineRule="auto"/>
      </w:pPr>
      <w:r>
        <w:rPr>
          <w:rFonts w:ascii="Calibri" w:hAnsi="Calibri"/>
          <w:b/>
          <w:color w:val="0F172A"/>
          <w:sz w:val="21"/>
        </w:rPr>
        <w:t xml:space="preserve">Key Empirical Findings: </w:t>
      </w:r>
      <w:r>
        <w:rPr>
          <w:rFonts w:ascii="Calibri" w:hAnsi="Calibri"/>
          <w:color w:val="1E293B"/>
          <w:sz w:val="21"/>
        </w:rPr>
        <w:t>Evaluated 12 zero-shot models; 7B base models score ~76% (Tier 2), non-specialist humans score 69%, while cloud frontier models score 88%–89.7% (Tier 1). Numerical reasoning is the most discriminative task (35.9% spread).</w:t>
      </w:r>
    </w:p>
    <w:p>
      <w:pPr>
        <w:spacing w:after="120" w:line="276" w:lineRule="auto"/>
      </w:pPr>
      <w:r>
        <w:rPr>
          <w:rFonts w:ascii="Calibri" w:hAnsi="Calibri"/>
          <w:b/>
          <w:color w:val="0F172A"/>
          <w:sz w:val="21"/>
        </w:rPr>
        <w:t xml:space="preserve">Identified Research Gap: </w:t>
      </w:r>
      <w:r>
        <w:rPr>
          <w:rFonts w:ascii="Calibri" w:hAnsi="Calibri"/>
          <w:color w:val="1E293B"/>
          <w:sz w:val="21"/>
        </w:rPr>
        <w:t>Provided the evaluation benchmark but did not develop an open-weights fine-tuned small language model to bridge the gap between 7B base models and frontier cloud APIs.</w:t>
      </w:r>
    </w:p>
    <w:p>
      <w:pPr>
        <w:spacing w:after="120" w:line="276" w:lineRule="auto"/>
      </w:pPr>
      <w:r>
        <w:rPr>
          <w:rFonts w:ascii="Calibri" w:hAnsi="Calibri"/>
          <w:b/>
          <w:color w:val="0F172A"/>
          <w:sz w:val="21"/>
        </w:rPr>
        <w:t xml:space="preserve">FinReg-SLM Architectural Fix: </w:t>
      </w:r>
      <w:r>
        <w:rPr>
          <w:rFonts w:ascii="Calibri" w:hAnsi="Calibri"/>
          <w:color w:val="1E293B"/>
          <w:sz w:val="21"/>
        </w:rPr>
        <w:t>We evaluated our final Stage 2 Aligned DeepSeek-R1-7B model zero-shot on the official 324-question test split using an automated 70B LLM judge.</w:t>
      </w:r>
    </w:p>
    <w:p>
      <w:pPr>
        <w:spacing w:after="120" w:line="276" w:lineRule="auto"/>
      </w:pPr>
      <w:r>
        <w:rPr>
          <w:rFonts w:ascii="Calibri" w:hAnsi="Calibri"/>
          <w:b/>
          <w:color w:val="0F172A"/>
          <w:sz w:val="21"/>
        </w:rPr>
        <w:t xml:space="preserve">Measured Empirical Impact: </w:t>
      </w:r>
      <w:r>
        <w:rPr>
          <w:rFonts w:ascii="Calibri" w:hAnsi="Calibri"/>
          <w:color w:val="1E293B"/>
          <w:sz w:val="21"/>
        </w:rPr>
        <w:t>FinReg-SLM achieved 80.98% macro accuracy (90.29% on Regulatory Interpretation), outperforming open-source Base 7B/8B LLMs by +3.4% to +5.0%.</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