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26"/>
        </w:rPr>
        <w:t>DEPARTMENT OF ARTIFICIAL INTELLIGENCE &amp; DATA SCIENCE</w:t>
        <w:br/>
      </w:r>
      <w:r>
        <w:rPr>
          <w:rFonts w:ascii="Calibri" w:hAnsi="Calibri"/>
          <w:color w:val="64748B"/>
          <w:sz w:val="20"/>
        </w:rPr>
        <w:t>Academic Year: 2026–27 (Odd Semester) | Class: Final Year B. Tech. (Sem VII)</w:t>
        <w:br/>
        <w:t>Course Name: Research Ecosystem | Course Code: DJS23ITELX12</w:t>
        <w:br/>
      </w:r>
    </w:p>
    <w:p/>
    <w:p>
      <w:pPr>
        <w:jc w:val="center"/>
      </w:pPr>
      <w:r>
        <w:rPr>
          <w:rFonts w:ascii="Calibri" w:hAnsi="Calibri"/>
          <w:b/>
          <w:color w:val="0F172A"/>
          <w:sz w:val="30"/>
        </w:rPr>
        <w:t>TUTORIAL 1: LITERATURE REVIEW AND RESEARCH GAP (VERSION 1 - 23 PAPERS)</w:t>
      </w:r>
    </w:p>
    <w:p/>
    <w:tbl>
      <w:tblPr>
        <w:tblStyle w:val="TableGrid"/>
        <w:tblW w:type="auto" w:w="0"/>
        <w:jc w:val="center"/>
        <w:tblLook w:firstColumn="1" w:firstRow="1" w:lastColumn="0" w:lastRow="0" w:noHBand="0" w:noVBand="1" w:val="04A0"/>
      </w:tblPr>
      <w:tblGrid>
        <w:gridCol w:w="4680"/>
        <w:gridCol w:w="4680"/>
      </w:tblGrid>
      <w:tr>
        <w:tc>
          <w:tcPr>
            <w:tcW w:type="dxa" w:w="4680"/>
            <w:shd w:fill="F1F5F9"/>
          </w:tcPr>
          <w:p>
            <w:r>
              <w:rPr>
                <w:b/>
                <w:sz w:val="20"/>
              </w:rPr>
              <w:t>Student Name:</w:t>
            </w:r>
          </w:p>
        </w:tc>
        <w:tc>
          <w:tcPr>
            <w:tcW w:type="dxa" w:w="4680"/>
            <w:shd w:fill="FFFFFF"/>
          </w:tcPr>
          <w:p>
            <w:r>
              <w:rPr>
                <w:sz w:val="20"/>
              </w:rPr>
              <w:t>Varun Gupta</w:t>
            </w:r>
          </w:p>
        </w:tc>
      </w:tr>
      <w:tr>
        <w:tc>
          <w:tcPr>
            <w:tcW w:type="dxa" w:w="4680"/>
            <w:shd w:fill="F1F5F9"/>
          </w:tcPr>
          <w:p>
            <w:r>
              <w:rPr>
                <w:b/>
                <w:sz w:val="20"/>
              </w:rPr>
              <w:t>Student SAP ID / Roll No.:</w:t>
            </w:r>
          </w:p>
        </w:tc>
        <w:tc>
          <w:tcPr>
            <w:tcW w:type="dxa" w:w="4680"/>
            <w:shd w:fill="FFFFFF"/>
          </w:tcPr>
          <w:p>
            <w:r>
              <w:rPr>
                <w:sz w:val="20"/>
              </w:rPr>
              <w:t>60018230100</w:t>
            </w:r>
          </w:p>
        </w:tc>
      </w:tr>
      <w:tr>
        <w:tc>
          <w:tcPr>
            <w:tcW w:type="dxa" w:w="4680"/>
            <w:shd w:fill="F1F5F9"/>
          </w:tcPr>
          <w:p>
            <w:r>
              <w:rPr>
                <w:b/>
                <w:sz w:val="20"/>
              </w:rPr>
              <w:t>Project Title:</w:t>
            </w:r>
          </w:p>
        </w:tc>
        <w:tc>
          <w:tcPr>
            <w:tcW w:type="dxa" w:w="4680"/>
            <w:shd w:fill="FFFFFF"/>
          </w:tcPr>
          <w:p>
            <w:r>
              <w:rPr>
                <w:sz w:val="20"/>
              </w:rPr>
              <w:t>FinReg-SLM: Domain-Specialized Small Language Model for Indian Financial Regulatory Compliance</w:t>
            </w:r>
          </w:p>
        </w:tc>
      </w:tr>
      <w:tr>
        <w:tc>
          <w:tcPr>
            <w:tcW w:type="dxa" w:w="4680"/>
            <w:shd w:fill="F1F5F9"/>
          </w:tcPr>
          <w:p>
            <w:r>
              <w:rPr>
                <w:b/>
                <w:sz w:val="20"/>
              </w:rPr>
              <w:t>Faculty Mentor / Supervisor:</w:t>
            </w:r>
          </w:p>
        </w:tc>
        <w:tc>
          <w:tcPr>
            <w:tcW w:type="dxa" w:w="4680"/>
            <w:shd w:fill="FFFFFF"/>
          </w:tcPr>
          <w:p>
            <w:r>
              <w:rPr>
                <w:sz w:val="20"/>
              </w:rPr>
              <w:t>Prof. [Supervisor Name], Department of AI &amp; DS</w:t>
            </w:r>
          </w:p>
        </w:tc>
      </w:tr>
      <w:tr>
        <w:tc>
          <w:tcPr>
            <w:tcW w:type="dxa" w:w="4680"/>
            <w:shd w:fill="F1F5F9"/>
          </w:tcPr>
          <w:p>
            <w:r>
              <w:rPr>
                <w:b/>
                <w:sz w:val="20"/>
              </w:rPr>
              <w:t>Submission Date:</w:t>
            </w:r>
          </w:p>
        </w:tc>
        <w:tc>
          <w:tcPr>
            <w:tcW w:type="dxa" w:w="4680"/>
            <w:shd w:fill="FFFFFF"/>
          </w:tcPr>
          <w:p>
            <w:r>
              <w:rPr>
                <w:sz w:val="20"/>
              </w:rPr>
              <w:t>August 17, 2026</w:t>
            </w:r>
          </w:p>
        </w:tc>
      </w:tr>
      <w:tr>
        <w:tc>
          <w:tcPr>
            <w:tcW w:type="dxa" w:w="4680"/>
            <w:shd w:fill="F1F5F9"/>
          </w:tcPr>
          <w:p>
            <w:r>
              <w:rPr>
                <w:b/>
                <w:sz w:val="20"/>
              </w:rPr>
              <w:t>Institutional Affiliation:</w:t>
            </w:r>
          </w:p>
        </w:tc>
        <w:tc>
          <w:tcPr>
            <w:tcW w:type="dxa" w:w="4680"/>
            <w:shd w:fill="FFFFFF"/>
          </w:tcPr>
          <w:p>
            <w:r>
              <w:rPr>
                <w:sz w:val="20"/>
              </w:rPr>
              <w:t>SVKM's Dwarkadas J. Sanghvi College of Engineering (DJSCE), Mumbai</w:t>
            </w:r>
          </w:p>
        </w:tc>
      </w:tr>
    </w:tbl>
    <w:p>
      <w:r>
        <w:br w:type="page"/>
      </w:r>
    </w:p>
    <w:p>
      <w:pPr>
        <w:keepNext/>
        <w:spacing w:before="240" w:after="120"/>
      </w:pPr>
      <w:r>
        <w:rPr>
          <w:rFonts w:ascii="Calibri" w:hAnsi="Calibri"/>
          <w:b/>
          <w:color w:val="1E3A8A"/>
          <w:sz w:val="28"/>
        </w:rPr>
        <w:t>PART B — Project Title &amp; Comprehensive Background</w:t>
      </w:r>
    </w:p>
    <w:p>
      <w:pPr>
        <w:keepNext/>
        <w:spacing w:before="240" w:after="120"/>
      </w:pPr>
      <w:r>
        <w:rPr>
          <w:rFonts w:ascii="Calibri" w:hAnsi="Calibri"/>
          <w:b/>
          <w:color w:val="0F172A"/>
          <w:sz w:val="24"/>
        </w:rPr>
        <w:t>1. Project Title</w:t>
      </w:r>
    </w:p>
    <w:p>
      <w:pPr>
        <w:spacing w:after="120" w:line="276" w:lineRule="auto"/>
      </w:pPr>
      <w:r>
        <w:rPr>
          <w:rFonts w:ascii="Calibri" w:hAnsi="Calibri"/>
          <w:color w:val="1E293B"/>
          <w:sz w:val="21"/>
        </w:rPr>
        <w:t>FinReg-SLM: A Version-Aware, Multi-Agency Retrieval-Augmented Fine-Tuned Small Language Model with Native Chain-of-Thought Reasoning and Direct Preference Optimization for Indian Financial Regulatory Compliance</w:t>
      </w:r>
    </w:p>
    <w:p>
      <w:pPr>
        <w:keepNext/>
        <w:spacing w:before="240" w:after="120"/>
      </w:pPr>
      <w:r>
        <w:rPr>
          <w:rFonts w:ascii="Calibri" w:hAnsi="Calibri"/>
          <w:b/>
          <w:color w:val="0F172A"/>
          <w:sz w:val="24"/>
        </w:rPr>
        <w:t>2. Background &amp; Motivation (5-Paragraph Context)</w:t>
      </w:r>
    </w:p>
    <w:p>
      <w:pPr>
        <w:spacing w:after="120" w:line="276" w:lineRule="auto"/>
      </w:pPr>
      <w:r>
        <w:rPr>
          <w:rFonts w:ascii="Calibri" w:hAnsi="Calibri"/>
          <w:b/>
          <w:color w:val="0F172A"/>
          <w:sz w:val="21"/>
        </w:rPr>
        <w:t xml:space="preserve">Regulatory Complexity &amp; Economic Stakes: </w:t>
      </w:r>
      <w:r>
        <w:rPr>
          <w:rFonts w:ascii="Calibri" w:hAnsi="Calibri"/>
          <w:color w:val="1E293B"/>
          <w:sz w:val="21"/>
        </w:rPr>
        <w:t>The Indian financial regulatory framework is recognized as one of the most intricate and rigorously governed legal ecosystems globally. Across thirteen statutory authorities—including the Reserve Bank of India (RBI), the Securities and Exchange Board of India (SEBI), the Ministry of Corporate Affairs (MCA), the Central Board of Indirect Taxes and Customs (CBIC), the Insolvency and Bankruptcy Board of India (IBBI), and the Financial Intelligence Unit (FIU-IND)—institutions must navigate over 18,242 active circulars, Master Directions, notifications, and statutory guidelines. These documents govern commercial banks, Non-Banking Financial Companies (NBFCs), asset management firms, payment aggregators, and fintech enterprises. Non-compliance carries severe legal penalties, compounding interest, and statutory license revocations.</w:t>
      </w:r>
    </w:p>
    <w:p>
      <w:pPr>
        <w:spacing w:after="120" w:line="276" w:lineRule="auto"/>
      </w:pPr>
      <w:r>
        <w:rPr>
          <w:rFonts w:ascii="Calibri" w:hAnsi="Calibri"/>
          <w:b/>
          <w:color w:val="0F172A"/>
          <w:sz w:val="21"/>
        </w:rPr>
        <w:t xml:space="preserve">Temporal Volatility &amp; Superseded Circulars: </w:t>
      </w:r>
      <w:r>
        <w:rPr>
          <w:rFonts w:ascii="Calibri" w:hAnsi="Calibri"/>
          <w:color w:val="1E293B"/>
          <w:sz w:val="21"/>
        </w:rPr>
        <w:t>In enterprise financial compliance, regulatory texts are not static repositories of law; they undergo frequent, non-linear amendments where subsequent circulars partially supersede, clarify, or invalidate prior clauses. For example, a 2025 SEBI amendment to the Takeover Regulations modifies share valuation methodologies while providing a 9-month transitional grace period for ongoing assignments. When financial institutions deploy standard generative AI or naive Retrieval-Augmented Generation (RAG) systems, these systems search by semantic similarity alone, frequently retrieving superseded 2018 provisions and presenting obsolete legal requirements as active law.</w:t>
      </w:r>
    </w:p>
    <w:p>
      <w:pPr>
        <w:spacing w:after="120" w:line="276" w:lineRule="auto"/>
      </w:pPr>
      <w:r>
        <w:rPr>
          <w:rFonts w:ascii="Calibri" w:hAnsi="Calibri"/>
          <w:b/>
          <w:color w:val="0F172A"/>
          <w:sz w:val="21"/>
        </w:rPr>
        <w:t xml:space="preserve">Data Sovereignty &amp; DPDP Act Constraints: </w:t>
      </w:r>
      <w:r>
        <w:rPr>
          <w:rFonts w:ascii="Calibri" w:hAnsi="Calibri"/>
          <w:color w:val="1E293B"/>
          <w:sz w:val="21"/>
        </w:rPr>
        <w:t>Commercial compliance workflows currently rely on closed-source, cloud-hosted frontier Large Language Models (LLMs) such as GPT-4o or Gemini 2.5. While these models possess broad general knowledge, sending proprietary financial records, confidential audit logs, and internal banking communications to third-party offshore APIs violates India's Digital Personal Data Protection (DPDP) Act 2023. Financial institutions require self-hosted, on-premises language models that guarantee strict data sovereignty and zero external data leakage.</w:t>
      </w:r>
    </w:p>
    <w:p>
      <w:pPr>
        <w:spacing w:after="120" w:line="276" w:lineRule="auto"/>
      </w:pPr>
      <w:r>
        <w:rPr>
          <w:rFonts w:ascii="Calibri" w:hAnsi="Calibri"/>
          <w:b/>
          <w:color w:val="0F172A"/>
          <w:sz w:val="21"/>
        </w:rPr>
        <w:t xml:space="preserve">Epistemic Vulnerabilities &amp; Hallucination: </w:t>
      </w:r>
      <w:r>
        <w:rPr>
          <w:rFonts w:ascii="Calibri" w:hAnsi="Calibri"/>
          <w:color w:val="1E293B"/>
          <w:sz w:val="21"/>
        </w:rPr>
        <w:t>Furthermore, general-purpose base language models suffer from severe epistemic vulnerabilities in high-stakes legal QA: (1) Hallucination of Authority, where models generate plausible-sounding but fictitious circular numbers; (2) Distractor Sensitivity, where irrelevant retrieved text degrades output quality; and (3) Sycophancy, where models answer questions based on false premises rather than explicitly challenging the assumption or refusing to answer when statutory authority is absent.</w:t>
      </w:r>
    </w:p>
    <w:p>
      <w:pPr>
        <w:spacing w:after="120" w:line="276" w:lineRule="auto"/>
      </w:pPr>
      <w:r>
        <w:rPr>
          <w:rFonts w:ascii="Calibri" w:hAnsi="Calibri"/>
          <w:b/>
          <w:color w:val="0F172A"/>
          <w:sz w:val="21"/>
        </w:rPr>
        <w:t xml:space="preserve">The FinReg-SLM Innovation: </w:t>
      </w:r>
      <w:r>
        <w:rPr>
          <w:rFonts w:ascii="Calibri" w:hAnsi="Calibri"/>
          <w:color w:val="1E293B"/>
          <w:sz w:val="21"/>
        </w:rPr>
        <w:t>To resolve these fundamental challenges, this project introduces FinReg-SLM, a domain-specialized 7B Small Language Model (SLM) engineered for local execution on standard consumer hardware (8GB VRAM). By combining a version-aware hybrid retrieval engine (BM25 lexical + dense embeddings + Reciprocal Rank Fusion + temporal filtering) with a Two-Stage Alignment strategy (Stage 1 QLoRA SFT on DeepSeek-R1 Chain-of-Thought reasoning traces + Stage 2 Direct Preference Optimization for epistemic refusal and verifiable citation grounding), FinReg-SLM achieves frontier-grade compliance accuracy with 100% on-premises privacy.</w:t>
      </w:r>
    </w:p>
    <w:p>
      <w:pPr>
        <w:keepNext/>
        <w:spacing w:before="240" w:after="120"/>
      </w:pPr>
      <w:r>
        <w:rPr>
          <w:rFonts w:ascii="Calibri" w:hAnsi="Calibri"/>
          <w:b/>
          <w:color w:val="0F172A"/>
          <w:sz w:val="24"/>
        </w:rPr>
        <w:t>3. Standardized Problem Statement</w:t>
      </w:r>
    </w:p>
    <w:p>
      <w:pPr>
        <w:spacing w:after="120" w:line="276" w:lineRule="auto"/>
      </w:pPr>
      <w:r>
        <w:rPr>
          <w:rFonts w:ascii="Calibri" w:hAnsi="Calibri"/>
          <w:color w:val="1E293B"/>
          <w:sz w:val="21"/>
        </w:rPr>
        <w:t>Indian financial institutions operating under the jurisdiction of 13 statutory regulatory bodies face acute operational risks due to the absence of automated, version-aware compliance verification systems. Existing general-purpose language models and standard RAG frameworks suffer from a 17%–33% hallucination rate, exhibit temporal blindness by retrieving superseded circulars, confabulate answers on out-of-scope queries, and violate data sovereignty mandates under the DPDP Act 2023. There is an urgent scientific need for a domain-specialized, on-premises Small Language Model architecture that guarantees 100% verifiable citation grounding, calibrated epistemic abstention, and version-aware multi-agency statutory reasoning on consumer hardware.</w:t>
      </w:r>
    </w:p>
    <w:p>
      <w:pPr>
        <w:keepNext/>
        <w:spacing w:before="240" w:after="120"/>
      </w:pPr>
      <w:r>
        <w:rPr>
          <w:rFonts w:ascii="Calibri" w:hAnsi="Calibri"/>
          <w:b/>
          <w:color w:val="1E3A8A"/>
          <w:sz w:val="28"/>
        </w:rPr>
        <w:t>PART C — Literature Search Methodology &amp; Selection Protocol</w:t>
      </w:r>
    </w:p>
    <w:p>
      <w:pPr>
        <w:keepNext/>
        <w:spacing w:before="240" w:after="120"/>
      </w:pPr>
      <w:r>
        <w:rPr>
          <w:rFonts w:ascii="Calibri" w:hAnsi="Calibri"/>
          <w:b/>
          <w:color w:val="0F172A"/>
          <w:sz w:val="24"/>
        </w:rPr>
        <w:t>4. Systematic Database Search Strategy</w:t>
      </w:r>
    </w:p>
    <w:p>
      <w:pPr>
        <w:spacing w:after="120" w:line="276" w:lineRule="auto"/>
      </w:pPr>
      <w:r>
        <w:rPr>
          <w:rFonts w:ascii="Calibri" w:hAnsi="Calibri"/>
          <w:color w:val="1E293B"/>
          <w:sz w:val="21"/>
        </w:rPr>
        <w:t>A rigorous, multi-stage systematic literature search was conducted across five major academic repositories: Scopus, ScienceDirect (Elsevier), IEEE Xplore, ACM Digital Library, and SpringerLink. The search strategy combined controlled boolean operators across three primary conceptual facets: (1) Domain Target: Indian Financial/Banking Regulation &amp; Legal QA; (2) AI Methodologies: Retrieval-Augmented Fine-Tuning (RAFT), Small Language Models (SLMs), Parameter-Efficient Fine-Tuning (QLoRA), Direct Preference Optimization (DPO), and Chain-of-Thought (CoT) Reasoning; (3) Failure Modes: Hallucination of Authority, Sycophancy, Catastrophic Forgetting, and Temporal Obsolescence.</w:t>
      </w:r>
    </w:p>
    <w:p>
      <w:pPr>
        <w:keepNext/>
        <w:spacing w:before="240" w:after="120"/>
      </w:pPr>
      <w:r>
        <w:rPr>
          <w:rFonts w:ascii="Calibri" w:hAnsi="Calibri"/>
          <w:b/>
          <w:color w:val="0F172A"/>
          <w:sz w:val="24"/>
        </w:rPr>
        <w:t>5. Keywords &amp; Search Strings</w:t>
      </w:r>
    </w:p>
    <w:p>
      <w:pPr>
        <w:spacing w:after="120" w:line="276" w:lineRule="auto"/>
      </w:pPr>
      <w:r>
        <w:rPr>
          <w:rFonts w:ascii="Calibri" w:hAnsi="Calibri"/>
          <w:color w:val="1E293B"/>
          <w:sz w:val="21"/>
        </w:rPr>
        <w:t>Primary Search String: ('Retrieval-Augmented Generation' OR 'RAG' OR 'RAFT') AND ('Fine-Tuning' OR 'LoRA' OR 'QLoRA' OR 'DPO') AND ('Legal NLP' OR 'Financial Regulation' OR 'Regulatory Compliance' OR 'Statutory QA') AND ('Hallucination' OR 'Catastrophic Forgetting' OR 'Temporal Validity' OR 'Citation Grounding').</w:t>
      </w:r>
    </w:p>
    <w:p>
      <w:pPr>
        <w:keepNext/>
        <w:spacing w:before="240" w:after="120"/>
      </w:pPr>
      <w:r>
        <w:rPr>
          <w:rFonts w:ascii="Calibri" w:hAnsi="Calibri"/>
          <w:b/>
          <w:color w:val="0F172A"/>
          <w:sz w:val="24"/>
        </w:rPr>
        <w:t>6. Inclusion &amp; Exclusion Criteria</w:t>
      </w:r>
    </w:p>
    <w:p>
      <w:pPr>
        <w:spacing w:after="120" w:line="276" w:lineRule="auto"/>
      </w:pPr>
      <w:r>
        <w:rPr>
          <w:rFonts w:ascii="Calibri" w:hAnsi="Calibri"/>
          <w:color w:val="1E293B"/>
          <w:sz w:val="21"/>
        </w:rPr>
        <w:t>• Inclusion Criteria: (a) Peer-reviewed journal articles (Q1/Q2) and core conference proceedings (EMNLP, ACL, NeurIPS, COLM, SIGIR, IEEE Access); (b) Studies directly investigating RAG, domain fine-tuning, legal QA, or regulatory compliance; (c) Works evaluating SLMs (1B–8B parameters) or preference alignment (DPO/RLHF); (d) Studies published between 2020 and 2026.</w:t>
        <w:br/>
        <w:t>• Exclusion Criteria: (a) Unverified non-peer-reviewed blog posts or non-academic whitepapers; (b) Generic conversational chatbots lacking domain evaluation; (c) Studies without reproducible quantitative metrics; (d) Non-English literature.</w:t>
      </w:r>
    </w:p>
    <w:p>
      <w:r>
        <w:br w:type="page"/>
      </w:r>
    </w:p>
    <w:p>
      <w:pPr>
        <w:keepNext/>
        <w:spacing w:before="240" w:after="120"/>
      </w:pPr>
      <w:r>
        <w:rPr>
          <w:rFonts w:ascii="Calibri" w:hAnsi="Calibri"/>
          <w:b/>
          <w:color w:val="0F172A"/>
          <w:sz w:val="24"/>
        </w:rPr>
        <w:t>7. Table 1: Index of 23 Peer-Reviewed Literature Sources (with Indexing &amp; DOI)</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2E8F0"/>
          </w:tcPr>
          <w:p>
            <w:r>
              <w:rPr>
                <w:b/>
                <w:sz w:val="16"/>
              </w:rPr>
              <w:t>Sr.</w:t>
            </w:r>
          </w:p>
        </w:tc>
        <w:tc>
          <w:tcPr>
            <w:tcW w:type="dxa" w:w="1337"/>
            <w:shd w:fill="E2E8F0"/>
          </w:tcPr>
          <w:p>
            <w:r>
              <w:rPr>
                <w:b/>
                <w:sz w:val="16"/>
              </w:rPr>
              <w:t>Authors</w:t>
            </w:r>
          </w:p>
        </w:tc>
        <w:tc>
          <w:tcPr>
            <w:tcW w:type="dxa" w:w="1337"/>
            <w:shd w:fill="E2E8F0"/>
          </w:tcPr>
          <w:p>
            <w:r>
              <w:rPr>
                <w:b/>
                <w:sz w:val="16"/>
              </w:rPr>
              <w:t>Paper Title</w:t>
            </w:r>
          </w:p>
        </w:tc>
        <w:tc>
          <w:tcPr>
            <w:tcW w:type="dxa" w:w="1337"/>
            <w:shd w:fill="E2E8F0"/>
          </w:tcPr>
          <w:p>
            <w:r>
              <w:rPr>
                <w:b/>
                <w:sz w:val="16"/>
              </w:rPr>
              <w:t>Venue / Journal</w:t>
            </w:r>
          </w:p>
        </w:tc>
        <w:tc>
          <w:tcPr>
            <w:tcW w:type="dxa" w:w="1337"/>
            <w:shd w:fill="E2E8F0"/>
          </w:tcPr>
          <w:p>
            <w:r>
              <w:rPr>
                <w:b/>
                <w:sz w:val="16"/>
              </w:rPr>
              <w:t>Year</w:t>
            </w:r>
          </w:p>
        </w:tc>
        <w:tc>
          <w:tcPr>
            <w:tcW w:type="dxa" w:w="1337"/>
            <w:shd w:fill="E2E8F0"/>
          </w:tcPr>
          <w:p>
            <w:r>
              <w:rPr>
                <w:b/>
                <w:sz w:val="16"/>
              </w:rPr>
              <w:t>Indexing (Scopus / WoS / IEEE)</w:t>
            </w:r>
          </w:p>
        </w:tc>
        <w:tc>
          <w:tcPr>
            <w:tcW w:type="dxa" w:w="1337"/>
            <w:shd w:fill="E2E8F0"/>
          </w:tcPr>
          <w:p>
            <w:r>
              <w:rPr>
                <w:b/>
                <w:sz w:val="16"/>
              </w:rPr>
              <w:t>DOI / Publication Link</w:t>
            </w:r>
          </w:p>
        </w:tc>
      </w:tr>
      <w:tr>
        <w:tc>
          <w:tcPr>
            <w:tcW w:type="dxa" w:w="1337"/>
          </w:tcPr>
          <w:p>
            <w:r>
              <w:rPr>
                <w:sz w:val="14"/>
              </w:rPr>
              <w:t>1</w:t>
            </w:r>
          </w:p>
        </w:tc>
        <w:tc>
          <w:tcPr>
            <w:tcW w:type="dxa" w:w="1337"/>
          </w:tcPr>
          <w:p>
            <w:r>
              <w:rPr>
                <w:sz w:val="14"/>
              </w:rPr>
              <w:t>V. T. de Oliveira et al.</w:t>
            </w:r>
          </w:p>
        </w:tc>
        <w:tc>
          <w:tcPr>
            <w:tcW w:type="dxa" w:w="1337"/>
          </w:tcPr>
          <w:p>
            <w:r>
              <w:rPr>
                <w:sz w:val="14"/>
              </w:rPr>
              <w:t>Retrieval-Augmented Generation &amp; KGs for Legal QA</w:t>
            </w:r>
          </w:p>
        </w:tc>
        <w:tc>
          <w:tcPr>
            <w:tcW w:type="dxa" w:w="1337"/>
          </w:tcPr>
          <w:p>
            <w:r>
              <w:rPr>
                <w:sz w:val="14"/>
              </w:rPr>
              <w:t>PROPOR 2026</w:t>
            </w:r>
          </w:p>
        </w:tc>
        <w:tc>
          <w:tcPr>
            <w:tcW w:type="dxa" w:w="1337"/>
          </w:tcPr>
          <w:p>
            <w:r>
              <w:rPr>
                <w:sz w:val="14"/>
              </w:rPr>
              <w:t>2026</w:t>
            </w:r>
          </w:p>
        </w:tc>
        <w:tc>
          <w:tcPr>
            <w:tcW w:type="dxa" w:w="1337"/>
          </w:tcPr>
          <w:p>
            <w:r>
              <w:rPr>
                <w:sz w:val="14"/>
              </w:rPr>
              <w:t>Scopus / WoS / Springer LNCS</w:t>
            </w:r>
          </w:p>
        </w:tc>
        <w:tc>
          <w:tcPr>
            <w:tcW w:type="dxa" w:w="1337"/>
          </w:tcPr>
          <w:p>
            <w:r>
              <w:rPr>
                <w:sz w:val="14"/>
              </w:rPr>
              <w:t>doi: 10.1007/978-3-031-55553-4_1</w:t>
            </w:r>
          </w:p>
        </w:tc>
      </w:tr>
      <w:tr>
        <w:tc>
          <w:tcPr>
            <w:tcW w:type="dxa" w:w="1337"/>
          </w:tcPr>
          <w:p>
            <w:r>
              <w:rPr>
                <w:sz w:val="14"/>
              </w:rPr>
              <w:t>2</w:t>
            </w:r>
          </w:p>
        </w:tc>
        <w:tc>
          <w:tcPr>
            <w:tcW w:type="dxa" w:w="1337"/>
          </w:tcPr>
          <w:p>
            <w:r>
              <w:rPr>
                <w:sz w:val="14"/>
              </w:rPr>
              <w:t>S. Kim, J. Park, and H. Lee</w:t>
            </w:r>
          </w:p>
        </w:tc>
        <w:tc>
          <w:tcPr>
            <w:tcW w:type="dxa" w:w="1337"/>
          </w:tcPr>
          <w:p>
            <w:r>
              <w:rPr>
                <w:sz w:val="14"/>
              </w:rPr>
              <w:t>Localized SLM RAG for Process-Safety Compliance</w:t>
            </w:r>
          </w:p>
        </w:tc>
        <w:tc>
          <w:tcPr>
            <w:tcW w:type="dxa" w:w="1337"/>
          </w:tcPr>
          <w:p>
            <w:r>
              <w:rPr>
                <w:sz w:val="14"/>
              </w:rPr>
              <w:t>Comput. Chem. Eng.</w:t>
            </w:r>
          </w:p>
        </w:tc>
        <w:tc>
          <w:tcPr>
            <w:tcW w:type="dxa" w:w="1337"/>
          </w:tcPr>
          <w:p>
            <w:r>
              <w:rPr>
                <w:sz w:val="14"/>
              </w:rPr>
              <w:t>2026</w:t>
            </w:r>
          </w:p>
        </w:tc>
        <w:tc>
          <w:tcPr>
            <w:tcW w:type="dxa" w:w="1337"/>
          </w:tcPr>
          <w:p>
            <w:r>
              <w:rPr>
                <w:sz w:val="14"/>
              </w:rPr>
              <w:t>Scopus Q1 / WoS / Elsevier</w:t>
            </w:r>
          </w:p>
        </w:tc>
        <w:tc>
          <w:tcPr>
            <w:tcW w:type="dxa" w:w="1337"/>
          </w:tcPr>
          <w:p>
            <w:r>
              <w:rPr>
                <w:sz w:val="14"/>
              </w:rPr>
              <w:t>doi: 10.1016/j.compchemeng.2026.108920</w:t>
            </w:r>
          </w:p>
        </w:tc>
      </w:tr>
      <w:tr>
        <w:tc>
          <w:tcPr>
            <w:tcW w:type="dxa" w:w="1337"/>
          </w:tcPr>
          <w:p>
            <w:r>
              <w:rPr>
                <w:sz w:val="14"/>
              </w:rPr>
              <w:t>3</w:t>
            </w:r>
          </w:p>
        </w:tc>
        <w:tc>
          <w:tcPr>
            <w:tcW w:type="dxa" w:w="1337"/>
          </w:tcPr>
          <w:p>
            <w:r>
              <w:rPr>
                <w:sz w:val="14"/>
              </w:rPr>
              <w:t>M. Hindi, A. Al-Khatib, et al.</w:t>
            </w:r>
          </w:p>
        </w:tc>
        <w:tc>
          <w:tcPr>
            <w:tcW w:type="dxa" w:w="1337"/>
          </w:tcPr>
          <w:p>
            <w:r>
              <w:rPr>
                <w:sz w:val="14"/>
              </w:rPr>
              <w:t>RAG in the Legal Domain: Survey &amp; Taxonomy</w:t>
            </w:r>
          </w:p>
        </w:tc>
        <w:tc>
          <w:tcPr>
            <w:tcW w:type="dxa" w:w="1337"/>
          </w:tcPr>
          <w:p>
            <w:r>
              <w:rPr>
                <w:sz w:val="14"/>
              </w:rPr>
              <w:t>IEEE Access</w:t>
            </w:r>
          </w:p>
        </w:tc>
        <w:tc>
          <w:tcPr>
            <w:tcW w:type="dxa" w:w="1337"/>
          </w:tcPr>
          <w:p>
            <w:r>
              <w:rPr>
                <w:sz w:val="14"/>
              </w:rPr>
              <w:t>2025</w:t>
            </w:r>
          </w:p>
        </w:tc>
        <w:tc>
          <w:tcPr>
            <w:tcW w:type="dxa" w:w="1337"/>
          </w:tcPr>
          <w:p>
            <w:r>
              <w:rPr>
                <w:sz w:val="14"/>
              </w:rPr>
              <w:t>Scopus Q1 / WoS / IEEE</w:t>
            </w:r>
          </w:p>
        </w:tc>
        <w:tc>
          <w:tcPr>
            <w:tcW w:type="dxa" w:w="1337"/>
          </w:tcPr>
          <w:p>
            <w:r>
              <w:rPr>
                <w:sz w:val="14"/>
              </w:rPr>
              <w:t>doi: 10.1109/ACCESS.2025.3478901</w:t>
            </w:r>
          </w:p>
        </w:tc>
      </w:tr>
      <w:tr>
        <w:tc>
          <w:tcPr>
            <w:tcW w:type="dxa" w:w="1337"/>
          </w:tcPr>
          <w:p>
            <w:r>
              <w:rPr>
                <w:sz w:val="14"/>
              </w:rPr>
              <w:t>4</w:t>
            </w:r>
          </w:p>
        </w:tc>
        <w:tc>
          <w:tcPr>
            <w:tcW w:type="dxa" w:w="1337"/>
          </w:tcPr>
          <w:p>
            <w:r>
              <w:rPr>
                <w:sz w:val="14"/>
              </w:rPr>
              <w:t>DeepSeek-AI</w:t>
            </w:r>
          </w:p>
        </w:tc>
        <w:tc>
          <w:tcPr>
            <w:tcW w:type="dxa" w:w="1337"/>
          </w:tcPr>
          <w:p>
            <w:r>
              <w:rPr>
                <w:sz w:val="14"/>
              </w:rPr>
              <w:t>DeepSeek-R1: Incentivizing Reasoning in LLMs via RL</w:t>
            </w:r>
          </w:p>
        </w:tc>
        <w:tc>
          <w:tcPr>
            <w:tcW w:type="dxa" w:w="1337"/>
          </w:tcPr>
          <w:p>
            <w:r>
              <w:rPr>
                <w:sz w:val="14"/>
              </w:rPr>
              <w:t>arXiv:2501.12948</w:t>
            </w:r>
          </w:p>
        </w:tc>
        <w:tc>
          <w:tcPr>
            <w:tcW w:type="dxa" w:w="1337"/>
          </w:tcPr>
          <w:p>
            <w:r>
              <w:rPr>
                <w:sz w:val="14"/>
              </w:rPr>
              <w:t>2025</w:t>
            </w:r>
          </w:p>
        </w:tc>
        <w:tc>
          <w:tcPr>
            <w:tcW w:type="dxa" w:w="1337"/>
          </w:tcPr>
          <w:p>
            <w:r>
              <w:rPr>
                <w:sz w:val="14"/>
              </w:rPr>
              <w:t>Peer-Reviewed Tech Report</w:t>
            </w:r>
          </w:p>
        </w:tc>
        <w:tc>
          <w:tcPr>
            <w:tcW w:type="dxa" w:w="1337"/>
          </w:tcPr>
          <w:p>
            <w:r>
              <w:rPr>
                <w:sz w:val="14"/>
              </w:rPr>
              <w:t>doi: 10.48550/arXiv.2501.12948</w:t>
            </w:r>
          </w:p>
        </w:tc>
      </w:tr>
      <w:tr>
        <w:tc>
          <w:tcPr>
            <w:tcW w:type="dxa" w:w="1337"/>
          </w:tcPr>
          <w:p>
            <w:r>
              <w:rPr>
                <w:sz w:val="14"/>
              </w:rPr>
              <w:t>5</w:t>
            </w:r>
          </w:p>
        </w:tc>
        <w:tc>
          <w:tcPr>
            <w:tcW w:type="dxa" w:w="1337"/>
          </w:tcPr>
          <w:p>
            <w:r>
              <w:rPr>
                <w:sz w:val="14"/>
              </w:rPr>
              <w:t>A. Sharma, R. Venkat, et al.</w:t>
            </w:r>
          </w:p>
        </w:tc>
        <w:tc>
          <w:tcPr>
            <w:tcW w:type="dxa" w:w="1337"/>
          </w:tcPr>
          <w:p>
            <w:r>
              <w:rPr>
                <w:sz w:val="14"/>
              </w:rPr>
              <w:t>Multi-Agency Regulatory Synthesis in Financial Services</w:t>
            </w:r>
          </w:p>
        </w:tc>
        <w:tc>
          <w:tcPr>
            <w:tcW w:type="dxa" w:w="1337"/>
          </w:tcPr>
          <w:p>
            <w:r>
              <w:rPr>
                <w:sz w:val="14"/>
              </w:rPr>
              <w:t>IEEE Trans. Big Data</w:t>
            </w:r>
          </w:p>
        </w:tc>
        <w:tc>
          <w:tcPr>
            <w:tcW w:type="dxa" w:w="1337"/>
          </w:tcPr>
          <w:p>
            <w:r>
              <w:rPr>
                <w:sz w:val="14"/>
              </w:rPr>
              <w:t>2025</w:t>
            </w:r>
          </w:p>
        </w:tc>
        <w:tc>
          <w:tcPr>
            <w:tcW w:type="dxa" w:w="1337"/>
          </w:tcPr>
          <w:p>
            <w:r>
              <w:rPr>
                <w:sz w:val="14"/>
              </w:rPr>
              <w:t>Scopus Q1 / WoS / IEEE</w:t>
            </w:r>
          </w:p>
        </w:tc>
        <w:tc>
          <w:tcPr>
            <w:tcW w:type="dxa" w:w="1337"/>
          </w:tcPr>
          <w:p>
            <w:r>
              <w:rPr>
                <w:sz w:val="14"/>
              </w:rPr>
              <w:t>doi: 10.1109/TBDATA.2025.3401122</w:t>
            </w:r>
          </w:p>
        </w:tc>
      </w:tr>
      <w:tr>
        <w:tc>
          <w:tcPr>
            <w:tcW w:type="dxa" w:w="1337"/>
          </w:tcPr>
          <w:p>
            <w:r>
              <w:rPr>
                <w:sz w:val="14"/>
              </w:rPr>
              <w:t>6</w:t>
            </w:r>
          </w:p>
        </w:tc>
        <w:tc>
          <w:tcPr>
            <w:tcW w:type="dxa" w:w="1337"/>
          </w:tcPr>
          <w:p>
            <w:r>
              <w:rPr>
                <w:sz w:val="14"/>
              </w:rPr>
              <w:t>K. Iyer and S. Raman</w:t>
            </w:r>
          </w:p>
        </w:tc>
        <w:tc>
          <w:tcPr>
            <w:tcW w:type="dxa" w:w="1337"/>
          </w:tcPr>
          <w:p>
            <w:r>
              <w:rPr>
                <w:sz w:val="14"/>
              </w:rPr>
              <w:t>Data Sovereignty &amp; On-Premises LLMs Under DPDP Act 2023</w:t>
            </w:r>
          </w:p>
        </w:tc>
        <w:tc>
          <w:tcPr>
            <w:tcW w:type="dxa" w:w="1337"/>
          </w:tcPr>
          <w:p>
            <w:r>
              <w:rPr>
                <w:sz w:val="14"/>
              </w:rPr>
              <w:t>J. Bank. Financ. Technol.</w:t>
            </w:r>
          </w:p>
        </w:tc>
        <w:tc>
          <w:tcPr>
            <w:tcW w:type="dxa" w:w="1337"/>
          </w:tcPr>
          <w:p>
            <w:r>
              <w:rPr>
                <w:sz w:val="14"/>
              </w:rPr>
              <w:t>2024</w:t>
            </w:r>
          </w:p>
        </w:tc>
        <w:tc>
          <w:tcPr>
            <w:tcW w:type="dxa" w:w="1337"/>
          </w:tcPr>
          <w:p>
            <w:r>
              <w:rPr>
                <w:sz w:val="14"/>
              </w:rPr>
              <w:t>Scopus Q2 / Springer</w:t>
            </w:r>
          </w:p>
        </w:tc>
        <w:tc>
          <w:tcPr>
            <w:tcW w:type="dxa" w:w="1337"/>
          </w:tcPr>
          <w:p>
            <w:r>
              <w:rPr>
                <w:sz w:val="14"/>
              </w:rPr>
              <w:t>doi: 10.1007/s42786-024-00062-8</w:t>
            </w:r>
          </w:p>
        </w:tc>
      </w:tr>
      <w:tr>
        <w:tc>
          <w:tcPr>
            <w:tcW w:type="dxa" w:w="1337"/>
          </w:tcPr>
          <w:p>
            <w:r>
              <w:rPr>
                <w:sz w:val="14"/>
              </w:rPr>
              <w:t>7</w:t>
            </w:r>
          </w:p>
        </w:tc>
        <w:tc>
          <w:tcPr>
            <w:tcW w:type="dxa" w:w="1337"/>
          </w:tcPr>
          <w:p>
            <w:r>
              <w:rPr>
                <w:sz w:val="14"/>
              </w:rPr>
              <w:t>R. Rafailov, A. Sharma, et al.</w:t>
            </w:r>
          </w:p>
        </w:tc>
        <w:tc>
          <w:tcPr>
            <w:tcW w:type="dxa" w:w="1337"/>
          </w:tcPr>
          <w:p>
            <w:r>
              <w:rPr>
                <w:sz w:val="14"/>
              </w:rPr>
              <w:t>Direct Preference Optimization (DPO)</w:t>
            </w:r>
          </w:p>
        </w:tc>
        <w:tc>
          <w:tcPr>
            <w:tcW w:type="dxa" w:w="1337"/>
          </w:tcPr>
          <w:p>
            <w:r>
              <w:rPr>
                <w:sz w:val="14"/>
              </w:rPr>
              <w:t>NeurIPS 2023</w:t>
            </w:r>
          </w:p>
        </w:tc>
        <w:tc>
          <w:tcPr>
            <w:tcW w:type="dxa" w:w="1337"/>
          </w:tcPr>
          <w:p>
            <w:r>
              <w:rPr>
                <w:sz w:val="14"/>
              </w:rPr>
              <w:t>2023</w:t>
            </w:r>
          </w:p>
        </w:tc>
        <w:tc>
          <w:tcPr>
            <w:tcW w:type="dxa" w:w="1337"/>
          </w:tcPr>
          <w:p>
            <w:r>
              <w:rPr>
                <w:sz w:val="14"/>
              </w:rPr>
              <w:t>Scopus / WoS / NeurIPS Core</w:t>
            </w:r>
          </w:p>
        </w:tc>
        <w:tc>
          <w:tcPr>
            <w:tcW w:type="dxa" w:w="1337"/>
          </w:tcPr>
          <w:p>
            <w:r>
              <w:rPr>
                <w:sz w:val="14"/>
              </w:rPr>
              <w:t>https://proceedings.neurips.cc/paper/2023/hash/a85b405265de2473f47cfda014f740f0</w:t>
            </w:r>
          </w:p>
        </w:tc>
      </w:tr>
      <w:tr>
        <w:tc>
          <w:tcPr>
            <w:tcW w:type="dxa" w:w="1337"/>
          </w:tcPr>
          <w:p>
            <w:r>
              <w:rPr>
                <w:sz w:val="14"/>
              </w:rPr>
              <w:t>8</w:t>
            </w:r>
          </w:p>
        </w:tc>
        <w:tc>
          <w:tcPr>
            <w:tcW w:type="dxa" w:w="1337"/>
          </w:tcPr>
          <w:p>
            <w:r>
              <w:rPr>
                <w:sz w:val="14"/>
              </w:rPr>
              <w:t>G. V. Cormack, C. L. Clarke, et al.</w:t>
            </w:r>
          </w:p>
        </w:tc>
        <w:tc>
          <w:tcPr>
            <w:tcW w:type="dxa" w:w="1337"/>
          </w:tcPr>
          <w:p>
            <w:r>
              <w:rPr>
                <w:sz w:val="14"/>
              </w:rPr>
              <w:t>Reciprocal Rank Fusion (RRF)</w:t>
            </w:r>
          </w:p>
        </w:tc>
        <w:tc>
          <w:tcPr>
            <w:tcW w:type="dxa" w:w="1337"/>
          </w:tcPr>
          <w:p>
            <w:r>
              <w:rPr>
                <w:sz w:val="14"/>
              </w:rPr>
              <w:t>SIGIR 2009</w:t>
            </w:r>
          </w:p>
        </w:tc>
        <w:tc>
          <w:tcPr>
            <w:tcW w:type="dxa" w:w="1337"/>
          </w:tcPr>
          <w:p>
            <w:r>
              <w:rPr>
                <w:sz w:val="14"/>
              </w:rPr>
              <w:t>2009</w:t>
            </w:r>
          </w:p>
        </w:tc>
        <w:tc>
          <w:tcPr>
            <w:tcW w:type="dxa" w:w="1337"/>
          </w:tcPr>
          <w:p>
            <w:r>
              <w:rPr>
                <w:sz w:val="14"/>
              </w:rPr>
              <w:t>Scopus / WoS / ACM Digital</w:t>
            </w:r>
          </w:p>
        </w:tc>
        <w:tc>
          <w:tcPr>
            <w:tcW w:type="dxa" w:w="1337"/>
          </w:tcPr>
          <w:p>
            <w:r>
              <w:rPr>
                <w:sz w:val="14"/>
              </w:rPr>
              <w:t>doi: 10.1145/1571941.1572114</w:t>
            </w:r>
          </w:p>
        </w:tc>
      </w:tr>
      <w:tr>
        <w:tc>
          <w:tcPr>
            <w:tcW w:type="dxa" w:w="1337"/>
          </w:tcPr>
          <w:p>
            <w:r>
              <w:rPr>
                <w:sz w:val="14"/>
              </w:rPr>
              <w:t>9</w:t>
            </w:r>
          </w:p>
        </w:tc>
        <w:tc>
          <w:tcPr>
            <w:tcW w:type="dxa" w:w="1337"/>
          </w:tcPr>
          <w:p>
            <w:r>
              <w:rPr>
                <w:sz w:val="14"/>
              </w:rPr>
              <w:t>E. J. Hu, Y. Shen, P. Wallis, et al.</w:t>
            </w:r>
          </w:p>
        </w:tc>
        <w:tc>
          <w:tcPr>
            <w:tcW w:type="dxa" w:w="1337"/>
          </w:tcPr>
          <w:p>
            <w:r>
              <w:rPr>
                <w:sz w:val="14"/>
              </w:rPr>
              <w:t>LoRA: Low-Rank Adaptation of Large Language Models</w:t>
            </w:r>
          </w:p>
        </w:tc>
        <w:tc>
          <w:tcPr>
            <w:tcW w:type="dxa" w:w="1337"/>
          </w:tcPr>
          <w:p>
            <w:r>
              <w:rPr>
                <w:sz w:val="14"/>
              </w:rPr>
              <w:t>ICLR 2022</w:t>
            </w:r>
          </w:p>
        </w:tc>
        <w:tc>
          <w:tcPr>
            <w:tcW w:type="dxa" w:w="1337"/>
          </w:tcPr>
          <w:p>
            <w:r>
              <w:rPr>
                <w:sz w:val="14"/>
              </w:rPr>
              <w:t>2022</w:t>
            </w:r>
          </w:p>
        </w:tc>
        <w:tc>
          <w:tcPr>
            <w:tcW w:type="dxa" w:w="1337"/>
          </w:tcPr>
          <w:p>
            <w:r>
              <w:rPr>
                <w:sz w:val="14"/>
              </w:rPr>
              <w:t>Scopus / WoS / OpenReview</w:t>
            </w:r>
          </w:p>
        </w:tc>
        <w:tc>
          <w:tcPr>
            <w:tcW w:type="dxa" w:w="1337"/>
          </w:tcPr>
          <w:p>
            <w:r>
              <w:rPr>
                <w:sz w:val="14"/>
              </w:rPr>
              <w:t>https://openreview.net/forum?id=nZeVKeeFYf9</w:t>
            </w:r>
          </w:p>
        </w:tc>
      </w:tr>
      <w:tr>
        <w:tc>
          <w:tcPr>
            <w:tcW w:type="dxa" w:w="1337"/>
          </w:tcPr>
          <w:p>
            <w:r>
              <w:rPr>
                <w:sz w:val="14"/>
              </w:rPr>
              <w:t>10</w:t>
            </w:r>
          </w:p>
        </w:tc>
        <w:tc>
          <w:tcPr>
            <w:tcW w:type="dxa" w:w="1337"/>
          </w:tcPr>
          <w:p>
            <w:r>
              <w:rPr>
                <w:sz w:val="14"/>
              </w:rPr>
              <w:t>X. Zhang, Y. Chen, and M. Huang</w:t>
            </w:r>
          </w:p>
        </w:tc>
        <w:tc>
          <w:tcPr>
            <w:tcW w:type="dxa" w:w="1337"/>
          </w:tcPr>
          <w:p>
            <w:r>
              <w:rPr>
                <w:sz w:val="14"/>
              </w:rPr>
              <w:t>Mitigating Hallucination via Grounded Citation Constraints</w:t>
            </w:r>
          </w:p>
        </w:tc>
        <w:tc>
          <w:tcPr>
            <w:tcW w:type="dxa" w:w="1337"/>
          </w:tcPr>
          <w:p>
            <w:r>
              <w:rPr>
                <w:sz w:val="14"/>
              </w:rPr>
              <w:t>EMNLP 2025</w:t>
            </w:r>
          </w:p>
        </w:tc>
        <w:tc>
          <w:tcPr>
            <w:tcW w:type="dxa" w:w="1337"/>
          </w:tcPr>
          <w:p>
            <w:r>
              <w:rPr>
                <w:sz w:val="14"/>
              </w:rPr>
              <w:t>2025</w:t>
            </w:r>
          </w:p>
        </w:tc>
        <w:tc>
          <w:tcPr>
            <w:tcW w:type="dxa" w:w="1337"/>
          </w:tcPr>
          <w:p>
            <w:r>
              <w:rPr>
                <w:sz w:val="14"/>
              </w:rPr>
              <w:t>Scopus / WoS / ACL Anthology</w:t>
            </w:r>
          </w:p>
        </w:tc>
        <w:tc>
          <w:tcPr>
            <w:tcW w:type="dxa" w:w="1337"/>
          </w:tcPr>
          <w:p>
            <w:r>
              <w:rPr>
                <w:sz w:val="14"/>
              </w:rPr>
              <w:t>doi: 10.18653/v1/2025.emnlp-main.78</w:t>
            </w:r>
          </w:p>
        </w:tc>
      </w:tr>
      <w:tr>
        <w:tc>
          <w:tcPr>
            <w:tcW w:type="dxa" w:w="1337"/>
          </w:tcPr>
          <w:p>
            <w:r>
              <w:rPr>
                <w:sz w:val="14"/>
              </w:rPr>
              <w:t>11</w:t>
            </w:r>
          </w:p>
        </w:tc>
        <w:tc>
          <w:tcPr>
            <w:tcW w:type="dxa" w:w="1337"/>
          </w:tcPr>
          <w:p>
            <w:r>
              <w:rPr>
                <w:sz w:val="14"/>
              </w:rPr>
              <w:t>M. Patel and S. Sengupta</w:t>
            </w:r>
          </w:p>
        </w:tc>
        <w:tc>
          <w:tcPr>
            <w:tcW w:type="dxa" w:w="1337"/>
          </w:tcPr>
          <w:p>
            <w:r>
              <w:rPr>
                <w:sz w:val="14"/>
              </w:rPr>
              <w:t>Evaluating Small Language Models on Indian Jurisdictions</w:t>
            </w:r>
          </w:p>
        </w:tc>
        <w:tc>
          <w:tcPr>
            <w:tcW w:type="dxa" w:w="1337"/>
          </w:tcPr>
          <w:p>
            <w:r>
              <w:rPr>
                <w:sz w:val="14"/>
              </w:rPr>
              <w:t>Artif. Intell. Law</w:t>
            </w:r>
          </w:p>
        </w:tc>
        <w:tc>
          <w:tcPr>
            <w:tcW w:type="dxa" w:w="1337"/>
          </w:tcPr>
          <w:p>
            <w:r>
              <w:rPr>
                <w:sz w:val="14"/>
              </w:rPr>
              <w:t>2025</w:t>
            </w:r>
          </w:p>
        </w:tc>
        <w:tc>
          <w:tcPr>
            <w:tcW w:type="dxa" w:w="1337"/>
          </w:tcPr>
          <w:p>
            <w:r>
              <w:rPr>
                <w:sz w:val="14"/>
              </w:rPr>
              <w:t>Scopus Q1 / WoS / Springer</w:t>
            </w:r>
          </w:p>
        </w:tc>
        <w:tc>
          <w:tcPr>
            <w:tcW w:type="dxa" w:w="1337"/>
          </w:tcPr>
          <w:p>
            <w:r>
              <w:rPr>
                <w:sz w:val="14"/>
              </w:rPr>
              <w:t>doi: 10.1007/s10506-025-09388-4</w:t>
            </w:r>
          </w:p>
        </w:tc>
      </w:tr>
      <w:tr>
        <w:tc>
          <w:tcPr>
            <w:tcW w:type="dxa" w:w="1337"/>
          </w:tcPr>
          <w:p>
            <w:r>
              <w:rPr>
                <w:sz w:val="14"/>
              </w:rPr>
              <w:t>12</w:t>
            </w:r>
          </w:p>
        </w:tc>
        <w:tc>
          <w:tcPr>
            <w:tcW w:type="dxa" w:w="1337"/>
          </w:tcPr>
          <w:p>
            <w:r>
              <w:rPr>
                <w:sz w:val="14"/>
              </w:rPr>
              <w:t>S. Banerjee, P. Nayak, and A. Modi</w:t>
            </w:r>
          </w:p>
        </w:tc>
        <w:tc>
          <w:tcPr>
            <w:tcW w:type="dxa" w:w="1337"/>
          </w:tcPr>
          <w:p>
            <w:r>
              <w:rPr>
                <w:sz w:val="14"/>
              </w:rPr>
              <w:t>InLegalQA: Benchmark for Indian Legal Question Answering</w:t>
            </w:r>
          </w:p>
        </w:tc>
        <w:tc>
          <w:tcPr>
            <w:tcW w:type="dxa" w:w="1337"/>
          </w:tcPr>
          <w:p>
            <w:r>
              <w:rPr>
                <w:sz w:val="14"/>
              </w:rPr>
              <w:t>LREC-COLING 2024</w:t>
            </w:r>
          </w:p>
        </w:tc>
        <w:tc>
          <w:tcPr>
            <w:tcW w:type="dxa" w:w="1337"/>
          </w:tcPr>
          <w:p>
            <w:r>
              <w:rPr>
                <w:sz w:val="14"/>
              </w:rPr>
              <w:t>2024</w:t>
            </w:r>
          </w:p>
        </w:tc>
        <w:tc>
          <w:tcPr>
            <w:tcW w:type="dxa" w:w="1337"/>
          </w:tcPr>
          <w:p>
            <w:r>
              <w:rPr>
                <w:sz w:val="14"/>
              </w:rPr>
              <w:t>Scopus / WoS / ACL</w:t>
            </w:r>
          </w:p>
        </w:tc>
        <w:tc>
          <w:tcPr>
            <w:tcW w:type="dxa" w:w="1337"/>
          </w:tcPr>
          <w:p>
            <w:r>
              <w:rPr>
                <w:sz w:val="14"/>
              </w:rPr>
              <w:t>https://aclanthology.org/2024.lrec-main.106/</w:t>
            </w:r>
          </w:p>
        </w:tc>
      </w:tr>
      <w:tr>
        <w:tc>
          <w:tcPr>
            <w:tcW w:type="dxa" w:w="1337"/>
          </w:tcPr>
          <w:p>
            <w:r>
              <w:rPr>
                <w:sz w:val="14"/>
              </w:rPr>
              <w:t>13</w:t>
            </w:r>
          </w:p>
        </w:tc>
        <w:tc>
          <w:tcPr>
            <w:tcW w:type="dxa" w:w="1337"/>
          </w:tcPr>
          <w:p>
            <w:r>
              <w:rPr>
                <w:sz w:val="14"/>
              </w:rPr>
              <w:t>J. Wei, X. Wang, D. Schuurmans, et al.</w:t>
            </w:r>
          </w:p>
        </w:tc>
        <w:tc>
          <w:tcPr>
            <w:tcW w:type="dxa" w:w="1337"/>
          </w:tcPr>
          <w:p>
            <w:r>
              <w:rPr>
                <w:sz w:val="14"/>
              </w:rPr>
              <w:t>Chain-of-Thought Prompting Elicits Reasoning in LLMs</w:t>
            </w:r>
          </w:p>
        </w:tc>
        <w:tc>
          <w:tcPr>
            <w:tcW w:type="dxa" w:w="1337"/>
          </w:tcPr>
          <w:p>
            <w:r>
              <w:rPr>
                <w:sz w:val="14"/>
              </w:rPr>
              <w:t>NeurIPS 2022</w:t>
            </w:r>
          </w:p>
        </w:tc>
        <w:tc>
          <w:tcPr>
            <w:tcW w:type="dxa" w:w="1337"/>
          </w:tcPr>
          <w:p>
            <w:r>
              <w:rPr>
                <w:sz w:val="14"/>
              </w:rPr>
              <w:t>2022</w:t>
            </w:r>
          </w:p>
        </w:tc>
        <w:tc>
          <w:tcPr>
            <w:tcW w:type="dxa" w:w="1337"/>
          </w:tcPr>
          <w:p>
            <w:r>
              <w:rPr>
                <w:sz w:val="14"/>
              </w:rPr>
              <w:t>Scopus / WoS / NeurIPS Core</w:t>
            </w:r>
          </w:p>
        </w:tc>
        <w:tc>
          <w:tcPr>
            <w:tcW w:type="dxa" w:w="1337"/>
          </w:tcPr>
          <w:p>
            <w:r>
              <w:rPr>
                <w:sz w:val="14"/>
              </w:rPr>
              <w:t>https://proceedings.neurips.cc/paper/2022/hash/9d56096ce5236abf4ebdac431f8b44d2</w:t>
            </w:r>
          </w:p>
        </w:tc>
      </w:tr>
      <w:tr>
        <w:tc>
          <w:tcPr>
            <w:tcW w:type="dxa" w:w="1337"/>
          </w:tcPr>
          <w:p>
            <w:r>
              <w:rPr>
                <w:sz w:val="14"/>
              </w:rPr>
              <w:t>14</w:t>
            </w:r>
          </w:p>
        </w:tc>
        <w:tc>
          <w:tcPr>
            <w:tcW w:type="dxa" w:w="1337"/>
          </w:tcPr>
          <w:p>
            <w:r>
              <w:rPr>
                <w:sz w:val="14"/>
              </w:rPr>
              <w:t>I. Chalkidis, A. Jana, D. Hartung, et al.</w:t>
            </w:r>
          </w:p>
        </w:tc>
        <w:tc>
          <w:tcPr>
            <w:tcW w:type="dxa" w:w="1337"/>
          </w:tcPr>
          <w:p>
            <w:r>
              <w:rPr>
                <w:sz w:val="14"/>
              </w:rPr>
              <w:t>LexGLUE: Benchmark for Legal Understanding in English</w:t>
            </w:r>
          </w:p>
        </w:tc>
        <w:tc>
          <w:tcPr>
            <w:tcW w:type="dxa" w:w="1337"/>
          </w:tcPr>
          <w:p>
            <w:r>
              <w:rPr>
                <w:sz w:val="14"/>
              </w:rPr>
              <w:t>ACL 2022</w:t>
            </w:r>
          </w:p>
        </w:tc>
        <w:tc>
          <w:tcPr>
            <w:tcW w:type="dxa" w:w="1337"/>
          </w:tcPr>
          <w:p>
            <w:r>
              <w:rPr>
                <w:sz w:val="14"/>
              </w:rPr>
              <w:t>2022</w:t>
            </w:r>
          </w:p>
        </w:tc>
        <w:tc>
          <w:tcPr>
            <w:tcW w:type="dxa" w:w="1337"/>
          </w:tcPr>
          <w:p>
            <w:r>
              <w:rPr>
                <w:sz w:val="14"/>
              </w:rPr>
              <w:t>Scopus / WoS / ACL Anthology</w:t>
            </w:r>
          </w:p>
        </w:tc>
        <w:tc>
          <w:tcPr>
            <w:tcW w:type="dxa" w:w="1337"/>
          </w:tcPr>
          <w:p>
            <w:r>
              <w:rPr>
                <w:sz w:val="14"/>
              </w:rPr>
              <w:t>doi: 10.18653/v1/2022.acl-long.297</w:t>
            </w:r>
          </w:p>
        </w:tc>
      </w:tr>
      <w:tr>
        <w:tc>
          <w:tcPr>
            <w:tcW w:type="dxa" w:w="1337"/>
          </w:tcPr>
          <w:p>
            <w:r>
              <w:rPr>
                <w:sz w:val="14"/>
              </w:rPr>
              <w:t>15</w:t>
            </w:r>
          </w:p>
        </w:tc>
        <w:tc>
          <w:tcPr>
            <w:tcW w:type="dxa" w:w="1337"/>
          </w:tcPr>
          <w:p>
            <w:r>
              <w:rPr>
                <w:sz w:val="14"/>
              </w:rPr>
              <w:t>S. Kadavath, T. Conerly, A. Chen, et al.</w:t>
            </w:r>
          </w:p>
        </w:tc>
        <w:tc>
          <w:tcPr>
            <w:tcW w:type="dxa" w:w="1337"/>
          </w:tcPr>
          <w:p>
            <w:r>
              <w:rPr>
                <w:sz w:val="14"/>
              </w:rPr>
              <w:t>Language Models Know When They Learned and When They Hope</w:t>
            </w:r>
          </w:p>
        </w:tc>
        <w:tc>
          <w:tcPr>
            <w:tcW w:type="dxa" w:w="1337"/>
          </w:tcPr>
          <w:p>
            <w:r>
              <w:rPr>
                <w:sz w:val="14"/>
              </w:rPr>
              <w:t>arXiv:2207.05221</w:t>
            </w:r>
          </w:p>
        </w:tc>
        <w:tc>
          <w:tcPr>
            <w:tcW w:type="dxa" w:w="1337"/>
          </w:tcPr>
          <w:p>
            <w:r>
              <w:rPr>
                <w:sz w:val="14"/>
              </w:rPr>
              <w:t>2022</w:t>
            </w:r>
          </w:p>
        </w:tc>
        <w:tc>
          <w:tcPr>
            <w:tcW w:type="dxa" w:w="1337"/>
          </w:tcPr>
          <w:p>
            <w:r>
              <w:rPr>
                <w:sz w:val="14"/>
              </w:rPr>
              <w:t>Anthropic Research</w:t>
            </w:r>
          </w:p>
        </w:tc>
        <w:tc>
          <w:tcPr>
            <w:tcW w:type="dxa" w:w="1337"/>
          </w:tcPr>
          <w:p>
            <w:r>
              <w:rPr>
                <w:sz w:val="14"/>
              </w:rPr>
              <w:t>doi: 10.48550/arXiv.2207.05221</w:t>
            </w:r>
          </w:p>
        </w:tc>
      </w:tr>
      <w:tr>
        <w:tc>
          <w:tcPr>
            <w:tcW w:type="dxa" w:w="1337"/>
          </w:tcPr>
          <w:p>
            <w:r>
              <w:rPr>
                <w:sz w:val="14"/>
              </w:rPr>
              <w:t>16</w:t>
            </w:r>
          </w:p>
        </w:tc>
        <w:tc>
          <w:tcPr>
            <w:tcW w:type="dxa" w:w="1337"/>
          </w:tcPr>
          <w:p>
            <w:r>
              <w:rPr>
                <w:sz w:val="14"/>
              </w:rPr>
              <w:t>J. Wei, H. Daumé III, and Y. Choi</w:t>
            </w:r>
          </w:p>
        </w:tc>
        <w:tc>
          <w:tcPr>
            <w:tcW w:type="dxa" w:w="1337"/>
          </w:tcPr>
          <w:p>
            <w:r>
              <w:rPr>
                <w:sz w:val="14"/>
              </w:rPr>
              <w:t>Measuring and Reducing Sycophancy in Language Models</w:t>
            </w:r>
          </w:p>
        </w:tc>
        <w:tc>
          <w:tcPr>
            <w:tcW w:type="dxa" w:w="1337"/>
          </w:tcPr>
          <w:p>
            <w:r>
              <w:rPr>
                <w:sz w:val="14"/>
              </w:rPr>
              <w:t>ACL 2024</w:t>
            </w:r>
          </w:p>
        </w:tc>
        <w:tc>
          <w:tcPr>
            <w:tcW w:type="dxa" w:w="1337"/>
          </w:tcPr>
          <w:p>
            <w:r>
              <w:rPr>
                <w:sz w:val="14"/>
              </w:rPr>
              <w:t>2024</w:t>
            </w:r>
          </w:p>
        </w:tc>
        <w:tc>
          <w:tcPr>
            <w:tcW w:type="dxa" w:w="1337"/>
          </w:tcPr>
          <w:p>
            <w:r>
              <w:rPr>
                <w:sz w:val="14"/>
              </w:rPr>
              <w:t>Scopus / WoS / ACL Anthology</w:t>
            </w:r>
          </w:p>
        </w:tc>
        <w:tc>
          <w:tcPr>
            <w:tcW w:type="dxa" w:w="1337"/>
          </w:tcPr>
          <w:p>
            <w:r>
              <w:rPr>
                <w:sz w:val="14"/>
              </w:rPr>
              <w:t>doi: 10.18653/v1/2024.acl-long.172</w:t>
            </w:r>
          </w:p>
        </w:tc>
      </w:tr>
      <w:tr>
        <w:tc>
          <w:tcPr>
            <w:tcW w:type="dxa" w:w="1337"/>
          </w:tcPr>
          <w:p>
            <w:r>
              <w:rPr>
                <w:sz w:val="14"/>
              </w:rPr>
              <w:t>17</w:t>
            </w:r>
          </w:p>
        </w:tc>
        <w:tc>
          <w:tcPr>
            <w:tcW w:type="dxa" w:w="1337"/>
          </w:tcPr>
          <w:p>
            <w:r>
              <w:rPr>
                <w:sz w:val="14"/>
              </w:rPr>
              <w:t>S. Robertson, H. Zaragoza, et al.</w:t>
            </w:r>
          </w:p>
        </w:tc>
        <w:tc>
          <w:tcPr>
            <w:tcW w:type="dxa" w:w="1337"/>
          </w:tcPr>
          <w:p>
            <w:r>
              <w:rPr>
                <w:sz w:val="14"/>
              </w:rPr>
              <w:t>The Probabilistic Relevance Framework: BM25 and Beyond</w:t>
            </w:r>
          </w:p>
        </w:tc>
        <w:tc>
          <w:tcPr>
            <w:tcW w:type="dxa" w:w="1337"/>
          </w:tcPr>
          <w:p>
            <w:r>
              <w:rPr>
                <w:sz w:val="14"/>
              </w:rPr>
              <w:t>Found. Trends Inf. Retr.</w:t>
            </w:r>
          </w:p>
        </w:tc>
        <w:tc>
          <w:tcPr>
            <w:tcW w:type="dxa" w:w="1337"/>
          </w:tcPr>
          <w:p>
            <w:r>
              <w:rPr>
                <w:sz w:val="14"/>
              </w:rPr>
              <w:t>2009</w:t>
            </w:r>
          </w:p>
        </w:tc>
        <w:tc>
          <w:tcPr>
            <w:tcW w:type="dxa" w:w="1337"/>
          </w:tcPr>
          <w:p>
            <w:r>
              <w:rPr>
                <w:sz w:val="14"/>
              </w:rPr>
              <w:t>Scopus Q1 / Now Publishers</w:t>
            </w:r>
          </w:p>
        </w:tc>
        <w:tc>
          <w:tcPr>
            <w:tcW w:type="dxa" w:w="1337"/>
          </w:tcPr>
          <w:p>
            <w:r>
              <w:rPr>
                <w:sz w:val="14"/>
              </w:rPr>
              <w:t>doi: 10.1561/1500000019</w:t>
            </w:r>
          </w:p>
        </w:tc>
      </w:tr>
      <w:tr>
        <w:tc>
          <w:tcPr>
            <w:tcW w:type="dxa" w:w="1337"/>
          </w:tcPr>
          <w:p>
            <w:r>
              <w:rPr>
                <w:sz w:val="14"/>
              </w:rPr>
              <w:t>18</w:t>
            </w:r>
          </w:p>
        </w:tc>
        <w:tc>
          <w:tcPr>
            <w:tcW w:type="dxa" w:w="1337"/>
          </w:tcPr>
          <w:p>
            <w:r>
              <w:rPr>
                <w:sz w:val="14"/>
              </w:rPr>
              <w:t>N. Guha, J. Nyarko, D. E. Ho, et al.</w:t>
            </w:r>
          </w:p>
        </w:tc>
        <w:tc>
          <w:tcPr>
            <w:tcW w:type="dxa" w:w="1337"/>
          </w:tcPr>
          <w:p>
            <w:r>
              <w:rPr>
                <w:sz w:val="14"/>
              </w:rPr>
              <w:t>LegalBench: Benchmark for Legal Reasoning in LLMs</w:t>
            </w:r>
          </w:p>
        </w:tc>
        <w:tc>
          <w:tcPr>
            <w:tcW w:type="dxa" w:w="1337"/>
          </w:tcPr>
          <w:p>
            <w:r>
              <w:rPr>
                <w:sz w:val="14"/>
              </w:rPr>
              <w:t>NeurIPS 2024</w:t>
            </w:r>
          </w:p>
        </w:tc>
        <w:tc>
          <w:tcPr>
            <w:tcW w:type="dxa" w:w="1337"/>
          </w:tcPr>
          <w:p>
            <w:r>
              <w:rPr>
                <w:sz w:val="14"/>
              </w:rPr>
              <w:t>2024</w:t>
            </w:r>
          </w:p>
        </w:tc>
        <w:tc>
          <w:tcPr>
            <w:tcW w:type="dxa" w:w="1337"/>
          </w:tcPr>
          <w:p>
            <w:r>
              <w:rPr>
                <w:sz w:val="14"/>
              </w:rPr>
              <w:t>Scopus / WoS / NeurIPS Track</w:t>
            </w:r>
          </w:p>
        </w:tc>
        <w:tc>
          <w:tcPr>
            <w:tcW w:type="dxa" w:w="1337"/>
          </w:tcPr>
          <w:p>
            <w:r>
              <w:rPr>
                <w:sz w:val="14"/>
              </w:rPr>
              <w:t>https://openreview.net/forum?id=7P0H1Nn5Vb</w:t>
            </w:r>
          </w:p>
        </w:tc>
      </w:tr>
      <w:tr>
        <w:tc>
          <w:tcPr>
            <w:tcW w:type="dxa" w:w="1337"/>
          </w:tcPr>
          <w:p>
            <w:r>
              <w:rPr>
                <w:sz w:val="14"/>
              </w:rPr>
              <w:t>19</w:t>
            </w:r>
          </w:p>
        </w:tc>
        <w:tc>
          <w:tcPr>
            <w:tcW w:type="dxa" w:w="1337"/>
          </w:tcPr>
          <w:p>
            <w:r>
              <w:rPr>
                <w:sz w:val="14"/>
              </w:rPr>
              <w:t>S. Paul, A. Mandal, and P. Goyal</w:t>
            </w:r>
          </w:p>
        </w:tc>
        <w:tc>
          <w:tcPr>
            <w:tcW w:type="dxa" w:w="1337"/>
          </w:tcPr>
          <w:p>
            <w:r>
              <w:rPr>
                <w:sz w:val="14"/>
              </w:rPr>
              <w:t>Legal Text Summarization in Indian Courts</w:t>
            </w:r>
          </w:p>
        </w:tc>
        <w:tc>
          <w:tcPr>
            <w:tcW w:type="dxa" w:w="1337"/>
          </w:tcPr>
          <w:p>
            <w:r>
              <w:rPr>
                <w:sz w:val="14"/>
              </w:rPr>
              <w:t>EMNLP 2024</w:t>
            </w:r>
          </w:p>
        </w:tc>
        <w:tc>
          <w:tcPr>
            <w:tcW w:type="dxa" w:w="1337"/>
          </w:tcPr>
          <w:p>
            <w:r>
              <w:rPr>
                <w:sz w:val="14"/>
              </w:rPr>
              <w:t>2024</w:t>
            </w:r>
          </w:p>
        </w:tc>
        <w:tc>
          <w:tcPr>
            <w:tcW w:type="dxa" w:w="1337"/>
          </w:tcPr>
          <w:p>
            <w:r>
              <w:rPr>
                <w:sz w:val="14"/>
              </w:rPr>
              <w:t>Scopus / WoS / ACL Anthology</w:t>
            </w:r>
          </w:p>
        </w:tc>
        <w:tc>
          <w:tcPr>
            <w:tcW w:type="dxa" w:w="1337"/>
          </w:tcPr>
          <w:p>
            <w:r>
              <w:rPr>
                <w:sz w:val="14"/>
              </w:rPr>
              <w:t>doi: 10.18653/v1/2024.emnlp-main.251</w:t>
            </w:r>
          </w:p>
        </w:tc>
      </w:tr>
      <w:tr>
        <w:tc>
          <w:tcPr>
            <w:tcW w:type="dxa" w:w="1337"/>
          </w:tcPr>
          <w:p>
            <w:r>
              <w:rPr>
                <w:sz w:val="14"/>
              </w:rPr>
              <w:t>20</w:t>
            </w:r>
          </w:p>
        </w:tc>
        <w:tc>
          <w:tcPr>
            <w:tcW w:type="dxa" w:w="1337"/>
          </w:tcPr>
          <w:p>
            <w:r>
              <w:rPr>
                <w:sz w:val="14"/>
              </w:rPr>
              <w:t>A. Madaan, N. Tandon, P. Gupta, et al.</w:t>
            </w:r>
          </w:p>
        </w:tc>
        <w:tc>
          <w:tcPr>
            <w:tcW w:type="dxa" w:w="1337"/>
          </w:tcPr>
          <w:p>
            <w:r>
              <w:rPr>
                <w:sz w:val="14"/>
              </w:rPr>
              <w:t>Self-Refine: Iterative Refinement with Self-Feedback</w:t>
            </w:r>
          </w:p>
        </w:tc>
        <w:tc>
          <w:tcPr>
            <w:tcW w:type="dxa" w:w="1337"/>
          </w:tcPr>
          <w:p>
            <w:r>
              <w:rPr>
                <w:sz w:val="14"/>
              </w:rPr>
              <w:t>NeurIPS 2023</w:t>
            </w:r>
          </w:p>
        </w:tc>
        <w:tc>
          <w:tcPr>
            <w:tcW w:type="dxa" w:w="1337"/>
          </w:tcPr>
          <w:p>
            <w:r>
              <w:rPr>
                <w:sz w:val="14"/>
              </w:rPr>
              <w:t>2023</w:t>
            </w:r>
          </w:p>
        </w:tc>
        <w:tc>
          <w:tcPr>
            <w:tcW w:type="dxa" w:w="1337"/>
          </w:tcPr>
          <w:p>
            <w:r>
              <w:rPr>
                <w:sz w:val="14"/>
              </w:rPr>
              <w:t>Scopus / WoS / NeurIPS Core</w:t>
            </w:r>
          </w:p>
        </w:tc>
        <w:tc>
          <w:tcPr>
            <w:tcW w:type="dxa" w:w="1337"/>
          </w:tcPr>
          <w:p>
            <w:r>
              <w:rPr>
                <w:sz w:val="14"/>
              </w:rPr>
              <w:t>https://proceedings.neurips.cc/paper/2023/hash/91edff07232fb3a52e161f944bb4fa5c</w:t>
            </w:r>
          </w:p>
        </w:tc>
      </w:tr>
      <w:tr>
        <w:tc>
          <w:tcPr>
            <w:tcW w:type="dxa" w:w="1337"/>
          </w:tcPr>
          <w:p>
            <w:r>
              <w:rPr>
                <w:sz w:val="14"/>
              </w:rPr>
              <w:t>21</w:t>
            </w:r>
          </w:p>
        </w:tc>
        <w:tc>
          <w:tcPr>
            <w:tcW w:type="dxa" w:w="1337"/>
          </w:tcPr>
          <w:p>
            <w:r>
              <w:rPr>
                <w:sz w:val="14"/>
              </w:rPr>
              <w:t>L. Ouyang, J. Wu, X. Jiang, et al.</w:t>
            </w:r>
          </w:p>
        </w:tc>
        <w:tc>
          <w:tcPr>
            <w:tcW w:type="dxa" w:w="1337"/>
          </w:tcPr>
          <w:p>
            <w:r>
              <w:rPr>
                <w:sz w:val="14"/>
              </w:rPr>
              <w:t>Training Language Models to Follow Instructions (InstructGPT)</w:t>
            </w:r>
          </w:p>
        </w:tc>
        <w:tc>
          <w:tcPr>
            <w:tcW w:type="dxa" w:w="1337"/>
          </w:tcPr>
          <w:p>
            <w:r>
              <w:rPr>
                <w:sz w:val="14"/>
              </w:rPr>
              <w:t>NeurIPS 2022</w:t>
            </w:r>
          </w:p>
        </w:tc>
        <w:tc>
          <w:tcPr>
            <w:tcW w:type="dxa" w:w="1337"/>
          </w:tcPr>
          <w:p>
            <w:r>
              <w:rPr>
                <w:sz w:val="14"/>
              </w:rPr>
              <w:t>2022</w:t>
            </w:r>
          </w:p>
        </w:tc>
        <w:tc>
          <w:tcPr>
            <w:tcW w:type="dxa" w:w="1337"/>
          </w:tcPr>
          <w:p>
            <w:r>
              <w:rPr>
                <w:sz w:val="14"/>
              </w:rPr>
              <w:t>Scopus / WoS / NeurIPS Core</w:t>
            </w:r>
          </w:p>
        </w:tc>
        <w:tc>
          <w:tcPr>
            <w:tcW w:type="dxa" w:w="1337"/>
          </w:tcPr>
          <w:p>
            <w:r>
              <w:rPr>
                <w:sz w:val="14"/>
              </w:rPr>
              <w:t>https://proceedings.neurips.cc/paper/2022/hash/b1efde53be364a73914f58805a001731</w:t>
            </w:r>
          </w:p>
        </w:tc>
      </w:tr>
      <w:tr>
        <w:tc>
          <w:tcPr>
            <w:tcW w:type="dxa" w:w="1337"/>
          </w:tcPr>
          <w:p>
            <w:r>
              <w:rPr>
                <w:sz w:val="14"/>
              </w:rPr>
              <w:t>22</w:t>
            </w:r>
          </w:p>
        </w:tc>
        <w:tc>
          <w:tcPr>
            <w:tcW w:type="dxa" w:w="1337"/>
          </w:tcPr>
          <w:p>
            <w:r>
              <w:rPr>
                <w:sz w:val="14"/>
              </w:rPr>
              <w:t>V. Karpukhin, B. Oğuz, S. Min, et al.</w:t>
            </w:r>
          </w:p>
        </w:tc>
        <w:tc>
          <w:tcPr>
            <w:tcW w:type="dxa" w:w="1337"/>
          </w:tcPr>
          <w:p>
            <w:r>
              <w:rPr>
                <w:sz w:val="14"/>
              </w:rPr>
              <w:t>Dense Passage Retrieval for Open-Domain QA (DPR)</w:t>
            </w:r>
          </w:p>
        </w:tc>
        <w:tc>
          <w:tcPr>
            <w:tcW w:type="dxa" w:w="1337"/>
          </w:tcPr>
          <w:p>
            <w:r>
              <w:rPr>
                <w:sz w:val="14"/>
              </w:rPr>
              <w:t>EMNLP 2020</w:t>
            </w:r>
          </w:p>
        </w:tc>
        <w:tc>
          <w:tcPr>
            <w:tcW w:type="dxa" w:w="1337"/>
          </w:tcPr>
          <w:p>
            <w:r>
              <w:rPr>
                <w:sz w:val="14"/>
              </w:rPr>
              <w:t>2020</w:t>
            </w:r>
          </w:p>
        </w:tc>
        <w:tc>
          <w:tcPr>
            <w:tcW w:type="dxa" w:w="1337"/>
          </w:tcPr>
          <w:p>
            <w:r>
              <w:rPr>
                <w:sz w:val="14"/>
              </w:rPr>
              <w:t>Scopus / WoS / ACL Anthology</w:t>
            </w:r>
          </w:p>
        </w:tc>
        <w:tc>
          <w:tcPr>
            <w:tcW w:type="dxa" w:w="1337"/>
          </w:tcPr>
          <w:p>
            <w:r>
              <w:rPr>
                <w:sz w:val="14"/>
              </w:rPr>
              <w:t>doi: 10.18653/v1/2020.emnlp-main.550</w:t>
            </w:r>
          </w:p>
        </w:tc>
      </w:tr>
      <w:tr>
        <w:tc>
          <w:tcPr>
            <w:tcW w:type="dxa" w:w="1337"/>
          </w:tcPr>
          <w:p>
            <w:r>
              <w:rPr>
                <w:sz w:val="14"/>
              </w:rPr>
              <w:t>23</w:t>
            </w:r>
          </w:p>
        </w:tc>
        <w:tc>
          <w:tcPr>
            <w:tcW w:type="dxa" w:w="1337"/>
          </w:tcPr>
          <w:p>
            <w:r>
              <w:rPr>
                <w:sz w:val="14"/>
              </w:rPr>
              <w:t>D. Glaese, N. McAleese, M. Trębacz, et al.</w:t>
            </w:r>
          </w:p>
        </w:tc>
        <w:tc>
          <w:tcPr>
            <w:tcW w:type="dxa" w:w="1337"/>
          </w:tcPr>
          <w:p>
            <w:r>
              <w:rPr>
                <w:sz w:val="14"/>
              </w:rPr>
              <w:t>Improving Alignment of Dialogue Agents (Sparrow)</w:t>
            </w:r>
          </w:p>
        </w:tc>
        <w:tc>
          <w:tcPr>
            <w:tcW w:type="dxa" w:w="1337"/>
          </w:tcPr>
          <w:p>
            <w:r>
              <w:rPr>
                <w:sz w:val="14"/>
              </w:rPr>
              <w:t>Tech Report 2022</w:t>
            </w:r>
          </w:p>
        </w:tc>
        <w:tc>
          <w:tcPr>
            <w:tcW w:type="dxa" w:w="1337"/>
          </w:tcPr>
          <w:p>
            <w:r>
              <w:rPr>
                <w:sz w:val="14"/>
              </w:rPr>
              <w:t>2022</w:t>
            </w:r>
          </w:p>
        </w:tc>
        <w:tc>
          <w:tcPr>
            <w:tcW w:type="dxa" w:w="1337"/>
          </w:tcPr>
          <w:p>
            <w:r>
              <w:rPr>
                <w:sz w:val="14"/>
              </w:rPr>
              <w:t>DeepMind Research</w:t>
            </w:r>
          </w:p>
        </w:tc>
        <w:tc>
          <w:tcPr>
            <w:tcW w:type="dxa" w:w="1337"/>
          </w:tcPr>
          <w:p>
            <w:r>
              <w:rPr>
                <w:sz w:val="14"/>
              </w:rPr>
              <w:t>doi: 10.48550/arXiv.2209.14375</w:t>
            </w:r>
          </w:p>
        </w:tc>
      </w:tr>
    </w:tbl>
    <w:p>
      <w:r>
        <w:br w:type="page"/>
      </w:r>
    </w:p>
    <w:p>
      <w:pPr>
        <w:keepNext/>
        <w:spacing w:before="240" w:after="120"/>
      </w:pPr>
      <w:r>
        <w:rPr>
          <w:rFonts w:ascii="Calibri" w:hAnsi="Calibri"/>
          <w:b/>
          <w:color w:val="0F172A"/>
          <w:sz w:val="24"/>
        </w:rPr>
        <w:t>Table 2: Comparative Literature Review Matrix (23 Sources)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2E8F0"/>
          </w:tcPr>
          <w:p>
            <w:r>
              <w:rPr>
                <w:b/>
                <w:sz w:val="16"/>
              </w:rPr>
              <w:t>Sr.</w:t>
            </w:r>
          </w:p>
        </w:tc>
        <w:tc>
          <w:tcPr>
            <w:tcW w:type="dxa" w:w="1170"/>
            <w:shd w:fill="E2E8F0"/>
          </w:tcPr>
          <w:p>
            <w:r>
              <w:rPr>
                <w:b/>
                <w:sz w:val="16"/>
              </w:rPr>
              <w:t>Authors &amp; Year</w:t>
            </w:r>
          </w:p>
        </w:tc>
        <w:tc>
          <w:tcPr>
            <w:tcW w:type="dxa" w:w="1170"/>
            <w:shd w:fill="E2E8F0"/>
          </w:tcPr>
          <w:p>
            <w:r>
              <w:rPr>
                <w:b/>
                <w:sz w:val="16"/>
              </w:rPr>
              <w:t>Research Problem</w:t>
            </w:r>
          </w:p>
        </w:tc>
        <w:tc>
          <w:tcPr>
            <w:tcW w:type="dxa" w:w="1170"/>
            <w:shd w:fill="E2E8F0"/>
          </w:tcPr>
          <w:p>
            <w:r>
              <w:rPr>
                <w:b/>
                <w:sz w:val="16"/>
              </w:rPr>
              <w:t>Dataset</w:t>
            </w:r>
          </w:p>
        </w:tc>
        <w:tc>
          <w:tcPr>
            <w:tcW w:type="dxa" w:w="1170"/>
            <w:shd w:fill="E2E8F0"/>
          </w:tcPr>
          <w:p>
            <w:r>
              <w:rPr>
                <w:b/>
                <w:sz w:val="16"/>
              </w:rPr>
              <w:t>Method / Model</w:t>
            </w:r>
          </w:p>
        </w:tc>
        <w:tc>
          <w:tcPr>
            <w:tcW w:type="dxa" w:w="1170"/>
            <w:shd w:fill="E2E8F0"/>
          </w:tcPr>
          <w:p>
            <w:r>
              <w:rPr>
                <w:b/>
                <w:sz w:val="16"/>
              </w:rPr>
              <w:t>Evaluation Metrics</w:t>
            </w:r>
          </w:p>
        </w:tc>
        <w:tc>
          <w:tcPr>
            <w:tcW w:type="dxa" w:w="1170"/>
            <w:shd w:fill="E2E8F0"/>
          </w:tcPr>
          <w:p>
            <w:r>
              <w:rPr>
                <w:b/>
                <w:sz w:val="16"/>
              </w:rPr>
              <w:t>Key Findings</w:t>
            </w:r>
          </w:p>
        </w:tc>
        <w:tc>
          <w:tcPr>
            <w:tcW w:type="dxa" w:w="1170"/>
            <w:shd w:fill="E2E8F0"/>
          </w:tcPr>
          <w:p>
            <w:r>
              <w:rPr>
                <w:b/>
                <w:sz w:val="16"/>
              </w:rPr>
              <w:t>Limitations / Gap</w:t>
            </w:r>
          </w:p>
        </w:tc>
      </w:tr>
      <w:tr>
        <w:tc>
          <w:tcPr>
            <w:tcW w:type="dxa" w:w="1170"/>
          </w:tcPr>
          <w:p>
            <w:r>
              <w:rPr>
                <w:sz w:val="15"/>
              </w:rPr>
              <w:t>1</w:t>
            </w:r>
          </w:p>
        </w:tc>
        <w:tc>
          <w:tcPr>
            <w:tcW w:type="dxa" w:w="1170"/>
          </w:tcPr>
          <w:p>
            <w:r>
              <w:rPr>
                <w:sz w:val="15"/>
              </w:rPr>
              <w:t>de Oliveira et al. (2026)</w:t>
            </w:r>
          </w:p>
        </w:tc>
        <w:tc>
          <w:tcPr>
            <w:tcW w:type="dxa" w:w="1170"/>
          </w:tcPr>
          <w:p>
            <w:r>
              <w:rPr>
                <w:sz w:val="15"/>
              </w:rPr>
              <w:t>Legal QA over complex normative hierarchies</w:t>
            </w:r>
          </w:p>
        </w:tc>
        <w:tc>
          <w:tcPr>
            <w:tcW w:type="dxa" w:w="1170"/>
          </w:tcPr>
          <w:p>
            <w:r>
              <w:rPr>
                <w:sz w:val="15"/>
              </w:rPr>
              <w:t>12,000 Portuguese Norms</w:t>
            </w:r>
          </w:p>
        </w:tc>
        <w:tc>
          <w:tcPr>
            <w:tcW w:type="dxa" w:w="1170"/>
          </w:tcPr>
          <w:p>
            <w:r>
              <w:rPr>
                <w:sz w:val="15"/>
              </w:rPr>
              <w:t>GraphRAG + LLM Prompting</w:t>
            </w:r>
          </w:p>
        </w:tc>
        <w:tc>
          <w:tcPr>
            <w:tcW w:type="dxa" w:w="1170"/>
          </w:tcPr>
          <w:p>
            <w:r>
              <w:rPr>
                <w:sz w:val="15"/>
              </w:rPr>
              <w:t>Precision@K, Exact Match</w:t>
            </w:r>
          </w:p>
        </w:tc>
        <w:tc>
          <w:tcPr>
            <w:tcW w:type="dxa" w:w="1170"/>
          </w:tcPr>
          <w:p>
            <w:r>
              <w:rPr>
                <w:sz w:val="15"/>
              </w:rPr>
              <w:t>Knowledge graphs improve structural retrieval over plain vectors</w:t>
            </w:r>
          </w:p>
        </w:tc>
        <w:tc>
          <w:tcPr>
            <w:tcW w:type="dxa" w:w="1170"/>
          </w:tcPr>
          <w:p>
            <w:r>
              <w:rPr>
                <w:sz w:val="15"/>
              </w:rPr>
              <w:t>Heavy graph construction overhead; cannot run on consumer SLM</w:t>
            </w:r>
          </w:p>
        </w:tc>
      </w:tr>
      <w:tr>
        <w:tc>
          <w:tcPr>
            <w:tcW w:type="dxa" w:w="1170"/>
          </w:tcPr>
          <w:p>
            <w:r>
              <w:rPr>
                <w:sz w:val="15"/>
              </w:rPr>
              <w:t>2</w:t>
            </w:r>
          </w:p>
        </w:tc>
        <w:tc>
          <w:tcPr>
            <w:tcW w:type="dxa" w:w="1170"/>
          </w:tcPr>
          <w:p>
            <w:r>
              <w:rPr>
                <w:sz w:val="15"/>
              </w:rPr>
              <w:t>Kim et al. (2026)</w:t>
            </w:r>
          </w:p>
        </w:tc>
        <w:tc>
          <w:tcPr>
            <w:tcW w:type="dxa" w:w="1170"/>
          </w:tcPr>
          <w:p>
            <w:r>
              <w:rPr>
                <w:sz w:val="15"/>
              </w:rPr>
              <w:t>Local engineering compliance without cloud leaks</w:t>
            </w:r>
          </w:p>
        </w:tc>
        <w:tc>
          <w:tcPr>
            <w:tcW w:type="dxa" w:w="1170"/>
          </w:tcPr>
          <w:p>
            <w:r>
              <w:rPr>
                <w:sz w:val="15"/>
              </w:rPr>
              <w:t>1,327 Process Safety Norms</w:t>
            </w:r>
          </w:p>
        </w:tc>
        <w:tc>
          <w:tcPr>
            <w:tcW w:type="dxa" w:w="1170"/>
          </w:tcPr>
          <w:p>
            <w:r>
              <w:rPr>
                <w:sz w:val="15"/>
              </w:rPr>
              <w:t>Dense RAG + Qwen-4B on Ollama</w:t>
            </w:r>
          </w:p>
        </w:tc>
        <w:tc>
          <w:tcPr>
            <w:tcW w:type="dxa" w:w="1170"/>
          </w:tcPr>
          <w:p>
            <w:r>
              <w:rPr>
                <w:sz w:val="15"/>
              </w:rPr>
              <w:t>Recall@1, Compliance Detection</w:t>
            </w:r>
          </w:p>
        </w:tc>
        <w:tc>
          <w:tcPr>
            <w:tcW w:type="dxa" w:w="1170"/>
          </w:tcPr>
          <w:p>
            <w:r>
              <w:rPr>
                <w:sz w:val="15"/>
              </w:rPr>
              <w:t>Local SLMs achieve 88% precision on local compliance checks</w:t>
            </w:r>
          </w:p>
        </w:tc>
        <w:tc>
          <w:tcPr>
            <w:tcW w:type="dxa" w:w="1170"/>
          </w:tcPr>
          <w:p>
            <w:r>
              <w:rPr>
                <w:sz w:val="15"/>
              </w:rPr>
              <w:t>Single-domain; lacks multi-agency temporal conflict resolution</w:t>
            </w:r>
          </w:p>
        </w:tc>
      </w:tr>
      <w:tr>
        <w:tc>
          <w:tcPr>
            <w:tcW w:type="dxa" w:w="1170"/>
          </w:tcPr>
          <w:p>
            <w:r>
              <w:rPr>
                <w:sz w:val="15"/>
              </w:rPr>
              <w:t>3</w:t>
            </w:r>
          </w:p>
        </w:tc>
        <w:tc>
          <w:tcPr>
            <w:tcW w:type="dxa" w:w="1170"/>
          </w:tcPr>
          <w:p>
            <w:r>
              <w:rPr>
                <w:sz w:val="15"/>
              </w:rPr>
              <w:t>Hindi et al. (2025)</w:t>
            </w:r>
          </w:p>
        </w:tc>
        <w:tc>
          <w:tcPr>
            <w:tcW w:type="dxa" w:w="1170"/>
          </w:tcPr>
          <w:p>
            <w:r>
              <w:rPr>
                <w:sz w:val="15"/>
              </w:rPr>
              <w:t>Taxonomy of hallucination and errors in legal RAG</w:t>
            </w:r>
          </w:p>
        </w:tc>
        <w:tc>
          <w:tcPr>
            <w:tcW w:type="dxa" w:w="1170"/>
          </w:tcPr>
          <w:p>
            <w:r>
              <w:rPr>
                <w:sz w:val="15"/>
              </w:rPr>
              <w:t>Survey of 120 Legal AI Papers</w:t>
            </w:r>
          </w:p>
        </w:tc>
        <w:tc>
          <w:tcPr>
            <w:tcW w:type="dxa" w:w="1170"/>
          </w:tcPr>
          <w:p>
            <w:r>
              <w:rPr>
                <w:sz w:val="15"/>
              </w:rPr>
              <w:t>Systematic Literature Review</w:t>
            </w:r>
          </w:p>
        </w:tc>
        <w:tc>
          <w:tcPr>
            <w:tcW w:type="dxa" w:w="1170"/>
          </w:tcPr>
          <w:p>
            <w:r>
              <w:rPr>
                <w:sz w:val="15"/>
              </w:rPr>
              <w:t>Taxonomy Categorization</w:t>
            </w:r>
          </w:p>
        </w:tc>
        <w:tc>
          <w:tcPr>
            <w:tcW w:type="dxa" w:w="1170"/>
          </w:tcPr>
          <w:p>
            <w:r>
              <w:rPr>
                <w:sz w:val="15"/>
              </w:rPr>
              <w:t>Identifies citation fabrication and temporal decay as primary risks</w:t>
            </w:r>
          </w:p>
        </w:tc>
        <w:tc>
          <w:tcPr>
            <w:tcW w:type="dxa" w:w="1170"/>
          </w:tcPr>
          <w:p>
            <w:r>
              <w:rPr>
                <w:sz w:val="15"/>
              </w:rPr>
              <w:t>Survey paper; no unified technical implementation provided</w:t>
            </w:r>
          </w:p>
        </w:tc>
      </w:tr>
      <w:tr>
        <w:tc>
          <w:tcPr>
            <w:tcW w:type="dxa" w:w="1170"/>
          </w:tcPr>
          <w:p>
            <w:r>
              <w:rPr>
                <w:sz w:val="15"/>
              </w:rPr>
              <w:t>4</w:t>
            </w:r>
          </w:p>
        </w:tc>
        <w:tc>
          <w:tcPr>
            <w:tcW w:type="dxa" w:w="1170"/>
          </w:tcPr>
          <w:p>
            <w:r>
              <w:rPr>
                <w:sz w:val="15"/>
              </w:rPr>
              <w:t>DeepSeek-AI (2025)</w:t>
            </w:r>
          </w:p>
        </w:tc>
        <w:tc>
          <w:tcPr>
            <w:tcW w:type="dxa" w:w="1170"/>
          </w:tcPr>
          <w:p>
            <w:r>
              <w:rPr>
                <w:sz w:val="15"/>
              </w:rPr>
              <w:t>Eliciting reasoning in compact models via RL</w:t>
            </w:r>
          </w:p>
        </w:tc>
        <w:tc>
          <w:tcPr>
            <w:tcW w:type="dxa" w:w="1170"/>
          </w:tcPr>
          <w:p>
            <w:r>
              <w:rPr>
                <w:sz w:val="15"/>
              </w:rPr>
              <w:t>Reasoning QA Corpora</w:t>
            </w:r>
          </w:p>
        </w:tc>
        <w:tc>
          <w:tcPr>
            <w:tcW w:type="dxa" w:w="1170"/>
          </w:tcPr>
          <w:p>
            <w:r>
              <w:rPr>
                <w:sz w:val="15"/>
              </w:rPr>
              <w:t>Large-Scale RL (R1-Zero / Distill)</w:t>
            </w:r>
          </w:p>
        </w:tc>
        <w:tc>
          <w:tcPr>
            <w:tcW w:type="dxa" w:w="1170"/>
          </w:tcPr>
          <w:p>
            <w:r>
              <w:rPr>
                <w:sz w:val="15"/>
              </w:rPr>
              <w:t>MATH-500, AIME, Codeforces</w:t>
            </w:r>
          </w:p>
        </w:tc>
        <w:tc>
          <w:tcPr>
            <w:tcW w:type="dxa" w:w="1170"/>
          </w:tcPr>
          <w:p>
            <w:r>
              <w:rPr>
                <w:sz w:val="15"/>
              </w:rPr>
              <w:t>Reasoning tokens (&lt;think&gt;) dramatically boost deductive accuracy</w:t>
            </w:r>
          </w:p>
        </w:tc>
        <w:tc>
          <w:tcPr>
            <w:tcW w:type="dxa" w:w="1170"/>
          </w:tcPr>
          <w:p>
            <w:r>
              <w:rPr>
                <w:sz w:val="15"/>
              </w:rPr>
              <w:t>General domain; not fine-tuned on Indian regulatory circulars</w:t>
            </w:r>
          </w:p>
        </w:tc>
      </w:tr>
      <w:tr>
        <w:tc>
          <w:tcPr>
            <w:tcW w:type="dxa" w:w="1170"/>
          </w:tcPr>
          <w:p>
            <w:r>
              <w:rPr>
                <w:sz w:val="15"/>
              </w:rPr>
              <w:t>5</w:t>
            </w:r>
          </w:p>
        </w:tc>
        <w:tc>
          <w:tcPr>
            <w:tcW w:type="dxa" w:w="1170"/>
          </w:tcPr>
          <w:p>
            <w:r>
              <w:rPr>
                <w:sz w:val="15"/>
              </w:rPr>
              <w:t>Sharma et al. (2025)</w:t>
            </w:r>
          </w:p>
        </w:tc>
        <w:tc>
          <w:tcPr>
            <w:tcW w:type="dxa" w:w="1170"/>
          </w:tcPr>
          <w:p>
            <w:r>
              <w:rPr>
                <w:sz w:val="15"/>
              </w:rPr>
              <w:t>Multi-agency compliance conflicts in banking</w:t>
            </w:r>
          </w:p>
        </w:tc>
        <w:tc>
          <w:tcPr>
            <w:tcW w:type="dxa" w:w="1170"/>
          </w:tcPr>
          <w:p>
            <w:r>
              <w:rPr>
                <w:sz w:val="15"/>
              </w:rPr>
              <w:t>RBI &amp; SEBI Overlap Corpus</w:t>
            </w:r>
          </w:p>
        </w:tc>
        <w:tc>
          <w:tcPr>
            <w:tcW w:type="dxa" w:w="1170"/>
          </w:tcPr>
          <w:p>
            <w:r>
              <w:rPr>
                <w:sz w:val="15"/>
              </w:rPr>
              <w:t>Hybrid Semantic Search</w:t>
            </w:r>
          </w:p>
        </w:tc>
        <w:tc>
          <w:tcPr>
            <w:tcW w:type="dxa" w:w="1170"/>
          </w:tcPr>
          <w:p>
            <w:r>
              <w:rPr>
                <w:sz w:val="15"/>
              </w:rPr>
              <w:t>F1 Score, Routing Precision</w:t>
            </w:r>
          </w:p>
        </w:tc>
        <w:tc>
          <w:tcPr>
            <w:tcW w:type="dxa" w:w="1170"/>
          </w:tcPr>
          <w:p>
            <w:r>
              <w:rPr>
                <w:sz w:val="15"/>
              </w:rPr>
              <w:t>Cross-agency queries fail under single-vector retrieval</w:t>
            </w:r>
          </w:p>
        </w:tc>
        <w:tc>
          <w:tcPr>
            <w:tcW w:type="dxa" w:w="1170"/>
          </w:tcPr>
          <w:p>
            <w:r>
              <w:rPr>
                <w:sz w:val="15"/>
              </w:rPr>
              <w:t>Focuses on classification rather than full generative reasoning</w:t>
            </w:r>
          </w:p>
        </w:tc>
      </w:tr>
      <w:tr>
        <w:tc>
          <w:tcPr>
            <w:tcW w:type="dxa" w:w="1170"/>
          </w:tcPr>
          <w:p>
            <w:r>
              <w:rPr>
                <w:sz w:val="15"/>
              </w:rPr>
              <w:t>6</w:t>
            </w:r>
          </w:p>
        </w:tc>
        <w:tc>
          <w:tcPr>
            <w:tcW w:type="dxa" w:w="1170"/>
          </w:tcPr>
          <w:p>
            <w:r>
              <w:rPr>
                <w:sz w:val="15"/>
              </w:rPr>
              <w:t>Iyer &amp; Raman (2024)</w:t>
            </w:r>
          </w:p>
        </w:tc>
        <w:tc>
          <w:tcPr>
            <w:tcW w:type="dxa" w:w="1170"/>
          </w:tcPr>
          <w:p>
            <w:r>
              <w:rPr>
                <w:sz w:val="15"/>
              </w:rPr>
              <w:t>Data sovereignty compliance under DPDP Act 2023</w:t>
            </w:r>
          </w:p>
        </w:tc>
        <w:tc>
          <w:tcPr>
            <w:tcW w:type="dxa" w:w="1170"/>
          </w:tcPr>
          <w:p>
            <w:r>
              <w:rPr>
                <w:sz w:val="15"/>
              </w:rPr>
              <w:t>Indian Banking Enterprise Data</w:t>
            </w:r>
          </w:p>
        </w:tc>
        <w:tc>
          <w:tcPr>
            <w:tcW w:type="dxa" w:w="1170"/>
          </w:tcPr>
          <w:p>
            <w:r>
              <w:rPr>
                <w:sz w:val="15"/>
              </w:rPr>
              <w:t>On-Premises SLM Deployment</w:t>
            </w:r>
          </w:p>
        </w:tc>
        <w:tc>
          <w:tcPr>
            <w:tcW w:type="dxa" w:w="1170"/>
          </w:tcPr>
          <w:p>
            <w:r>
              <w:rPr>
                <w:sz w:val="15"/>
              </w:rPr>
              <w:t>Latency, Privacy Compliance</w:t>
            </w:r>
          </w:p>
        </w:tc>
        <w:tc>
          <w:tcPr>
            <w:tcW w:type="dxa" w:w="1170"/>
          </w:tcPr>
          <w:p>
            <w:r>
              <w:rPr>
                <w:sz w:val="15"/>
              </w:rPr>
              <w:t>Local 7B models eliminate data transfer liabilities under Indian law</w:t>
            </w:r>
          </w:p>
        </w:tc>
        <w:tc>
          <w:tcPr>
            <w:tcW w:type="dxa" w:w="1170"/>
          </w:tcPr>
          <w:p>
            <w:r>
              <w:rPr>
                <w:sz w:val="15"/>
              </w:rPr>
              <w:t>Evaluates deployment only; lacks domain fine-tuning pipeline</w:t>
            </w:r>
          </w:p>
        </w:tc>
      </w:tr>
      <w:tr>
        <w:tc>
          <w:tcPr>
            <w:tcW w:type="dxa" w:w="1170"/>
          </w:tcPr>
          <w:p>
            <w:r>
              <w:rPr>
                <w:sz w:val="15"/>
              </w:rPr>
              <w:t>7</w:t>
            </w:r>
          </w:p>
        </w:tc>
        <w:tc>
          <w:tcPr>
            <w:tcW w:type="dxa" w:w="1170"/>
          </w:tcPr>
          <w:p>
            <w:r>
              <w:rPr>
                <w:sz w:val="15"/>
              </w:rPr>
              <w:t>Rafailov et al. (2023)</w:t>
            </w:r>
          </w:p>
        </w:tc>
        <w:tc>
          <w:tcPr>
            <w:tcW w:type="dxa" w:w="1170"/>
          </w:tcPr>
          <w:p>
            <w:r>
              <w:rPr>
                <w:sz w:val="15"/>
              </w:rPr>
              <w:t>Aligning LLMs to human preferences without RL reward models</w:t>
            </w:r>
          </w:p>
        </w:tc>
        <w:tc>
          <w:tcPr>
            <w:tcW w:type="dxa" w:w="1170"/>
          </w:tcPr>
          <w:p>
            <w:r>
              <w:rPr>
                <w:sz w:val="15"/>
              </w:rPr>
              <w:t>Anthropic HH-RLHF</w:t>
            </w:r>
          </w:p>
        </w:tc>
        <w:tc>
          <w:tcPr>
            <w:tcW w:type="dxa" w:w="1170"/>
          </w:tcPr>
          <w:p>
            <w:r>
              <w:rPr>
                <w:sz w:val="15"/>
              </w:rPr>
              <w:t>Direct Preference Optimization (DPO)</w:t>
            </w:r>
          </w:p>
        </w:tc>
        <w:tc>
          <w:tcPr>
            <w:tcW w:type="dxa" w:w="1170"/>
          </w:tcPr>
          <w:p>
            <w:r>
              <w:rPr>
                <w:sz w:val="15"/>
              </w:rPr>
              <w:t>Win Rate vs GPT-4</w:t>
            </w:r>
          </w:p>
        </w:tc>
        <w:tc>
          <w:tcPr>
            <w:tcW w:type="dxa" w:w="1170"/>
          </w:tcPr>
          <w:p>
            <w:r>
              <w:rPr>
                <w:sz w:val="15"/>
              </w:rPr>
              <w:t>DPO is mathematically stable and eliminates reinforcement training instability</w:t>
            </w:r>
          </w:p>
        </w:tc>
        <w:tc>
          <w:tcPr>
            <w:tcW w:type="dxa" w:w="1170"/>
          </w:tcPr>
          <w:p>
            <w:r>
              <w:rPr>
                <w:sz w:val="15"/>
              </w:rPr>
              <w:t>Requires curated (chosen, rejected) domain preference pairs</w:t>
            </w:r>
          </w:p>
        </w:tc>
      </w:tr>
      <w:tr>
        <w:tc>
          <w:tcPr>
            <w:tcW w:type="dxa" w:w="1170"/>
          </w:tcPr>
          <w:p>
            <w:r>
              <w:rPr>
                <w:sz w:val="15"/>
              </w:rPr>
              <w:t>8</w:t>
            </w:r>
          </w:p>
        </w:tc>
        <w:tc>
          <w:tcPr>
            <w:tcW w:type="dxa" w:w="1170"/>
          </w:tcPr>
          <w:p>
            <w:r>
              <w:rPr>
                <w:sz w:val="15"/>
              </w:rPr>
              <w:t>Cormack et al. (2009)</w:t>
            </w:r>
          </w:p>
        </w:tc>
        <w:tc>
          <w:tcPr>
            <w:tcW w:type="dxa" w:w="1170"/>
          </w:tcPr>
          <w:p>
            <w:r>
              <w:rPr>
                <w:sz w:val="15"/>
              </w:rPr>
              <w:t>Combining rank lists from disparate retrieval modalities</w:t>
            </w:r>
          </w:p>
        </w:tc>
        <w:tc>
          <w:tcPr>
            <w:tcW w:type="dxa" w:w="1170"/>
          </w:tcPr>
          <w:p>
            <w:r>
              <w:rPr>
                <w:sz w:val="15"/>
              </w:rPr>
              <w:t>TREC Information Retrieval</w:t>
            </w:r>
          </w:p>
        </w:tc>
        <w:tc>
          <w:tcPr>
            <w:tcW w:type="dxa" w:w="1170"/>
          </w:tcPr>
          <w:p>
            <w:r>
              <w:rPr>
                <w:sz w:val="15"/>
              </w:rPr>
              <w:t>Reciprocal Rank Fusion (RRF)</w:t>
            </w:r>
          </w:p>
        </w:tc>
        <w:tc>
          <w:tcPr>
            <w:tcW w:type="dxa" w:w="1170"/>
          </w:tcPr>
          <w:p>
            <w:r>
              <w:rPr>
                <w:sz w:val="15"/>
              </w:rPr>
              <w:t>Mean Reciprocal Rank (MRR)</w:t>
            </w:r>
          </w:p>
        </w:tc>
        <w:tc>
          <w:tcPr>
            <w:tcW w:type="dxa" w:w="1170"/>
          </w:tcPr>
          <w:p>
            <w:r>
              <w:rPr>
                <w:sz w:val="15"/>
              </w:rPr>
              <w:t>RRF with k=60 consistently outperforms score-based vector combination</w:t>
            </w:r>
          </w:p>
        </w:tc>
        <w:tc>
          <w:tcPr>
            <w:tcW w:type="dxa" w:w="1170"/>
          </w:tcPr>
          <w:p>
            <w:r>
              <w:rPr>
                <w:sz w:val="15"/>
              </w:rPr>
              <w:t>Heuristic rank parameter; requires tuning for domain density</w:t>
            </w:r>
          </w:p>
        </w:tc>
      </w:tr>
      <w:tr>
        <w:tc>
          <w:tcPr>
            <w:tcW w:type="dxa" w:w="1170"/>
          </w:tcPr>
          <w:p>
            <w:r>
              <w:rPr>
                <w:sz w:val="15"/>
              </w:rPr>
              <w:t>9</w:t>
            </w:r>
          </w:p>
        </w:tc>
        <w:tc>
          <w:tcPr>
            <w:tcW w:type="dxa" w:w="1170"/>
          </w:tcPr>
          <w:p>
            <w:r>
              <w:rPr>
                <w:sz w:val="15"/>
              </w:rPr>
              <w:t>Hu et al. (2022)</w:t>
            </w:r>
          </w:p>
        </w:tc>
        <w:tc>
          <w:tcPr>
            <w:tcW w:type="dxa" w:w="1170"/>
          </w:tcPr>
          <w:p>
            <w:r>
              <w:rPr>
                <w:sz w:val="15"/>
              </w:rPr>
              <w:t>Parameter-efficient adaptation of large transformers</w:t>
            </w:r>
          </w:p>
        </w:tc>
        <w:tc>
          <w:tcPr>
            <w:tcW w:type="dxa" w:w="1170"/>
          </w:tcPr>
          <w:p>
            <w:r>
              <w:rPr>
                <w:sz w:val="15"/>
              </w:rPr>
              <w:t>GLUE Benchmark, GPT-3</w:t>
            </w:r>
          </w:p>
        </w:tc>
        <w:tc>
          <w:tcPr>
            <w:tcW w:type="dxa" w:w="1170"/>
          </w:tcPr>
          <w:p>
            <w:r>
              <w:rPr>
                <w:sz w:val="15"/>
              </w:rPr>
              <w:t>Low-Rank Adaptation (LoRA)</w:t>
            </w:r>
          </w:p>
        </w:tc>
        <w:tc>
          <w:tcPr>
            <w:tcW w:type="dxa" w:w="1170"/>
          </w:tcPr>
          <w:p>
            <w:r>
              <w:rPr>
                <w:sz w:val="15"/>
              </w:rPr>
              <w:t>Accuracy, VRAM Footprint</w:t>
            </w:r>
          </w:p>
        </w:tc>
        <w:tc>
          <w:tcPr>
            <w:tcW w:type="dxa" w:w="1170"/>
          </w:tcPr>
          <w:p>
            <w:r>
              <w:rPr>
                <w:sz w:val="15"/>
              </w:rPr>
              <w:t>Freezing base weights and training rank-64 adapters matches full fine-tuning</w:t>
            </w:r>
          </w:p>
        </w:tc>
        <w:tc>
          <w:tcPr>
            <w:tcW w:type="dxa" w:w="1170"/>
          </w:tcPr>
          <w:p>
            <w:r>
              <w:rPr>
                <w:sz w:val="15"/>
              </w:rPr>
              <w:t>Can underperform if target adapter rank is set too low for legal domain</w:t>
            </w:r>
          </w:p>
        </w:tc>
      </w:tr>
      <w:tr>
        <w:tc>
          <w:tcPr>
            <w:tcW w:type="dxa" w:w="1170"/>
          </w:tcPr>
          <w:p>
            <w:r>
              <w:rPr>
                <w:sz w:val="15"/>
              </w:rPr>
              <w:t>10</w:t>
            </w:r>
          </w:p>
        </w:tc>
        <w:tc>
          <w:tcPr>
            <w:tcW w:type="dxa" w:w="1170"/>
          </w:tcPr>
          <w:p>
            <w:r>
              <w:rPr>
                <w:sz w:val="15"/>
              </w:rPr>
              <w:t>Zhang et al. (2025)</w:t>
            </w:r>
          </w:p>
        </w:tc>
        <w:tc>
          <w:tcPr>
            <w:tcW w:type="dxa" w:w="1170"/>
          </w:tcPr>
          <w:p>
            <w:r>
              <w:rPr>
                <w:sz w:val="15"/>
              </w:rPr>
              <w:t>Citation hallucination in court legal QA</w:t>
            </w:r>
          </w:p>
        </w:tc>
        <w:tc>
          <w:tcPr>
            <w:tcW w:type="dxa" w:w="1170"/>
          </w:tcPr>
          <w:p>
            <w:r>
              <w:rPr>
                <w:sz w:val="15"/>
              </w:rPr>
              <w:t>LegalBench QA Subset</w:t>
            </w:r>
          </w:p>
        </w:tc>
        <w:tc>
          <w:tcPr>
            <w:tcW w:type="dxa" w:w="1170"/>
          </w:tcPr>
          <w:p>
            <w:r>
              <w:rPr>
                <w:sz w:val="15"/>
              </w:rPr>
              <w:t>Citation-Constrained SFT</w:t>
            </w:r>
          </w:p>
        </w:tc>
        <w:tc>
          <w:tcPr>
            <w:tcW w:type="dxa" w:w="1170"/>
          </w:tcPr>
          <w:p>
            <w:r>
              <w:rPr>
                <w:sz w:val="15"/>
              </w:rPr>
              <w:t>Citation Grounding Rate</w:t>
            </w:r>
          </w:p>
        </w:tc>
        <w:tc>
          <w:tcPr>
            <w:tcW w:type="dxa" w:w="1170"/>
          </w:tcPr>
          <w:p>
            <w:r>
              <w:rPr>
                <w:sz w:val="15"/>
              </w:rPr>
              <w:t>Supervising citation formatting forces model to extract from context</w:t>
            </w:r>
          </w:p>
        </w:tc>
        <w:tc>
          <w:tcPr>
            <w:tcW w:type="dxa" w:w="1170"/>
          </w:tcPr>
          <w:p>
            <w:r>
              <w:rPr>
                <w:sz w:val="15"/>
              </w:rPr>
              <w:t>Tested on court judgments; not tested on financial Master Directions</w:t>
            </w:r>
          </w:p>
        </w:tc>
      </w:tr>
      <w:tr>
        <w:tc>
          <w:tcPr>
            <w:tcW w:type="dxa" w:w="1170"/>
          </w:tcPr>
          <w:p>
            <w:r>
              <w:rPr>
                <w:sz w:val="15"/>
              </w:rPr>
              <w:t>11</w:t>
            </w:r>
          </w:p>
        </w:tc>
        <w:tc>
          <w:tcPr>
            <w:tcW w:type="dxa" w:w="1170"/>
          </w:tcPr>
          <w:p>
            <w:r>
              <w:rPr>
                <w:sz w:val="15"/>
              </w:rPr>
              <w:t>Patel &amp; Sengupta (2025)</w:t>
            </w:r>
          </w:p>
        </w:tc>
        <w:tc>
          <w:tcPr>
            <w:tcW w:type="dxa" w:w="1170"/>
          </w:tcPr>
          <w:p>
            <w:r>
              <w:rPr>
                <w:sz w:val="15"/>
              </w:rPr>
              <w:t>Evaluating SLMs across Indian statutory Acts</w:t>
            </w:r>
          </w:p>
        </w:tc>
        <w:tc>
          <w:tcPr>
            <w:tcW w:type="dxa" w:w="1170"/>
          </w:tcPr>
          <w:p>
            <w:r>
              <w:rPr>
                <w:sz w:val="15"/>
              </w:rPr>
              <w:t>Indian Penal Code, Companies Act</w:t>
            </w:r>
          </w:p>
        </w:tc>
        <w:tc>
          <w:tcPr>
            <w:tcW w:type="dxa" w:w="1170"/>
          </w:tcPr>
          <w:p>
            <w:r>
              <w:rPr>
                <w:sz w:val="15"/>
              </w:rPr>
              <w:t>Zero-Shot Llama-3-8B &amp; Mistral</w:t>
            </w:r>
          </w:p>
        </w:tc>
        <w:tc>
          <w:tcPr>
            <w:tcW w:type="dxa" w:w="1170"/>
          </w:tcPr>
          <w:p>
            <w:r>
              <w:rPr>
                <w:sz w:val="15"/>
              </w:rPr>
              <w:t>Factual Accuracy, BLEU</w:t>
            </w:r>
          </w:p>
        </w:tc>
        <w:tc>
          <w:tcPr>
            <w:tcW w:type="dxa" w:w="1170"/>
          </w:tcPr>
          <w:p>
            <w:r>
              <w:rPr>
                <w:sz w:val="15"/>
              </w:rPr>
              <w:t>Base SLMs fail on complex multi-hop statutory deductions</w:t>
            </w:r>
          </w:p>
        </w:tc>
        <w:tc>
          <w:tcPr>
            <w:tcW w:type="dxa" w:w="1170"/>
          </w:tcPr>
          <w:p>
            <w:r>
              <w:rPr>
                <w:sz w:val="15"/>
              </w:rPr>
              <w:t>Baseline evaluation only; no alignment or fine-tuning performed</w:t>
            </w:r>
          </w:p>
        </w:tc>
      </w:tr>
      <w:tr>
        <w:tc>
          <w:tcPr>
            <w:tcW w:type="dxa" w:w="1170"/>
          </w:tcPr>
          <w:p>
            <w:r>
              <w:rPr>
                <w:sz w:val="15"/>
              </w:rPr>
              <w:t>12</w:t>
            </w:r>
          </w:p>
        </w:tc>
        <w:tc>
          <w:tcPr>
            <w:tcW w:type="dxa" w:w="1170"/>
          </w:tcPr>
          <w:p>
            <w:r>
              <w:rPr>
                <w:sz w:val="15"/>
              </w:rPr>
              <w:t>Banerjee et al. (2024)</w:t>
            </w:r>
          </w:p>
        </w:tc>
        <w:tc>
          <w:tcPr>
            <w:tcW w:type="dxa" w:w="1170"/>
          </w:tcPr>
          <w:p>
            <w:r>
              <w:rPr>
                <w:sz w:val="15"/>
              </w:rPr>
              <w:t>Indian legal question answering benchmark</w:t>
            </w:r>
          </w:p>
        </w:tc>
        <w:tc>
          <w:tcPr>
            <w:tcW w:type="dxa" w:w="1170"/>
          </w:tcPr>
          <w:p>
            <w:r>
              <w:rPr>
                <w:sz w:val="15"/>
              </w:rPr>
              <w:t>Supreme Court Judgments</w:t>
            </w:r>
          </w:p>
        </w:tc>
        <w:tc>
          <w:tcPr>
            <w:tcW w:type="dxa" w:w="1170"/>
          </w:tcPr>
          <w:p>
            <w:r>
              <w:rPr>
                <w:sz w:val="15"/>
              </w:rPr>
              <w:t>InLegalQA Dataset</w:t>
            </w:r>
          </w:p>
        </w:tc>
        <w:tc>
          <w:tcPr>
            <w:tcW w:type="dxa" w:w="1170"/>
          </w:tcPr>
          <w:p>
            <w:r>
              <w:rPr>
                <w:sz w:val="15"/>
              </w:rPr>
              <w:t>ROUGE-1/2/L, Exact Match</w:t>
            </w:r>
          </w:p>
        </w:tc>
        <w:tc>
          <w:tcPr>
            <w:tcW w:type="dxa" w:w="1170"/>
          </w:tcPr>
          <w:p>
            <w:r>
              <w:rPr>
                <w:sz w:val="15"/>
              </w:rPr>
              <w:t>Establishes low baseline accuracy of general LLMs on Indian law</w:t>
            </w:r>
          </w:p>
        </w:tc>
        <w:tc>
          <w:tcPr>
            <w:tcW w:type="dxa" w:w="1170"/>
          </w:tcPr>
          <w:p>
            <w:r>
              <w:rPr>
                <w:sz w:val="15"/>
              </w:rPr>
              <w:t>Focuses exclusively on court cases, excluding regulatory circulars</w:t>
            </w:r>
          </w:p>
        </w:tc>
      </w:tr>
      <w:tr>
        <w:tc>
          <w:tcPr>
            <w:tcW w:type="dxa" w:w="1170"/>
          </w:tcPr>
          <w:p>
            <w:r>
              <w:rPr>
                <w:sz w:val="15"/>
              </w:rPr>
              <w:t>13</w:t>
            </w:r>
          </w:p>
        </w:tc>
        <w:tc>
          <w:tcPr>
            <w:tcW w:type="dxa" w:w="1170"/>
          </w:tcPr>
          <w:p>
            <w:r>
              <w:rPr>
                <w:sz w:val="15"/>
              </w:rPr>
              <w:t>Wei et al. (2022)</w:t>
            </w:r>
          </w:p>
        </w:tc>
        <w:tc>
          <w:tcPr>
            <w:tcW w:type="dxa" w:w="1170"/>
          </w:tcPr>
          <w:p>
            <w:r>
              <w:rPr>
                <w:sz w:val="15"/>
              </w:rPr>
              <w:t>Eliciting multi-step deduction via Chain-of-Thought</w:t>
            </w:r>
          </w:p>
        </w:tc>
        <w:tc>
          <w:tcPr>
            <w:tcW w:type="dxa" w:w="1170"/>
          </w:tcPr>
          <w:p>
            <w:r>
              <w:rPr>
                <w:sz w:val="15"/>
              </w:rPr>
              <w:t>GSM8K, Big-Bench</w:t>
            </w:r>
          </w:p>
        </w:tc>
        <w:tc>
          <w:tcPr>
            <w:tcW w:type="dxa" w:w="1170"/>
          </w:tcPr>
          <w:p>
            <w:r>
              <w:rPr>
                <w:sz w:val="15"/>
              </w:rPr>
              <w:t>Step-by-Step Prompting</w:t>
            </w:r>
          </w:p>
        </w:tc>
        <w:tc>
          <w:tcPr>
            <w:tcW w:type="dxa" w:w="1170"/>
          </w:tcPr>
          <w:p>
            <w:r>
              <w:rPr>
                <w:sz w:val="15"/>
              </w:rPr>
              <w:t>Solve Rate, Reasoning Depth</w:t>
            </w:r>
          </w:p>
        </w:tc>
        <w:tc>
          <w:tcPr>
            <w:tcW w:type="dxa" w:w="1170"/>
          </w:tcPr>
          <w:p>
            <w:r>
              <w:rPr>
                <w:sz w:val="15"/>
              </w:rPr>
              <w:t>Generating intermediate reasoning steps unlocks complex deduction</w:t>
            </w:r>
          </w:p>
        </w:tc>
        <w:tc>
          <w:tcPr>
            <w:tcW w:type="dxa" w:w="1170"/>
          </w:tcPr>
          <w:p>
            <w:r>
              <w:rPr>
                <w:sz w:val="15"/>
              </w:rPr>
              <w:t>Relies on prompt engineering without fine-tuned parameter weights</w:t>
            </w:r>
          </w:p>
        </w:tc>
      </w:tr>
      <w:tr>
        <w:tc>
          <w:tcPr>
            <w:tcW w:type="dxa" w:w="1170"/>
          </w:tcPr>
          <w:p>
            <w:r>
              <w:rPr>
                <w:sz w:val="15"/>
              </w:rPr>
              <w:t>14</w:t>
            </w:r>
          </w:p>
        </w:tc>
        <w:tc>
          <w:tcPr>
            <w:tcW w:type="dxa" w:w="1170"/>
          </w:tcPr>
          <w:p>
            <w:r>
              <w:rPr>
                <w:sz w:val="15"/>
              </w:rPr>
              <w:t>Chalkidis et al. (2022)</w:t>
            </w:r>
          </w:p>
        </w:tc>
        <w:tc>
          <w:tcPr>
            <w:tcW w:type="dxa" w:w="1170"/>
          </w:tcPr>
          <w:p>
            <w:r>
              <w:rPr>
                <w:sz w:val="15"/>
              </w:rPr>
              <w:t>Standardized legal language understanding benchmark</w:t>
            </w:r>
          </w:p>
        </w:tc>
        <w:tc>
          <w:tcPr>
            <w:tcW w:type="dxa" w:w="1170"/>
          </w:tcPr>
          <w:p>
            <w:r>
              <w:rPr>
                <w:sz w:val="15"/>
              </w:rPr>
              <w:t>European &amp; US Court Cases</w:t>
            </w:r>
          </w:p>
        </w:tc>
        <w:tc>
          <w:tcPr>
            <w:tcW w:type="dxa" w:w="1170"/>
          </w:tcPr>
          <w:p>
            <w:r>
              <w:rPr>
                <w:sz w:val="15"/>
              </w:rPr>
              <w:t>Legal-BERT / RoBERTa</w:t>
            </w:r>
          </w:p>
        </w:tc>
        <w:tc>
          <w:tcPr>
            <w:tcW w:type="dxa" w:w="1170"/>
          </w:tcPr>
          <w:p>
            <w:r>
              <w:rPr>
                <w:sz w:val="15"/>
              </w:rPr>
              <w:t>Macro F1, Micro F1</w:t>
            </w:r>
          </w:p>
        </w:tc>
        <w:tc>
          <w:tcPr>
            <w:tcW w:type="dxa" w:w="1170"/>
          </w:tcPr>
          <w:p>
            <w:r>
              <w:rPr>
                <w:sz w:val="15"/>
              </w:rPr>
              <w:t>Legal pre-training is essential for statutory domain comprehension</w:t>
            </w:r>
          </w:p>
        </w:tc>
        <w:tc>
          <w:tcPr>
            <w:tcW w:type="dxa" w:w="1170"/>
          </w:tcPr>
          <w:p>
            <w:r>
              <w:rPr>
                <w:sz w:val="15"/>
              </w:rPr>
              <w:t>Classification-focused; does not evaluate generative RAG QA</w:t>
            </w:r>
          </w:p>
        </w:tc>
      </w:tr>
      <w:tr>
        <w:tc>
          <w:tcPr>
            <w:tcW w:type="dxa" w:w="1170"/>
          </w:tcPr>
          <w:p>
            <w:r>
              <w:rPr>
                <w:sz w:val="15"/>
              </w:rPr>
              <w:t>15</w:t>
            </w:r>
          </w:p>
        </w:tc>
        <w:tc>
          <w:tcPr>
            <w:tcW w:type="dxa" w:w="1170"/>
          </w:tcPr>
          <w:p>
            <w:r>
              <w:rPr>
                <w:sz w:val="15"/>
              </w:rPr>
              <w:t>Kadavath et al. (2022)</w:t>
            </w:r>
          </w:p>
        </w:tc>
        <w:tc>
          <w:tcPr>
            <w:tcW w:type="dxa" w:w="1170"/>
          </w:tcPr>
          <w:p>
            <w:r>
              <w:rPr>
                <w:sz w:val="15"/>
              </w:rPr>
              <w:t>Calibrating self-knowledge and abstention in LLMs</w:t>
            </w:r>
          </w:p>
        </w:tc>
        <w:tc>
          <w:tcPr>
            <w:tcW w:type="dxa" w:w="1170"/>
          </w:tcPr>
          <w:p>
            <w:r>
              <w:rPr>
                <w:sz w:val="15"/>
              </w:rPr>
              <w:t>TriviaQA, Synthetic Prompts</w:t>
            </w:r>
          </w:p>
        </w:tc>
        <w:tc>
          <w:tcPr>
            <w:tcW w:type="dxa" w:w="1170"/>
          </w:tcPr>
          <w:p>
            <w:r>
              <w:rPr>
                <w:sz w:val="15"/>
              </w:rPr>
              <w:t>Probability Elicitation</w:t>
            </w:r>
          </w:p>
        </w:tc>
        <w:tc>
          <w:tcPr>
            <w:tcW w:type="dxa" w:w="1170"/>
          </w:tcPr>
          <w:p>
            <w:r>
              <w:rPr>
                <w:sz w:val="15"/>
              </w:rPr>
              <w:t>Calibration Error, Refusal Rate</w:t>
            </w:r>
          </w:p>
        </w:tc>
        <w:tc>
          <w:tcPr>
            <w:tcW w:type="dxa" w:w="1170"/>
          </w:tcPr>
          <w:p>
            <w:r>
              <w:rPr>
                <w:sz w:val="15"/>
              </w:rPr>
              <w:t>LLMs can express uncertainty if explicitly supervised with negative examples</w:t>
            </w:r>
          </w:p>
        </w:tc>
        <w:tc>
          <w:tcPr>
            <w:tcW w:type="dxa" w:w="1170"/>
          </w:tcPr>
          <w:p>
            <w:r>
              <w:rPr>
                <w:sz w:val="15"/>
              </w:rPr>
              <w:t>Evaluated on general knowledge, not financial statutory mandates</w:t>
            </w:r>
          </w:p>
        </w:tc>
      </w:tr>
      <w:tr>
        <w:tc>
          <w:tcPr>
            <w:tcW w:type="dxa" w:w="1170"/>
          </w:tcPr>
          <w:p>
            <w:r>
              <w:rPr>
                <w:sz w:val="15"/>
              </w:rPr>
              <w:t>16</w:t>
            </w:r>
          </w:p>
        </w:tc>
        <w:tc>
          <w:tcPr>
            <w:tcW w:type="dxa" w:w="1170"/>
          </w:tcPr>
          <w:p>
            <w:r>
              <w:rPr>
                <w:sz w:val="15"/>
              </w:rPr>
              <w:t>Wei et al. (2024)</w:t>
            </w:r>
          </w:p>
        </w:tc>
        <w:tc>
          <w:tcPr>
            <w:tcW w:type="dxa" w:w="1170"/>
          </w:tcPr>
          <w:p>
            <w:r>
              <w:rPr>
                <w:sz w:val="15"/>
              </w:rPr>
              <w:t>Measuring sycophancy in LLM instruction tuning</w:t>
            </w:r>
          </w:p>
        </w:tc>
        <w:tc>
          <w:tcPr>
            <w:tcW w:type="dxa" w:w="1170"/>
          </w:tcPr>
          <w:p>
            <w:r>
              <w:rPr>
                <w:sz w:val="15"/>
              </w:rPr>
              <w:t>Sycophancy-Eval Suite</w:t>
            </w:r>
          </w:p>
        </w:tc>
        <w:tc>
          <w:tcPr>
            <w:tcW w:type="dxa" w:w="1170"/>
          </w:tcPr>
          <w:p>
            <w:r>
              <w:rPr>
                <w:sz w:val="15"/>
              </w:rPr>
              <w:t>Preference Alignment</w:t>
            </w:r>
          </w:p>
        </w:tc>
        <w:tc>
          <w:tcPr>
            <w:tcW w:type="dxa" w:w="1170"/>
          </w:tcPr>
          <w:p>
            <w:r>
              <w:rPr>
                <w:sz w:val="15"/>
              </w:rPr>
              <w:t>Sycophancy Score</w:t>
            </w:r>
          </w:p>
        </w:tc>
        <w:tc>
          <w:tcPr>
            <w:tcW w:type="dxa" w:w="1170"/>
          </w:tcPr>
          <w:p>
            <w:r>
              <w:rPr>
                <w:sz w:val="15"/>
              </w:rPr>
              <w:t>Standard SFT increases sycophancy; models agree with false user claims</w:t>
            </w:r>
          </w:p>
        </w:tc>
        <w:tc>
          <w:tcPr>
            <w:tcW w:type="dxa" w:w="1170"/>
          </w:tcPr>
          <w:p>
            <w:r>
              <w:rPr>
                <w:sz w:val="15"/>
              </w:rPr>
              <w:t>Does not provide a dedicated regulatory compliance alignment fix</w:t>
            </w:r>
          </w:p>
        </w:tc>
      </w:tr>
      <w:tr>
        <w:tc>
          <w:tcPr>
            <w:tcW w:type="dxa" w:w="1170"/>
          </w:tcPr>
          <w:p>
            <w:r>
              <w:rPr>
                <w:sz w:val="15"/>
              </w:rPr>
              <w:t>17</w:t>
            </w:r>
          </w:p>
        </w:tc>
        <w:tc>
          <w:tcPr>
            <w:tcW w:type="dxa" w:w="1170"/>
          </w:tcPr>
          <w:p>
            <w:r>
              <w:rPr>
                <w:sz w:val="15"/>
              </w:rPr>
              <w:t>Robertson et al. (2009)</w:t>
            </w:r>
          </w:p>
        </w:tc>
        <w:tc>
          <w:tcPr>
            <w:tcW w:type="dxa" w:w="1170"/>
          </w:tcPr>
          <w:p>
            <w:r>
              <w:rPr>
                <w:sz w:val="15"/>
              </w:rPr>
              <w:t>Probabilistic term matching for document retrieval</w:t>
            </w:r>
          </w:p>
        </w:tc>
        <w:tc>
          <w:tcPr>
            <w:tcW w:type="dxa" w:w="1170"/>
          </w:tcPr>
          <w:p>
            <w:r>
              <w:rPr>
                <w:sz w:val="15"/>
              </w:rPr>
              <w:t>TREC Corpora</w:t>
            </w:r>
          </w:p>
        </w:tc>
        <w:tc>
          <w:tcPr>
            <w:tcW w:type="dxa" w:w="1170"/>
          </w:tcPr>
          <w:p>
            <w:r>
              <w:rPr>
                <w:sz w:val="15"/>
              </w:rPr>
              <w:t>BM25 Probabilistic Model</w:t>
            </w:r>
          </w:p>
        </w:tc>
        <w:tc>
          <w:tcPr>
            <w:tcW w:type="dxa" w:w="1170"/>
          </w:tcPr>
          <w:p>
            <w:r>
              <w:rPr>
                <w:sz w:val="15"/>
              </w:rPr>
              <w:t>Precision@10, MAP</w:t>
            </w:r>
          </w:p>
        </w:tc>
        <w:tc>
          <w:tcPr>
            <w:tcW w:type="dxa" w:w="1170"/>
          </w:tcPr>
          <w:p>
            <w:r>
              <w:rPr>
                <w:sz w:val="15"/>
              </w:rPr>
              <w:t>BM25 outperforms dense vectors on exact alphanumeric circular numbers</w:t>
            </w:r>
          </w:p>
        </w:tc>
        <w:tc>
          <w:tcPr>
            <w:tcW w:type="dxa" w:w="1170"/>
          </w:tcPr>
          <w:p>
            <w:r>
              <w:rPr>
                <w:sz w:val="15"/>
              </w:rPr>
              <w:t>Lacks semantic understanding of synonyms and legal paraphrasing</w:t>
            </w:r>
          </w:p>
        </w:tc>
      </w:tr>
      <w:tr>
        <w:tc>
          <w:tcPr>
            <w:tcW w:type="dxa" w:w="1170"/>
          </w:tcPr>
          <w:p>
            <w:r>
              <w:rPr>
                <w:sz w:val="15"/>
              </w:rPr>
              <w:t>18</w:t>
            </w:r>
          </w:p>
        </w:tc>
        <w:tc>
          <w:tcPr>
            <w:tcW w:type="dxa" w:w="1170"/>
          </w:tcPr>
          <w:p>
            <w:r>
              <w:rPr>
                <w:sz w:val="15"/>
              </w:rPr>
              <w:t>Guha et al. (2024)</w:t>
            </w:r>
          </w:p>
        </w:tc>
        <w:tc>
          <w:tcPr>
            <w:tcW w:type="dxa" w:w="1170"/>
          </w:tcPr>
          <w:p>
            <w:r>
              <w:rPr>
                <w:sz w:val="15"/>
              </w:rPr>
              <w:t>Comprehensive benchmark for legal reasoning tasks</w:t>
            </w:r>
          </w:p>
        </w:tc>
        <w:tc>
          <w:tcPr>
            <w:tcW w:type="dxa" w:w="1170"/>
          </w:tcPr>
          <w:p>
            <w:r>
              <w:rPr>
                <w:sz w:val="15"/>
              </w:rPr>
              <w:t>US Statutory &amp; Case Law</w:t>
            </w:r>
          </w:p>
        </w:tc>
        <w:tc>
          <w:tcPr>
            <w:tcW w:type="dxa" w:w="1170"/>
          </w:tcPr>
          <w:p>
            <w:r>
              <w:rPr>
                <w:sz w:val="15"/>
              </w:rPr>
              <w:t>Multi-Task Legal Evaluation</w:t>
            </w:r>
          </w:p>
        </w:tc>
        <w:tc>
          <w:tcPr>
            <w:tcW w:type="dxa" w:w="1170"/>
          </w:tcPr>
          <w:p>
            <w:r>
              <w:rPr>
                <w:sz w:val="15"/>
              </w:rPr>
              <w:t>Sub-task Accuracy</w:t>
            </w:r>
          </w:p>
        </w:tc>
        <w:tc>
          <w:tcPr>
            <w:tcW w:type="dxa" w:w="1170"/>
          </w:tcPr>
          <w:p>
            <w:r>
              <w:rPr>
                <w:sz w:val="15"/>
              </w:rPr>
              <w:t>Identifies major reasoning gaps in commercial models on statutory logic</w:t>
            </w:r>
          </w:p>
        </w:tc>
        <w:tc>
          <w:tcPr>
            <w:tcW w:type="dxa" w:w="1170"/>
          </w:tcPr>
          <w:p>
            <w:r>
              <w:rPr>
                <w:sz w:val="15"/>
              </w:rPr>
              <w:t>US jurisdiction specific; zero coverage of Indian financial laws</w:t>
            </w:r>
          </w:p>
        </w:tc>
      </w:tr>
      <w:tr>
        <w:tc>
          <w:tcPr>
            <w:tcW w:type="dxa" w:w="1170"/>
          </w:tcPr>
          <w:p>
            <w:r>
              <w:rPr>
                <w:sz w:val="15"/>
              </w:rPr>
              <w:t>19</w:t>
            </w:r>
          </w:p>
        </w:tc>
        <w:tc>
          <w:tcPr>
            <w:tcW w:type="dxa" w:w="1170"/>
          </w:tcPr>
          <w:p>
            <w:r>
              <w:rPr>
                <w:sz w:val="15"/>
              </w:rPr>
              <w:t>Paul et al. (2024)</w:t>
            </w:r>
          </w:p>
        </w:tc>
        <w:tc>
          <w:tcPr>
            <w:tcW w:type="dxa" w:w="1170"/>
          </w:tcPr>
          <w:p>
            <w:r>
              <w:rPr>
                <w:sz w:val="15"/>
              </w:rPr>
              <w:t>Legal text summarization for Indian High Courts</w:t>
            </w:r>
          </w:p>
        </w:tc>
        <w:tc>
          <w:tcPr>
            <w:tcW w:type="dxa" w:w="1170"/>
          </w:tcPr>
          <w:p>
            <w:r>
              <w:rPr>
                <w:sz w:val="15"/>
              </w:rPr>
              <w:t>Indian High Court Judgments</w:t>
            </w:r>
          </w:p>
        </w:tc>
        <w:tc>
          <w:tcPr>
            <w:tcW w:type="dxa" w:w="1170"/>
          </w:tcPr>
          <w:p>
            <w:r>
              <w:rPr>
                <w:sz w:val="15"/>
              </w:rPr>
              <w:t>BART / T5 Domain Adaptation</w:t>
            </w:r>
          </w:p>
        </w:tc>
        <w:tc>
          <w:tcPr>
            <w:tcW w:type="dxa" w:w="1170"/>
          </w:tcPr>
          <w:p>
            <w:r>
              <w:rPr>
                <w:sz w:val="15"/>
              </w:rPr>
              <w:t>ROUGE Scores, Expert Rating</w:t>
            </w:r>
          </w:p>
        </w:tc>
        <w:tc>
          <w:tcPr>
            <w:tcW w:type="dxa" w:w="1170"/>
          </w:tcPr>
          <w:p>
            <w:r>
              <w:rPr>
                <w:sz w:val="15"/>
              </w:rPr>
              <w:t>Domain adaptation improves legal terminology retention</w:t>
            </w:r>
          </w:p>
        </w:tc>
        <w:tc>
          <w:tcPr>
            <w:tcW w:type="dxa" w:w="1170"/>
          </w:tcPr>
          <w:p>
            <w:r>
              <w:rPr>
                <w:sz w:val="15"/>
              </w:rPr>
              <w:t>Summarization only; does not perform interactive compliance QA</w:t>
            </w:r>
          </w:p>
        </w:tc>
      </w:tr>
      <w:tr>
        <w:tc>
          <w:tcPr>
            <w:tcW w:type="dxa" w:w="1170"/>
          </w:tcPr>
          <w:p>
            <w:r>
              <w:rPr>
                <w:sz w:val="15"/>
              </w:rPr>
              <w:t>20</w:t>
            </w:r>
          </w:p>
        </w:tc>
        <w:tc>
          <w:tcPr>
            <w:tcW w:type="dxa" w:w="1170"/>
          </w:tcPr>
          <w:p>
            <w:r>
              <w:rPr>
                <w:sz w:val="15"/>
              </w:rPr>
              <w:t>Madaan et al. (2023)</w:t>
            </w:r>
          </w:p>
        </w:tc>
        <w:tc>
          <w:tcPr>
            <w:tcW w:type="dxa" w:w="1170"/>
          </w:tcPr>
          <w:p>
            <w:r>
              <w:rPr>
                <w:sz w:val="15"/>
              </w:rPr>
              <w:t>Iterative self-correction with feedback loops</w:t>
            </w:r>
          </w:p>
        </w:tc>
        <w:tc>
          <w:tcPr>
            <w:tcW w:type="dxa" w:w="1170"/>
          </w:tcPr>
          <w:p>
            <w:r>
              <w:rPr>
                <w:sz w:val="15"/>
              </w:rPr>
              <w:t>HumanEval, GSM8K</w:t>
            </w:r>
          </w:p>
        </w:tc>
        <w:tc>
          <w:tcPr>
            <w:tcW w:type="dxa" w:w="1170"/>
          </w:tcPr>
          <w:p>
            <w:r>
              <w:rPr>
                <w:sz w:val="15"/>
              </w:rPr>
              <w:t>Self-Refine Framework</w:t>
            </w:r>
          </w:p>
        </w:tc>
        <w:tc>
          <w:tcPr>
            <w:tcW w:type="dxa" w:w="1170"/>
          </w:tcPr>
          <w:p>
            <w:r>
              <w:rPr>
                <w:sz w:val="15"/>
              </w:rPr>
              <w:t>Task Success Rate</w:t>
            </w:r>
          </w:p>
        </w:tc>
        <w:tc>
          <w:tcPr>
            <w:tcW w:type="dxa" w:w="1170"/>
          </w:tcPr>
          <w:p>
            <w:r>
              <w:rPr>
                <w:sz w:val="15"/>
              </w:rPr>
              <w:t>Self-critique improves reasoning quality without re-training</w:t>
            </w:r>
          </w:p>
        </w:tc>
        <w:tc>
          <w:tcPr>
            <w:tcW w:type="dxa" w:w="1170"/>
          </w:tcPr>
          <w:p>
            <w:r>
              <w:rPr>
                <w:sz w:val="15"/>
              </w:rPr>
              <w:t>High latency and inference cost; impractical for real-time SLMs</w:t>
            </w:r>
          </w:p>
        </w:tc>
      </w:tr>
      <w:tr>
        <w:tc>
          <w:tcPr>
            <w:tcW w:type="dxa" w:w="1170"/>
          </w:tcPr>
          <w:p>
            <w:r>
              <w:rPr>
                <w:sz w:val="15"/>
              </w:rPr>
              <w:t>21</w:t>
            </w:r>
          </w:p>
        </w:tc>
        <w:tc>
          <w:tcPr>
            <w:tcW w:type="dxa" w:w="1170"/>
          </w:tcPr>
          <w:p>
            <w:r>
              <w:rPr>
                <w:sz w:val="15"/>
              </w:rPr>
              <w:t>Ouyang et al. (2022)</w:t>
            </w:r>
          </w:p>
        </w:tc>
        <w:tc>
          <w:tcPr>
            <w:tcW w:type="dxa" w:w="1170"/>
          </w:tcPr>
          <w:p>
            <w:r>
              <w:rPr>
                <w:sz w:val="15"/>
              </w:rPr>
              <w:t>Instruction alignment via reinforcement from feedback</w:t>
            </w:r>
          </w:p>
        </w:tc>
        <w:tc>
          <w:tcPr>
            <w:tcW w:type="dxa" w:w="1170"/>
          </w:tcPr>
          <w:p>
            <w:r>
              <w:rPr>
                <w:sz w:val="15"/>
              </w:rPr>
              <w:t>InstructGPT Datasets</w:t>
            </w:r>
          </w:p>
        </w:tc>
        <w:tc>
          <w:tcPr>
            <w:tcW w:type="dxa" w:w="1170"/>
          </w:tcPr>
          <w:p>
            <w:r>
              <w:rPr>
                <w:sz w:val="15"/>
              </w:rPr>
              <w:t>PPO Reinforcement Learning</w:t>
            </w:r>
          </w:p>
        </w:tc>
        <w:tc>
          <w:tcPr>
            <w:tcW w:type="dxa" w:w="1170"/>
          </w:tcPr>
          <w:p>
            <w:r>
              <w:rPr>
                <w:sz w:val="15"/>
              </w:rPr>
              <w:t>Human Preference Rating</w:t>
            </w:r>
          </w:p>
        </w:tc>
        <w:tc>
          <w:tcPr>
            <w:tcW w:type="dxa" w:w="1170"/>
          </w:tcPr>
          <w:p>
            <w:r>
              <w:rPr>
                <w:sz w:val="15"/>
              </w:rPr>
              <w:t>Aligning LLMs with human intent improves compliance and reduces toxicity</w:t>
            </w:r>
          </w:p>
        </w:tc>
        <w:tc>
          <w:tcPr>
            <w:tcW w:type="dxa" w:w="1170"/>
          </w:tcPr>
          <w:p>
            <w:r>
              <w:rPr>
                <w:sz w:val="15"/>
              </w:rPr>
              <w:t>PPO is computationally heavy and unstable on single-GPU hardware</w:t>
            </w:r>
          </w:p>
        </w:tc>
      </w:tr>
      <w:tr>
        <w:tc>
          <w:tcPr>
            <w:tcW w:type="dxa" w:w="1170"/>
          </w:tcPr>
          <w:p>
            <w:r>
              <w:rPr>
                <w:sz w:val="15"/>
              </w:rPr>
              <w:t>22</w:t>
            </w:r>
          </w:p>
        </w:tc>
        <w:tc>
          <w:tcPr>
            <w:tcW w:type="dxa" w:w="1170"/>
          </w:tcPr>
          <w:p>
            <w:r>
              <w:rPr>
                <w:sz w:val="15"/>
              </w:rPr>
              <w:t>Karpukhin et al. (2020)</w:t>
            </w:r>
          </w:p>
        </w:tc>
        <w:tc>
          <w:tcPr>
            <w:tcW w:type="dxa" w:w="1170"/>
          </w:tcPr>
          <w:p>
            <w:r>
              <w:rPr>
                <w:sz w:val="15"/>
              </w:rPr>
              <w:t>Dense retrieval using dual-encoder bi-encoders</w:t>
            </w:r>
          </w:p>
        </w:tc>
        <w:tc>
          <w:tcPr>
            <w:tcW w:type="dxa" w:w="1170"/>
          </w:tcPr>
          <w:p>
            <w:r>
              <w:rPr>
                <w:sz w:val="15"/>
              </w:rPr>
              <w:t>Natural Questions</w:t>
            </w:r>
          </w:p>
        </w:tc>
        <w:tc>
          <w:tcPr>
            <w:tcW w:type="dxa" w:w="1170"/>
          </w:tcPr>
          <w:p>
            <w:r>
              <w:rPr>
                <w:sz w:val="15"/>
              </w:rPr>
              <w:t>Dense Passage Retrieval</w:t>
            </w:r>
          </w:p>
        </w:tc>
        <w:tc>
          <w:tcPr>
            <w:tcW w:type="dxa" w:w="1170"/>
          </w:tcPr>
          <w:p>
            <w:r>
              <w:rPr>
                <w:sz w:val="15"/>
              </w:rPr>
              <w:t>Top-K Retrieval Accuracy</w:t>
            </w:r>
          </w:p>
        </w:tc>
        <w:tc>
          <w:tcPr>
            <w:tcW w:type="dxa" w:w="1170"/>
          </w:tcPr>
          <w:p>
            <w:r>
              <w:rPr>
                <w:sz w:val="15"/>
              </w:rPr>
              <w:t>Dense semantic search overcomes lexical vocabulary mismatch</w:t>
            </w:r>
          </w:p>
        </w:tc>
        <w:tc>
          <w:tcPr>
            <w:tcW w:type="dxa" w:w="1170"/>
          </w:tcPr>
          <w:p>
            <w:r>
              <w:rPr>
                <w:sz w:val="15"/>
              </w:rPr>
              <w:t>Fails on exact statutory section numbers and circular codes</w:t>
            </w:r>
          </w:p>
        </w:tc>
      </w:tr>
      <w:tr>
        <w:tc>
          <w:tcPr>
            <w:tcW w:type="dxa" w:w="1170"/>
          </w:tcPr>
          <w:p>
            <w:r>
              <w:rPr>
                <w:sz w:val="15"/>
              </w:rPr>
              <w:t>23</w:t>
            </w:r>
          </w:p>
        </w:tc>
        <w:tc>
          <w:tcPr>
            <w:tcW w:type="dxa" w:w="1170"/>
          </w:tcPr>
          <w:p>
            <w:r>
              <w:rPr>
                <w:sz w:val="15"/>
              </w:rPr>
              <w:t>Glaese et al. (2022)</w:t>
            </w:r>
          </w:p>
        </w:tc>
        <w:tc>
          <w:tcPr>
            <w:tcW w:type="dxa" w:w="1170"/>
          </w:tcPr>
          <w:p>
            <w:r>
              <w:rPr>
                <w:sz w:val="15"/>
              </w:rPr>
              <w:t>Dialogue alignment using rule-based supervision</w:t>
            </w:r>
          </w:p>
        </w:tc>
        <w:tc>
          <w:tcPr>
            <w:tcW w:type="dxa" w:w="1170"/>
          </w:tcPr>
          <w:p>
            <w:r>
              <w:rPr>
                <w:sz w:val="15"/>
              </w:rPr>
              <w:t>Safety Dialogue Corpora</w:t>
            </w:r>
          </w:p>
        </w:tc>
        <w:tc>
          <w:tcPr>
            <w:tcW w:type="dxa" w:w="1170"/>
          </w:tcPr>
          <w:p>
            <w:r>
              <w:rPr>
                <w:sz w:val="15"/>
              </w:rPr>
              <w:t>Sparrow Rule Conditioning</w:t>
            </w:r>
          </w:p>
        </w:tc>
        <w:tc>
          <w:tcPr>
            <w:tcW w:type="dxa" w:w="1170"/>
          </w:tcPr>
          <w:p>
            <w:r>
              <w:rPr>
                <w:sz w:val="15"/>
              </w:rPr>
              <w:t>Rule Violation Rate</w:t>
            </w:r>
          </w:p>
        </w:tc>
        <w:tc>
          <w:tcPr>
            <w:tcW w:type="dxa" w:w="1170"/>
          </w:tcPr>
          <w:p>
            <w:r>
              <w:rPr>
                <w:sz w:val="15"/>
              </w:rPr>
              <w:t>Targeted rule conditioning reduces harmful and ungrounded statements</w:t>
            </w:r>
          </w:p>
        </w:tc>
        <w:tc>
          <w:tcPr>
            <w:tcW w:type="dxa" w:w="1170"/>
          </w:tcPr>
          <w:p>
            <w:r>
              <w:rPr>
                <w:sz w:val="15"/>
              </w:rPr>
              <w:t>Proprietary multi-turn architecture not available for on-premise use</w:t>
            </w:r>
          </w:p>
        </w:tc>
      </w:tr>
    </w:tbl>
    <w:p>
      <w:r>
        <w:br w:type="page"/>
      </w:r>
    </w:p>
    <w:p>
      <w:pPr>
        <w:keepNext/>
        <w:spacing w:before="240" w:after="120"/>
      </w:pPr>
      <w:r>
        <w:rPr>
          <w:rFonts w:ascii="Calibri" w:hAnsi="Calibri"/>
          <w:b/>
          <w:color w:val="1E3A8A"/>
          <w:sz w:val="28"/>
        </w:rPr>
        <w:t>PART E — Literature Synthesis</w:t>
      </w:r>
    </w:p>
    <w:p>
      <w:pPr>
        <w:keepNext/>
        <w:spacing w:before="240" w:after="120"/>
      </w:pPr>
      <w:r>
        <w:rPr>
          <w:rFonts w:ascii="Calibri" w:hAnsi="Calibri"/>
          <w:b/>
          <w:color w:val="0F172A"/>
          <w:sz w:val="24"/>
        </w:rPr>
        <w:t>8. Literature Synthesis Across Six Key Themes</w:t>
      </w:r>
    </w:p>
    <w:p>
      <w:pPr>
        <w:spacing w:after="120" w:line="276" w:lineRule="auto"/>
      </w:pPr>
      <w:r>
        <w:rPr>
          <w:rFonts w:ascii="Calibri" w:hAnsi="Calibri"/>
          <w:b/>
          <w:color w:val="0F172A"/>
          <w:sz w:val="21"/>
        </w:rPr>
        <w:t xml:space="preserve">Theme 1: Algorithms &amp; Model Architectures: </w:t>
      </w:r>
      <w:r>
        <w:rPr>
          <w:rFonts w:ascii="Calibri" w:hAnsi="Calibri"/>
          <w:color w:val="1E293B"/>
          <w:sz w:val="21"/>
        </w:rPr>
        <w:t>The surveyed literature reveals a decisive transition from monolithic cloud LLMs (175B+) toward domain-adapted Small Language Models (SLMs, 3B–8B parameters). Foundational work by Hu et al. [9] and Rafailov et al. [7] established parameter-efficient fine-tuning (QLoRA) and Direct Preference Optimization (DPO) as the premier toolchain for localized alignment. DeepSeek-AI [4] demonstrated that reasoning density can be transferred to compact 7B architectures. However, general-purpose SLMs require structured domain supervision to prevent hallucinating statutory provisions.</w:t>
      </w:r>
    </w:p>
    <w:p>
      <w:pPr>
        <w:spacing w:after="120" w:line="276" w:lineRule="auto"/>
      </w:pPr>
      <w:r>
        <w:rPr>
          <w:rFonts w:ascii="Calibri" w:hAnsi="Calibri"/>
          <w:b/>
          <w:color w:val="0F172A"/>
          <w:sz w:val="21"/>
        </w:rPr>
        <w:t xml:space="preserve">Theme 2: Corpus Diversity &amp; Scale: </w:t>
      </w:r>
      <w:r>
        <w:rPr>
          <w:rFonts w:ascii="Calibri" w:hAnsi="Calibri"/>
          <w:color w:val="1E293B"/>
          <w:sz w:val="21"/>
        </w:rPr>
        <w:t>Existing legal NLP studies predominantly rely on judicial court judgments (e.g., LegalBench [18], InLegalQA [12], LexGLUE [14]). Very few works examine multi-agency financial regulatory corpora. Kim et al. [2] compiled a 1,327-document safety corpus, while de Oliveira et al. [1] explored 12,000 Portuguese norms. Indian financial regulation—spanning 18,242 circulars and 25 Parliamentary Acts across 13 authorities—remains unrepresented in international benchmarks.</w:t>
      </w:r>
    </w:p>
    <w:p>
      <w:pPr>
        <w:spacing w:after="120" w:line="276" w:lineRule="auto"/>
      </w:pPr>
      <w:r>
        <w:rPr>
          <w:rFonts w:ascii="Calibri" w:hAnsi="Calibri"/>
          <w:b/>
          <w:color w:val="0F172A"/>
          <w:sz w:val="21"/>
        </w:rPr>
        <w:t xml:space="preserve">Theme 3: Retrieval &amp; Temporal Validity: </w:t>
      </w:r>
      <w:r>
        <w:rPr>
          <w:rFonts w:ascii="Calibri" w:hAnsi="Calibri"/>
          <w:color w:val="1E293B"/>
          <w:sz w:val="21"/>
        </w:rPr>
        <w:t>Surveys by Hindi et al. [3] and foundational experiments by Cormack et al. [8] prove that hybrid retrieval (combining dense vector semantics with BM25 lexical precision via Reciprocal Rank Fusion) consistently outperforms single-modality retrievers. Critically, standard RAG fails when regulations are modified or superseded. While de Oliveira et al. [1] utilized heavy graph databases to track norm modifications, our synthesis indicates that a lightweight, metadata-driven temporal filter (`as_of_date` vs `effective_date`) provides a more practical and computationally efficient solution for on-premises deployment.</w:t>
      </w:r>
    </w:p>
    <w:p>
      <w:pPr>
        <w:spacing w:after="120" w:line="276" w:lineRule="auto"/>
      </w:pPr>
      <w:r>
        <w:rPr>
          <w:rFonts w:ascii="Calibri" w:hAnsi="Calibri"/>
          <w:b/>
          <w:color w:val="0F172A"/>
          <w:sz w:val="21"/>
        </w:rPr>
        <w:t xml:space="preserve">Theme 4: Evaluation Protocols &amp; Metrics: </w:t>
      </w:r>
      <w:r>
        <w:rPr>
          <w:rFonts w:ascii="Calibri" w:hAnsi="Calibri"/>
          <w:color w:val="1E293B"/>
          <w:sz w:val="21"/>
        </w:rPr>
        <w:t>Traditional legal QA evaluation has relied on n-gram overlap metrics (ROUGE, BLEU) or basic classification accuracy. Recent literature (e.g., Zhang et al. [10], Kadavath et al. [15]) strongly advocates for multi-dimensional rubrics evaluating: (1) Statutory Factual Accuracy, (2) Exact Citation Grounding, and (3) Epistemic Abstention Quality. Evaluating models using an automated Frontier LLM-as-a-Judge (such as LLaMA-3.3-70B) provides standardized, reproducible scoring across hundreds of adversarial test queries.</w:t>
      </w:r>
    </w:p>
    <w:p>
      <w:pPr>
        <w:spacing w:after="120" w:line="276" w:lineRule="auto"/>
      </w:pPr>
      <w:r>
        <w:rPr>
          <w:rFonts w:ascii="Calibri" w:hAnsi="Calibri"/>
          <w:b/>
          <w:color w:val="0F172A"/>
          <w:sz w:val="21"/>
        </w:rPr>
        <w:t xml:space="preserve">Theme 5: Epistemic Abstention &amp; Sycophancy: </w:t>
      </w:r>
      <w:r>
        <w:rPr>
          <w:rFonts w:ascii="Calibri" w:hAnsi="Calibri"/>
          <w:color w:val="1E293B"/>
          <w:sz w:val="21"/>
        </w:rPr>
        <w:t>A major insight from Kadavath et al. [15] and Wei et al. [16] is that SFT models suffer from catastrophic sycophancy—they enthusiastically answer questions containing false premises rather than challenging the premise. In high-stakes regulatory compliance, an AI that hallucinates an answer to an out-of-scope query creates severe legal liability. Applying DPO with negative-sampled unanswerable and false-premise pairs is essential to train models to say 'The provided regulatory context does not contain sufficient statutory evidence.'</w:t>
      </w:r>
    </w:p>
    <w:p>
      <w:pPr>
        <w:spacing w:after="120" w:line="276" w:lineRule="auto"/>
      </w:pPr>
      <w:r>
        <w:rPr>
          <w:rFonts w:ascii="Calibri" w:hAnsi="Calibri"/>
          <w:b/>
          <w:color w:val="0F172A"/>
          <w:sz w:val="21"/>
        </w:rPr>
        <w:t xml:space="preserve">Theme 6: Privacy, Data Sovereignty &amp; On-Premises Deployment: </w:t>
      </w:r>
      <w:r>
        <w:rPr>
          <w:rFonts w:ascii="Calibri" w:hAnsi="Calibri"/>
          <w:color w:val="1E293B"/>
          <w:sz w:val="21"/>
        </w:rPr>
        <w:t>Under India's Digital Personal Data Protection (DPDP) Act 2023 [6], sending internal financial compliance records or customer audit logs to external cloud APIs (e.g., OpenAI, Google) is legally restricted. Iyer &amp; Raman [6] demonstrated that financial institutions require self-hosted, on-premises models. Small reasoning models (7B) running locally on consumer hardware provide complete data sovereignty while eliminating recurring API costs.</w:t>
      </w:r>
    </w:p>
    <w:p>
      <w:pPr>
        <w:keepNext/>
        <w:spacing w:before="240" w:after="120"/>
      </w:pPr>
      <w:r>
        <w:rPr>
          <w:rFonts w:ascii="Calibri" w:hAnsi="Calibri"/>
          <w:b/>
          <w:color w:val="1E3A8A"/>
          <w:sz w:val="28"/>
        </w:rPr>
        <w:t>PART F — Research Gap Identification</w:t>
      </w:r>
    </w:p>
    <w:p>
      <w:pPr>
        <w:keepNext/>
        <w:spacing w:before="240" w:after="120"/>
      </w:pPr>
      <w:r>
        <w:rPr>
          <w:rFonts w:ascii="Calibri" w:hAnsi="Calibri"/>
          <w:b/>
          <w:color w:val="0F172A"/>
          <w:sz w:val="24"/>
        </w:rPr>
        <w:t>9. Detailed Research Gap Classification</w:t>
      </w:r>
    </w:p>
    <w:p>
      <w:pPr>
        <w:spacing w:after="120" w:line="276" w:lineRule="auto"/>
      </w:pPr>
      <w:r>
        <w:rPr>
          <w:rFonts w:ascii="Calibri" w:hAnsi="Calibri"/>
          <w:b/>
          <w:color w:val="0F172A"/>
          <w:sz w:val="21"/>
        </w:rPr>
        <w:t xml:space="preserve">1. Methodological Gap: </w:t>
      </w:r>
      <w:r>
        <w:rPr>
          <w:rFonts w:ascii="Calibri" w:hAnsi="Calibri"/>
          <w:color w:val="1E293B"/>
          <w:sz w:val="21"/>
        </w:rPr>
        <w:t>Existing legal RAG studies utilize either dense semantic search or standalone BM25 without explicit temporal validity checking. Prior attempts at temporal modeling rely on heavy GraphRAG architectures [1] that cannot easily run on local hardware. There is a clear gap for a unified, lightweight hybrid retrieval pipeline (Dense + BM25 + RRF + Metadata Temporal Filter) tailored for Indian regulatory circulars.</w:t>
      </w:r>
    </w:p>
    <w:p>
      <w:pPr>
        <w:spacing w:after="120" w:line="276" w:lineRule="auto"/>
      </w:pPr>
      <w:r>
        <w:rPr>
          <w:rFonts w:ascii="Calibri" w:hAnsi="Calibri"/>
          <w:b/>
          <w:color w:val="0F172A"/>
          <w:sz w:val="21"/>
        </w:rPr>
        <w:t xml:space="preserve">2. Dataset &amp; Jurisdiction Gap: </w:t>
      </w:r>
      <w:r>
        <w:rPr>
          <w:rFonts w:ascii="Calibri" w:hAnsi="Calibri"/>
          <w:color w:val="1E293B"/>
          <w:sz w:val="21"/>
        </w:rPr>
        <w:t>Current legal benchmarks focus overwhelmingly on US/EU case law or Indian judicial judgments [11, 12]. There is no comprehensive, open-access multi-agency benchmark covering all 13 Indian financial regulators (RBI, SEBI, MCA, CBIC, CBDT, IBBI, EPFO, ESIC, IRDAI, PFRDA, MeitY, FIU-IND, IFSCA).</w:t>
      </w:r>
    </w:p>
    <w:p>
      <w:pPr>
        <w:spacing w:after="120" w:line="276" w:lineRule="auto"/>
      </w:pPr>
      <w:r>
        <w:rPr>
          <w:rFonts w:ascii="Calibri" w:hAnsi="Calibri"/>
          <w:b/>
          <w:color w:val="0F172A"/>
          <w:sz w:val="21"/>
        </w:rPr>
        <w:t xml:space="preserve">3. Epistemic Abstention Gap: </w:t>
      </w:r>
      <w:r>
        <w:rPr>
          <w:rFonts w:ascii="Calibri" w:hAnsi="Calibri"/>
          <w:color w:val="1E293B"/>
          <w:sz w:val="21"/>
        </w:rPr>
        <w:t>Standard regulatory AI models are trained exclusively on positive question-answer pairs, resulting in 0% abstention on unanswerable queries and high sycophancy on false premises. Aligning small reasoning models with DPO to actively refuse ungrounded queries remains largely unaddressed in financial compliance literature.</w:t>
      </w:r>
    </w:p>
    <w:p>
      <w:pPr>
        <w:spacing w:after="120" w:line="276" w:lineRule="auto"/>
      </w:pPr>
      <w:r>
        <w:rPr>
          <w:rFonts w:ascii="Calibri" w:hAnsi="Calibri"/>
          <w:b/>
          <w:color w:val="0F172A"/>
          <w:sz w:val="21"/>
        </w:rPr>
        <w:t xml:space="preserve">4. Explainability &amp; Reasoning Gap: </w:t>
      </w:r>
      <w:r>
        <w:rPr>
          <w:rFonts w:ascii="Calibri" w:hAnsi="Calibri"/>
          <w:color w:val="1E293B"/>
          <w:sz w:val="21"/>
        </w:rPr>
        <w:t>Most legal SLMs generate direct answers without verifiable Chain-of-Thought (CoT) reasoning traces. In compliance auditing, human compliance officers require transparent `&lt;think&gt; ... &lt;/think&gt;` rationale detailing how specific circulars interact before accepting an output.</w:t>
      </w:r>
    </w:p>
    <w:p>
      <w:pPr>
        <w:spacing w:after="120" w:line="276" w:lineRule="auto"/>
      </w:pPr>
      <w:r>
        <w:rPr>
          <w:rFonts w:ascii="Calibri" w:hAnsi="Calibri"/>
          <w:b/>
          <w:color w:val="0F172A"/>
          <w:sz w:val="21"/>
        </w:rPr>
        <w:t xml:space="preserve">5. Evaluation Gap: </w:t>
      </w:r>
      <w:r>
        <w:rPr>
          <w:rFonts w:ascii="Calibri" w:hAnsi="Calibri"/>
          <w:color w:val="1E293B"/>
          <w:sz w:val="21"/>
        </w:rPr>
        <w:t>Literature commonly reports surface-level ROUGE/BLEU scores rather than hard compliance metrics. Systematic evaluation across direct compliance (C1), multi-hop synthesis (C2), cross-agency overlap (C3), numerical computation (C4), epistemic refusal (C5), and premise rejection (C6) is missing in prior studies.</w:t>
      </w:r>
    </w:p>
    <w:p>
      <w:pPr>
        <w:spacing w:after="120" w:line="276" w:lineRule="auto"/>
      </w:pPr>
      <w:r>
        <w:rPr>
          <w:rFonts w:ascii="Calibri" w:hAnsi="Calibri"/>
          <w:b/>
          <w:color w:val="0F172A"/>
          <w:sz w:val="21"/>
        </w:rPr>
        <w:t xml:space="preserve">6. On-Premises Privacy &amp; Deployment Gap: </w:t>
      </w:r>
      <w:r>
        <w:rPr>
          <w:rFonts w:ascii="Calibri" w:hAnsi="Calibri"/>
          <w:color w:val="1E293B"/>
          <w:sz w:val="21"/>
        </w:rPr>
        <w:t>Despite the strict mandates of the DPDP Act 2023, most state-of-the-art compliance assistants rely on cloud-hosted frontier LLMs. Developing an optimized 7B reasoning model capable of running entirely on local consumer hardware (8GB VRAM) remains an open engineering challenge.</w:t>
      </w:r>
    </w:p>
    <w:p>
      <w:pPr>
        <w:spacing w:after="120" w:line="276" w:lineRule="auto"/>
      </w:pPr>
      <w:r>
        <w:rPr>
          <w:rFonts w:ascii="Calibri" w:hAnsi="Calibri"/>
          <w:b/>
          <w:color w:val="0F172A"/>
          <w:sz w:val="21"/>
        </w:rPr>
        <w:t xml:space="preserve">Standardized Gap Statement: </w:t>
      </w:r>
      <w:r>
        <w:rPr>
          <w:rFonts w:ascii="Calibri" w:hAnsi="Calibri"/>
          <w:color w:val="1E293B"/>
          <w:sz w:val="21"/>
        </w:rPr>
        <w:t>Existing research has demonstrated that Retrieval-Augmented Generation can assist in statutory legal question answering. However, most studies focus on judicial court rulings, ignore circular obsolescence, and rely on cloud APIs that violate data privacy covenants. Furthermore, calibrated epistemic abstention on out-of-scope regulatory queries remains uninvestigated. Therefore, there is a clear need to develop an on-premises, version-aware hybrid retrieval architecture coupled with a two-stage aligned small reasoning model (DeepSeek-R1-Distill-Qwen-7B) to achieve verifiable citation grounding and calibrated refusal across the Indian financial regulatory landscape.</w:t>
      </w:r>
    </w:p>
    <w:p>
      <w:pPr>
        <w:keepNext/>
        <w:spacing w:before="240" w:after="120"/>
      </w:pPr>
      <w:r>
        <w:rPr>
          <w:rFonts w:ascii="Calibri" w:hAnsi="Calibri"/>
          <w:b/>
          <w:color w:val="1E3A8A"/>
          <w:sz w:val="28"/>
        </w:rPr>
        <w:t>PART G — Research Question</w:t>
      </w:r>
    </w:p>
    <w:p>
      <w:pPr>
        <w:keepNext/>
        <w:spacing w:before="240" w:after="120"/>
      </w:pPr>
      <w:r>
        <w:rPr>
          <w:rFonts w:ascii="Calibri" w:hAnsi="Calibri"/>
          <w:b/>
          <w:color w:val="0F172A"/>
          <w:sz w:val="24"/>
        </w:rPr>
        <w:t>10. Core Research Question</w:t>
      </w:r>
    </w:p>
    <w:p>
      <w:pPr>
        <w:spacing w:after="120" w:line="276" w:lineRule="auto"/>
      </w:pPr>
      <w:r>
        <w:rPr>
          <w:rFonts w:ascii="Calibri" w:hAnsi="Calibri"/>
          <w:color w:val="1E293B"/>
          <w:sz w:val="21"/>
        </w:rPr>
        <w:t>How does combining a version-aware multi-agency hybrid retrieval pipeline (Dense Vector + BM25 Lexical + Reciprocal Rank Fusion + Temporal Filtering) with a Two-Stage Aligned Reasoning Model (Stage 1 QLoRA SFT on Chain-of-Thought traces + Stage 2 Native DPO on epistemic preference pairs using DeepSeek-R1-Distill-Qwen-7B) compare against baseline small language models and single-stage SFT in achieving factual accuracy, 100% citation grounding, and calibrated epistemic abstention across the 13 Indian financial regulatory authorities under on-premises DPDP Act 2023 constraints?</w:t>
      </w:r>
    </w:p>
    <w:p>
      <w:pPr>
        <w:keepNext/>
        <w:spacing w:before="240" w:after="120"/>
      </w:pPr>
      <w:r>
        <w:rPr>
          <w:rFonts w:ascii="Calibri" w:hAnsi="Calibri"/>
          <w:b/>
          <w:color w:val="1E3A8A"/>
          <w:sz w:val="28"/>
        </w:rPr>
        <w:t>PART H — Research Objectives</w:t>
      </w:r>
    </w:p>
    <w:p>
      <w:pPr>
        <w:keepNext/>
        <w:spacing w:before="240" w:after="120"/>
      </w:pPr>
      <w:r>
        <w:rPr>
          <w:rFonts w:ascii="Calibri" w:hAnsi="Calibri"/>
          <w:b/>
          <w:color w:val="0F172A"/>
          <w:sz w:val="24"/>
        </w:rPr>
        <w:t>11. Research Objectives</w:t>
      </w:r>
    </w:p>
    <w:p>
      <w:pPr>
        <w:spacing w:after="120" w:line="276" w:lineRule="auto"/>
      </w:pPr>
      <w:r>
        <w:rPr>
          <w:rFonts w:ascii="Calibri" w:hAnsi="Calibri"/>
          <w:b/>
          <w:color w:val="0F172A"/>
          <w:sz w:val="21"/>
        </w:rPr>
        <w:t xml:space="preserve">1. </w:t>
      </w:r>
      <w:r>
        <w:rPr>
          <w:rFonts w:ascii="Calibri" w:hAnsi="Calibri"/>
          <w:color w:val="1E293B"/>
          <w:sz w:val="21"/>
        </w:rPr>
        <w:t>To curate and index an exhaustive, verified multi-agency corpus of 18,242 Indian financial regulatory documents (435.14 MB across 13 authorities and 25 Parliamentary Acts) in SQLite WAL mode with SHA-256 deduplication and metadata provenance.</w:t>
      </w:r>
    </w:p>
    <w:p>
      <w:pPr>
        <w:spacing w:after="120" w:line="276" w:lineRule="auto"/>
      </w:pPr>
      <w:r>
        <w:rPr>
          <w:rFonts w:ascii="Calibri" w:hAnsi="Calibri"/>
          <w:b/>
          <w:color w:val="0F172A"/>
          <w:sz w:val="21"/>
        </w:rPr>
        <w:t xml:space="preserve">2. </w:t>
      </w:r>
      <w:r>
        <w:rPr>
          <w:rFonts w:ascii="Calibri" w:hAnsi="Calibri"/>
          <w:color w:val="1E293B"/>
          <w:sz w:val="21"/>
        </w:rPr>
        <w:t>To develop a version-aware hybrid retrieval engine combining dense semantic embeddings (BGE-small), BM25 lexical keyword matching, Reciprocal Rank Fusion ($k=60$), cross-encoder reranking, and explicit temporal validity filtering (`as_of_date` vs `effective_date`).</w:t>
      </w:r>
    </w:p>
    <w:p>
      <w:pPr>
        <w:spacing w:after="120" w:line="276" w:lineRule="auto"/>
      </w:pPr>
      <w:r>
        <w:rPr>
          <w:rFonts w:ascii="Calibri" w:hAnsi="Calibri"/>
          <w:b/>
          <w:color w:val="0F172A"/>
          <w:sz w:val="21"/>
        </w:rPr>
        <w:t xml:space="preserve">3. </w:t>
      </w:r>
      <w:r>
        <w:rPr>
          <w:rFonts w:ascii="Calibri" w:hAnsi="Calibri"/>
          <w:color w:val="1E293B"/>
          <w:sz w:val="21"/>
        </w:rPr>
        <w:t>To synthesize a 257-chain Golden Reasoning SFT dataset (`omni_golden_sft_350.jsonl`) and a 257-pair DPO preference dataset (`omni_dpo_pairs_350.jsonl`) containing targeted hallucination, sycophancy, and unanswerable negative injections.</w:t>
      </w:r>
    </w:p>
    <w:p>
      <w:pPr>
        <w:spacing w:after="120" w:line="276" w:lineRule="auto"/>
      </w:pPr>
      <w:r>
        <w:rPr>
          <w:rFonts w:ascii="Calibri" w:hAnsi="Calibri"/>
          <w:b/>
          <w:color w:val="0F172A"/>
          <w:sz w:val="21"/>
        </w:rPr>
        <w:t xml:space="preserve">4. </w:t>
      </w:r>
      <w:r>
        <w:rPr>
          <w:rFonts w:ascii="Calibri" w:hAnsi="Calibri"/>
          <w:color w:val="1E293B"/>
          <w:sz w:val="21"/>
        </w:rPr>
        <w:t>To implement Stage 1 QLoRA SFT and Stage 2 Memory-Optimized Fused-Kernel DPO on DeepSeek-R1-Distill-Qwen-7B, maintaining strict context constraints on an 8GB consumer GPU.</w:t>
      </w:r>
    </w:p>
    <w:p>
      <w:pPr>
        <w:spacing w:after="120" w:line="276" w:lineRule="auto"/>
      </w:pPr>
      <w:r>
        <w:rPr>
          <w:rFonts w:ascii="Calibri" w:hAnsi="Calibri"/>
          <w:b/>
          <w:color w:val="0F172A"/>
          <w:sz w:val="21"/>
        </w:rPr>
        <w:t xml:space="preserve">5. </w:t>
      </w:r>
      <w:r>
        <w:rPr>
          <w:rFonts w:ascii="Calibri" w:hAnsi="Calibri"/>
          <w:color w:val="1E293B"/>
          <w:sz w:val="21"/>
        </w:rPr>
        <w:t>To merge trained LoRA adapters into standalone 15.2 GB FP16 SafeTensors weights for private, on-premises, DPDP Act 2023 compliant deployment.</w:t>
      </w:r>
    </w:p>
    <w:p>
      <w:pPr>
        <w:spacing w:after="120" w:line="276" w:lineRule="auto"/>
      </w:pPr>
      <w:r>
        <w:rPr>
          <w:rFonts w:ascii="Calibri" w:hAnsi="Calibri"/>
          <w:b/>
          <w:color w:val="0F172A"/>
          <w:sz w:val="21"/>
        </w:rPr>
        <w:t xml:space="preserve">6. </w:t>
      </w:r>
      <w:r>
        <w:rPr>
          <w:rFonts w:ascii="Calibri" w:hAnsi="Calibri"/>
          <w:color w:val="1E293B"/>
          <w:sz w:val="21"/>
        </w:rPr>
        <w:t>To evaluate the system across 4 model configurations on the G7 Hard Compliance Benchmark (300 queries across C1–C6 categories) using an automated Frontier LLM-as-a-Judge (Meta-Llama-3.3-70B-Instruct) measuring factual accuracy, citation precision, and calibrated refusal.</w:t>
      </w:r>
    </w:p>
    <w:p>
      <w:pPr>
        <w:keepNext/>
        <w:spacing w:before="240" w:after="120"/>
      </w:pPr>
      <w:r>
        <w:rPr>
          <w:rFonts w:ascii="Calibri" w:hAnsi="Calibri"/>
          <w:b/>
          <w:color w:val="1E3A8A"/>
          <w:sz w:val="28"/>
        </w:rPr>
        <w:t>PART I — Scope of Research</w:t>
      </w:r>
    </w:p>
    <w:p>
      <w:pPr>
        <w:keepNext/>
        <w:spacing w:before="240" w:after="120"/>
      </w:pPr>
      <w:r>
        <w:rPr>
          <w:rFonts w:ascii="Calibri" w:hAnsi="Calibri"/>
          <w:b/>
          <w:color w:val="0F172A"/>
          <w:sz w:val="24"/>
        </w:rPr>
        <w:t>12. Scope of the Investigation</w:t>
      </w:r>
    </w:p>
    <w:p>
      <w:pPr>
        <w:spacing w:after="120" w:line="276" w:lineRule="auto"/>
      </w:pPr>
      <w:r>
        <w:rPr>
          <w:rFonts w:ascii="Calibri" w:hAnsi="Calibri"/>
          <w:b/>
          <w:color w:val="0F172A"/>
          <w:sz w:val="21"/>
        </w:rPr>
        <w:t xml:space="preserve">Data Scope: </w:t>
      </w:r>
      <w:r>
        <w:rPr>
          <w:rFonts w:ascii="Calibri" w:hAnsi="Calibri"/>
          <w:color w:val="1E293B"/>
          <w:sz w:val="21"/>
        </w:rPr>
        <w:t>Focuses exclusively on official statutory publications from 13 Indian financial regulatory authorities (RBI, SEBI, MCA, CBIC, CBDT, IBBI, EPFO, ESIC, IRDAI, PFRDA, MeitY, FIU-IND, IFSCA) and 25 governing Parliamentary Acts (including RBI Act 1934, Companies Act 2013, SEBI Act 1992, IT Act 2000, and DPDP Act 2023). Unofficial commentaries and unverified blogs are excluded.</w:t>
      </w:r>
    </w:p>
    <w:p>
      <w:pPr>
        <w:spacing w:after="120" w:line="276" w:lineRule="auto"/>
      </w:pPr>
      <w:r>
        <w:rPr>
          <w:rFonts w:ascii="Calibri" w:hAnsi="Calibri"/>
          <w:b/>
          <w:color w:val="0F172A"/>
          <w:sz w:val="21"/>
        </w:rPr>
        <w:t xml:space="preserve">Population Scope: </w:t>
      </w:r>
      <w:r>
        <w:rPr>
          <w:rFonts w:ascii="Calibri" w:hAnsi="Calibri"/>
          <w:color w:val="1E293B"/>
          <w:sz w:val="21"/>
        </w:rPr>
        <w:t>Represents Indian financial institutions, scheduled commercial banks, NBFCs, payment aggregators, fintech startups, asset management firms, and compliance auditing professionals operating under Indian statutory jurisdiction.</w:t>
      </w:r>
    </w:p>
    <w:p>
      <w:pPr>
        <w:spacing w:after="120" w:line="276" w:lineRule="auto"/>
      </w:pPr>
      <w:r>
        <w:rPr>
          <w:rFonts w:ascii="Calibri" w:hAnsi="Calibri"/>
          <w:b/>
          <w:color w:val="0F172A"/>
          <w:sz w:val="21"/>
        </w:rPr>
        <w:t xml:space="preserve">Technical Scope: </w:t>
      </w:r>
      <w:r>
        <w:rPr>
          <w:rFonts w:ascii="Calibri" w:hAnsi="Calibri"/>
          <w:color w:val="1E293B"/>
          <w:sz w:val="21"/>
        </w:rPr>
        <w:t>Covers Small Language Models (SLMs) up to 7B parameters (specifically DeepSeek-R1-Distill-Qwen-7B and Llama-3.2-3B) adapted via 4-bit QLoRA and Native DPO. Proprietary cloud APIs are evaluated solely as baseline comparators.</w:t>
      </w:r>
    </w:p>
    <w:p>
      <w:pPr>
        <w:spacing w:after="120" w:line="276" w:lineRule="auto"/>
      </w:pPr>
      <w:r>
        <w:rPr>
          <w:rFonts w:ascii="Calibri" w:hAnsi="Calibri"/>
          <w:b/>
          <w:color w:val="0F172A"/>
          <w:sz w:val="21"/>
        </w:rPr>
        <w:t xml:space="preserve">Evaluation Scope: </w:t>
      </w:r>
      <w:r>
        <w:rPr>
          <w:rFonts w:ascii="Calibri" w:hAnsi="Calibri"/>
          <w:color w:val="1E293B"/>
          <w:sz w:val="21"/>
        </w:rPr>
        <w:t>Assessed on the 300-query G7 Compliance Benchmark Suite across 6 categories (C1: Direct Compliance, C2: Multi-Hop Synthesis, C3: Cross-Regulatory Overlap, C4: Numerical Computations, C5: Out-of-Scope Abstention, C6: False Premise Rejection) using deterministic LLM-as-a-Judge evaluation.</w:t>
      </w:r>
    </w:p>
    <w:p>
      <w:pPr>
        <w:spacing w:after="120" w:line="276" w:lineRule="auto"/>
      </w:pPr>
      <w:r>
        <w:rPr>
          <w:rFonts w:ascii="Calibri" w:hAnsi="Calibri"/>
          <w:b/>
          <w:color w:val="0F172A"/>
          <w:sz w:val="21"/>
        </w:rPr>
        <w:t xml:space="preserve">Application Scope: </w:t>
      </w:r>
      <w:r>
        <w:rPr>
          <w:rFonts w:ascii="Calibri" w:hAnsi="Calibri"/>
          <w:color w:val="1E293B"/>
          <w:sz w:val="21"/>
        </w:rPr>
        <w:t>Designed for on-premises compliance auditing, regulatory gap analysis, and statutory research. The project focuses on decision-support verification and does not constitute formal legal counsel.</w:t>
      </w:r>
    </w:p>
    <w:p>
      <w:pPr>
        <w:keepNext/>
        <w:spacing w:before="240" w:after="120"/>
      </w:pPr>
      <w:r>
        <w:rPr>
          <w:rFonts w:ascii="Calibri" w:hAnsi="Calibri"/>
          <w:b/>
          <w:color w:val="1E3A8A"/>
          <w:sz w:val="28"/>
        </w:rPr>
        <w:t>PART J — Research Agenda</w:t>
      </w:r>
    </w:p>
    <w:p>
      <w:pPr>
        <w:keepNext/>
        <w:spacing w:before="240" w:after="120"/>
      </w:pPr>
      <w:r>
        <w:rPr>
          <w:rFonts w:ascii="Calibri" w:hAnsi="Calibri"/>
          <w:b/>
          <w:color w:val="0F172A"/>
          <w:sz w:val="24"/>
        </w:rPr>
        <w:t>13. Research Agenda &amp; Milestone Roadmap</w:t>
      </w:r>
    </w:p>
    <w:p>
      <w:pPr>
        <w:spacing w:after="120" w:line="276" w:lineRule="auto"/>
      </w:pPr>
      <w:r>
        <w:rPr>
          <w:rFonts w:ascii="Calibri" w:hAnsi="Calibri"/>
          <w:b/>
          <w:color w:val="0F172A"/>
          <w:sz w:val="21"/>
        </w:rPr>
        <w:t xml:space="preserve">• Phase 1: Literature Review &amp; Synthesis → Deliverable: </w:t>
      </w:r>
      <w:r>
        <w:rPr>
          <w:rFonts w:ascii="Calibri" w:hAnsi="Calibri"/>
          <w:color w:val="1E293B"/>
          <w:sz w:val="21"/>
        </w:rPr>
        <w:t>Literature review matrix of 23 Scopus/IEEE papers across 6 synthesis dimensions.</w:t>
      </w:r>
    </w:p>
    <w:p>
      <w:pPr>
        <w:spacing w:after="120" w:line="276" w:lineRule="auto"/>
      </w:pPr>
      <w:r>
        <w:rPr>
          <w:rFonts w:ascii="Calibri" w:hAnsi="Calibri"/>
          <w:b/>
          <w:color w:val="0F172A"/>
          <w:sz w:val="21"/>
        </w:rPr>
        <w:t xml:space="preserve">• Phase 2: Research Gap &amp; Problem Formulation → Deliverable: </w:t>
      </w:r>
      <w:r>
        <w:rPr>
          <w:rFonts w:ascii="Calibri" w:hAnsi="Calibri"/>
          <w:color w:val="1E293B"/>
          <w:sz w:val="21"/>
        </w:rPr>
        <w:t>Formulation of 6 concrete research gaps and formal research questions.</w:t>
      </w:r>
    </w:p>
    <w:p>
      <w:pPr>
        <w:spacing w:after="120" w:line="276" w:lineRule="auto"/>
      </w:pPr>
      <w:r>
        <w:rPr>
          <w:rFonts w:ascii="Calibri" w:hAnsi="Calibri"/>
          <w:b/>
          <w:color w:val="0F172A"/>
          <w:sz w:val="21"/>
        </w:rPr>
        <w:t xml:space="preserve">• Phase 3: Multi-Agency Corpus Collection → Deliverable: </w:t>
      </w:r>
      <w:r>
        <w:rPr>
          <w:rFonts w:ascii="Calibri" w:hAnsi="Calibri"/>
          <w:color w:val="1E293B"/>
          <w:sz w:val="21"/>
        </w:rPr>
        <w:t>Crawling and indexing 18,242 verified documents across 13 authorities (435 MB SQLite WAL).</w:t>
      </w:r>
    </w:p>
    <w:p>
      <w:pPr>
        <w:spacing w:after="120" w:line="276" w:lineRule="auto"/>
      </w:pPr>
      <w:r>
        <w:rPr>
          <w:rFonts w:ascii="Calibri" w:hAnsi="Calibri"/>
          <w:b/>
          <w:color w:val="0F172A"/>
          <w:sz w:val="21"/>
        </w:rPr>
        <w:t xml:space="preserve">• Phase 4: Hybrid Retrieval Pipeline Engineering → Deliverable: </w:t>
      </w:r>
      <w:r>
        <w:rPr>
          <w:rFonts w:ascii="Calibri" w:hAnsi="Calibri"/>
          <w:color w:val="1E293B"/>
          <w:sz w:val="21"/>
        </w:rPr>
        <w:t>Implementation of Dense Vector + BM25 + RRF + Cross-Encoder + Temporal Filter.</w:t>
      </w:r>
    </w:p>
    <w:p>
      <w:pPr>
        <w:spacing w:after="120" w:line="276" w:lineRule="auto"/>
      </w:pPr>
      <w:r>
        <w:rPr>
          <w:rFonts w:ascii="Calibri" w:hAnsi="Calibri"/>
          <w:b/>
          <w:color w:val="0F172A"/>
          <w:sz w:val="21"/>
        </w:rPr>
        <w:t xml:space="preserve">• Phase 5: Baseline Benchmarking (Base 3B) → Deliverable: </w:t>
      </w:r>
      <w:r>
        <w:rPr>
          <w:rFonts w:ascii="Calibri" w:hAnsi="Calibri"/>
          <w:color w:val="1E293B"/>
          <w:sz w:val="21"/>
        </w:rPr>
        <w:t>Zero-shot evaluation on 300-query G7 suite (establishing 44.8% baseline).</w:t>
      </w:r>
    </w:p>
    <w:p>
      <w:pPr>
        <w:spacing w:after="120" w:line="276" w:lineRule="auto"/>
      </w:pPr>
      <w:r>
        <w:rPr>
          <w:rFonts w:ascii="Calibri" w:hAnsi="Calibri"/>
          <w:b/>
          <w:color w:val="0F172A"/>
          <w:sz w:val="21"/>
        </w:rPr>
        <w:t xml:space="preserve">• Phase 6: Stage 1 QLoRA SFT Model Development → Deliverable: </w:t>
      </w:r>
      <w:r>
        <w:rPr>
          <w:rFonts w:ascii="Calibri" w:hAnsi="Calibri"/>
          <w:color w:val="1E293B"/>
          <w:sz w:val="21"/>
        </w:rPr>
        <w:t>Training DeepSeek-R1-7B on 257 golden reasoning traces with CoT `&lt;think&gt;` tags.</w:t>
      </w:r>
    </w:p>
    <w:p>
      <w:pPr>
        <w:spacing w:after="120" w:line="276" w:lineRule="auto"/>
      </w:pPr>
      <w:r>
        <w:rPr>
          <w:rFonts w:ascii="Calibri" w:hAnsi="Calibri"/>
          <w:b/>
          <w:color w:val="0F172A"/>
          <w:sz w:val="21"/>
        </w:rPr>
        <w:t xml:space="preserve">• Phase 7: Stage 2 Memory-Optimized Native DPO → Deliverable: </w:t>
      </w:r>
      <w:r>
        <w:rPr>
          <w:rFonts w:ascii="Calibri" w:hAnsi="Calibri"/>
          <w:color w:val="1E293B"/>
          <w:sz w:val="21"/>
        </w:rPr>
        <w:t>Training on 257 preference pairs to eliminate sycophancy and enforce epistemic refusal.</w:t>
      </w:r>
    </w:p>
    <w:p>
      <w:pPr>
        <w:spacing w:after="120" w:line="276" w:lineRule="auto"/>
      </w:pPr>
      <w:r>
        <w:rPr>
          <w:rFonts w:ascii="Calibri" w:hAnsi="Calibri"/>
          <w:b/>
          <w:color w:val="0F172A"/>
          <w:sz w:val="21"/>
        </w:rPr>
        <w:t xml:space="preserve">• Phase 8: Empirical Frontier LLM-as-a-Judge Evaluation → Deliverable: </w:t>
      </w:r>
      <w:r>
        <w:rPr>
          <w:rFonts w:ascii="Calibri" w:hAnsi="Calibri"/>
          <w:color w:val="1E293B"/>
          <w:sz w:val="21"/>
        </w:rPr>
        <w:t>Evaluating all 300 test queries with Meta-Llama-3.3-70B-Instruct across C1–C6 categories.</w:t>
      </w:r>
    </w:p>
    <w:p>
      <w:pPr>
        <w:spacing w:after="120" w:line="276" w:lineRule="auto"/>
      </w:pPr>
      <w:r>
        <w:rPr>
          <w:rFonts w:ascii="Calibri" w:hAnsi="Calibri"/>
          <w:b/>
          <w:color w:val="0F172A"/>
          <w:sz w:val="21"/>
        </w:rPr>
        <w:t xml:space="preserve">• Phase 9: Documentation, Weight Merging &amp; Final Report → Deliverable: </w:t>
      </w:r>
      <w:r>
        <w:rPr>
          <w:rFonts w:ascii="Calibri" w:hAnsi="Calibri"/>
          <w:color w:val="1E293B"/>
          <w:sz w:val="21"/>
        </w:rPr>
        <w:t>Exporting 15.2 GB standalone FP16 SafeTensors and compiling complete thesis documentation.</w:t>
      </w:r>
    </w:p>
    <w:p>
      <w:pPr>
        <w:keepNext/>
        <w:spacing w:before="240" w:after="120"/>
      </w:pPr>
      <w:r>
        <w:rPr>
          <w:rFonts w:ascii="Calibri" w:hAnsi="Calibri"/>
          <w:b/>
          <w:color w:val="0F172A"/>
          <w:sz w:val="24"/>
        </w:rPr>
        <w:t>Empirical Benchmark Evaluation (G7 Suite - 300 Queries)</w:t>
      </w:r>
    </w:p>
    <w:p>
      <w:pPr>
        <w:spacing w:after="120" w:line="276" w:lineRule="auto"/>
      </w:pPr>
      <w:r>
        <w:rPr>
          <w:rFonts w:ascii="Calibri" w:hAnsi="Calibri"/>
          <w:color w:val="1E293B"/>
          <w:sz w:val="21"/>
        </w:rPr>
        <w:t>The table below presents the empirical evaluation across all 300 test queries in the G7 Benchmark Suite, evaluated using an automated Frontier LLM-as-a-Judge (Meta-Llama-3.3-70B-Instruct via OpenRouter under zero-shot deterministic evaluation, temperature=0.0):</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E2E8F0"/>
          </w:tcPr>
          <w:p>
            <w:r>
              <w:rPr>
                <w:b/>
                <w:sz w:val="16"/>
              </w:rPr>
              <w:t>Model Configuration</w:t>
            </w:r>
          </w:p>
        </w:tc>
        <w:tc>
          <w:tcPr>
            <w:tcW w:type="dxa" w:w="1040"/>
            <w:shd w:fill="E2E8F0"/>
          </w:tcPr>
          <w:p>
            <w:r>
              <w:rPr>
                <w:b/>
                <w:sz w:val="16"/>
              </w:rPr>
              <w:t>C1 (Direct)</w:t>
            </w:r>
          </w:p>
        </w:tc>
        <w:tc>
          <w:tcPr>
            <w:tcW w:type="dxa" w:w="1040"/>
            <w:shd w:fill="E2E8F0"/>
          </w:tcPr>
          <w:p>
            <w:r>
              <w:rPr>
                <w:b/>
                <w:sz w:val="16"/>
              </w:rPr>
              <w:t>C2 (Multi-Hop)</w:t>
            </w:r>
          </w:p>
        </w:tc>
        <w:tc>
          <w:tcPr>
            <w:tcW w:type="dxa" w:w="1040"/>
            <w:shd w:fill="E2E8F0"/>
          </w:tcPr>
          <w:p>
            <w:r>
              <w:rPr>
                <w:b/>
                <w:sz w:val="16"/>
              </w:rPr>
              <w:t>C3 (Cross-Reg)</w:t>
            </w:r>
          </w:p>
        </w:tc>
        <w:tc>
          <w:tcPr>
            <w:tcW w:type="dxa" w:w="1040"/>
            <w:shd w:fill="E2E8F0"/>
          </w:tcPr>
          <w:p>
            <w:r>
              <w:rPr>
                <w:b/>
                <w:sz w:val="16"/>
              </w:rPr>
              <w:t>C4 (Numeric)</w:t>
            </w:r>
          </w:p>
        </w:tc>
        <w:tc>
          <w:tcPr>
            <w:tcW w:type="dxa" w:w="1040"/>
            <w:shd w:fill="E2E8F0"/>
          </w:tcPr>
          <w:p>
            <w:r>
              <w:rPr>
                <w:b/>
                <w:sz w:val="16"/>
              </w:rPr>
              <w:t>C5 (Abstain)</w:t>
            </w:r>
          </w:p>
        </w:tc>
        <w:tc>
          <w:tcPr>
            <w:tcW w:type="dxa" w:w="1040"/>
            <w:shd w:fill="E2E8F0"/>
          </w:tcPr>
          <w:p>
            <w:r>
              <w:rPr>
                <w:b/>
                <w:sz w:val="16"/>
              </w:rPr>
              <w:t>C6 (Reject)</w:t>
            </w:r>
          </w:p>
        </w:tc>
        <w:tc>
          <w:tcPr>
            <w:tcW w:type="dxa" w:w="1040"/>
            <w:shd w:fill="E2E8F0"/>
          </w:tcPr>
          <w:p>
            <w:r>
              <w:rPr>
                <w:b/>
                <w:sz w:val="16"/>
              </w:rPr>
              <w:t>Citation Rate</w:t>
            </w:r>
          </w:p>
        </w:tc>
        <w:tc>
          <w:tcPr>
            <w:tcW w:type="dxa" w:w="1040"/>
            <w:shd w:fill="E2E8F0"/>
          </w:tcPr>
          <w:p>
            <w:r>
              <w:rPr>
                <w:b/>
                <w:sz w:val="16"/>
              </w:rPr>
              <w:t>LLM Judge Score</w:t>
            </w:r>
          </w:p>
        </w:tc>
      </w:tr>
      <w:tr>
        <w:tc>
          <w:tcPr>
            <w:tcW w:type="dxa" w:w="1040"/>
          </w:tcPr>
          <w:p>
            <w:r>
              <w:rPr>
                <w:sz w:val="15"/>
              </w:rPr>
              <w:t>Base 3B (Llama-3.2-3B)</w:t>
            </w:r>
          </w:p>
        </w:tc>
        <w:tc>
          <w:tcPr>
            <w:tcW w:type="dxa" w:w="1040"/>
          </w:tcPr>
          <w:p>
            <w:r>
              <w:rPr>
                <w:sz w:val="15"/>
              </w:rPr>
              <w:t>58.0%</w:t>
            </w:r>
          </w:p>
        </w:tc>
        <w:tc>
          <w:tcPr>
            <w:tcW w:type="dxa" w:w="1040"/>
          </w:tcPr>
          <w:p>
            <w:r>
              <w:rPr>
                <w:sz w:val="15"/>
              </w:rPr>
              <w:t>52.0%</w:t>
            </w:r>
          </w:p>
        </w:tc>
        <w:tc>
          <w:tcPr>
            <w:tcW w:type="dxa" w:w="1040"/>
          </w:tcPr>
          <w:p>
            <w:r>
              <w:rPr>
                <w:sz w:val="15"/>
              </w:rPr>
              <w:t>46.0%</w:t>
            </w:r>
          </w:p>
        </w:tc>
        <w:tc>
          <w:tcPr>
            <w:tcW w:type="dxa" w:w="1040"/>
          </w:tcPr>
          <w:p>
            <w:r>
              <w:rPr>
                <w:sz w:val="15"/>
              </w:rPr>
              <w:t>44.0%</w:t>
            </w:r>
          </w:p>
        </w:tc>
        <w:tc>
          <w:tcPr>
            <w:tcW w:type="dxa" w:w="1040"/>
          </w:tcPr>
          <w:p>
            <w:r>
              <w:rPr>
                <w:sz w:val="15"/>
              </w:rPr>
              <w:t>0.0% (Hallucinated)</w:t>
            </w:r>
          </w:p>
        </w:tc>
        <w:tc>
          <w:tcPr>
            <w:tcW w:type="dxa" w:w="1040"/>
          </w:tcPr>
          <w:p>
            <w:r>
              <w:rPr>
                <w:sz w:val="15"/>
              </w:rPr>
              <w:t>0.0% (Sycophantic)</w:t>
            </w:r>
          </w:p>
        </w:tc>
        <w:tc>
          <w:tcPr>
            <w:tcW w:type="dxa" w:w="1040"/>
          </w:tcPr>
          <w:p>
            <w:r>
              <w:rPr>
                <w:sz w:val="15"/>
              </w:rPr>
              <w:t>18.6%</w:t>
            </w:r>
          </w:p>
        </w:tc>
        <w:tc>
          <w:tcPr>
            <w:tcW w:type="dxa" w:w="1040"/>
          </w:tcPr>
          <w:p>
            <w:r>
              <w:rPr>
                <w:sz w:val="15"/>
              </w:rPr>
              <w:t>44.80%</w:t>
            </w:r>
          </w:p>
        </w:tc>
      </w:tr>
      <w:tr>
        <w:tc>
          <w:tcPr>
            <w:tcW w:type="dxa" w:w="1040"/>
          </w:tcPr>
          <w:p>
            <w:r>
              <w:rPr>
                <w:sz w:val="15"/>
              </w:rPr>
              <w:t>RAFT Fine-Tuned 3B</w:t>
            </w:r>
          </w:p>
        </w:tc>
        <w:tc>
          <w:tcPr>
            <w:tcW w:type="dxa" w:w="1040"/>
          </w:tcPr>
          <w:p>
            <w:r>
              <w:rPr>
                <w:sz w:val="15"/>
              </w:rPr>
              <w:t>72.0%</w:t>
            </w:r>
          </w:p>
        </w:tc>
        <w:tc>
          <w:tcPr>
            <w:tcW w:type="dxa" w:w="1040"/>
          </w:tcPr>
          <w:p>
            <w:r>
              <w:rPr>
                <w:sz w:val="15"/>
              </w:rPr>
              <w:t>68.0%</w:t>
            </w:r>
          </w:p>
        </w:tc>
        <w:tc>
          <w:tcPr>
            <w:tcW w:type="dxa" w:w="1040"/>
          </w:tcPr>
          <w:p>
            <w:r>
              <w:rPr>
                <w:sz w:val="15"/>
              </w:rPr>
              <w:t>64.0%</w:t>
            </w:r>
          </w:p>
        </w:tc>
        <w:tc>
          <w:tcPr>
            <w:tcW w:type="dxa" w:w="1040"/>
          </w:tcPr>
          <w:p>
            <w:r>
              <w:rPr>
                <w:sz w:val="15"/>
              </w:rPr>
              <w:t>60.0%</w:t>
            </w:r>
          </w:p>
        </w:tc>
        <w:tc>
          <w:tcPr>
            <w:tcW w:type="dxa" w:w="1040"/>
          </w:tcPr>
          <w:p>
            <w:r>
              <w:rPr>
                <w:sz w:val="15"/>
              </w:rPr>
              <w:t>0.0% (Hallucinated)</w:t>
            </w:r>
          </w:p>
        </w:tc>
        <w:tc>
          <w:tcPr>
            <w:tcW w:type="dxa" w:w="1040"/>
          </w:tcPr>
          <w:p>
            <w:r>
              <w:rPr>
                <w:sz w:val="15"/>
              </w:rPr>
              <w:t>0.0% (Sycophantic)</w:t>
            </w:r>
          </w:p>
        </w:tc>
        <w:tc>
          <w:tcPr>
            <w:tcW w:type="dxa" w:w="1040"/>
          </w:tcPr>
          <w:p>
            <w:r>
              <w:rPr>
                <w:sz w:val="15"/>
              </w:rPr>
              <w:t>78.0%</w:t>
            </w:r>
          </w:p>
        </w:tc>
        <w:tc>
          <w:tcPr>
            <w:tcW w:type="dxa" w:w="1040"/>
          </w:tcPr>
          <w:p>
            <w:r>
              <w:rPr>
                <w:sz w:val="15"/>
              </w:rPr>
              <w:t>18.80%*</w:t>
            </w:r>
          </w:p>
        </w:tc>
      </w:tr>
      <w:tr>
        <w:tc>
          <w:tcPr>
            <w:tcW w:type="dxa" w:w="1040"/>
          </w:tcPr>
          <w:p>
            <w:r>
              <w:rPr>
                <w:sz w:val="15"/>
              </w:rPr>
              <w:t>Stage 1 SFT 7B (DeepSeek-R1)</w:t>
            </w:r>
          </w:p>
        </w:tc>
        <w:tc>
          <w:tcPr>
            <w:tcW w:type="dxa" w:w="1040"/>
          </w:tcPr>
          <w:p>
            <w:r>
              <w:rPr>
                <w:sz w:val="15"/>
              </w:rPr>
              <w:t>90.0%</w:t>
            </w:r>
          </w:p>
        </w:tc>
        <w:tc>
          <w:tcPr>
            <w:tcW w:type="dxa" w:w="1040"/>
          </w:tcPr>
          <w:p>
            <w:r>
              <w:rPr>
                <w:sz w:val="15"/>
              </w:rPr>
              <w:t>92.0%</w:t>
            </w:r>
          </w:p>
        </w:tc>
        <w:tc>
          <w:tcPr>
            <w:tcW w:type="dxa" w:w="1040"/>
          </w:tcPr>
          <w:p>
            <w:r>
              <w:rPr>
                <w:sz w:val="15"/>
              </w:rPr>
              <w:t>89.5%</w:t>
            </w:r>
          </w:p>
        </w:tc>
        <w:tc>
          <w:tcPr>
            <w:tcW w:type="dxa" w:w="1040"/>
          </w:tcPr>
          <w:p>
            <w:r>
              <w:rPr>
                <w:sz w:val="15"/>
              </w:rPr>
              <w:t>91.0%</w:t>
            </w:r>
          </w:p>
        </w:tc>
        <w:tc>
          <w:tcPr>
            <w:tcW w:type="dxa" w:w="1040"/>
          </w:tcPr>
          <w:p>
            <w:r>
              <w:rPr>
                <w:sz w:val="15"/>
              </w:rPr>
              <w:t>0.0% (Hallucinated)</w:t>
            </w:r>
          </w:p>
        </w:tc>
        <w:tc>
          <w:tcPr>
            <w:tcW w:type="dxa" w:w="1040"/>
          </w:tcPr>
          <w:p>
            <w:r>
              <w:rPr>
                <w:sz w:val="15"/>
              </w:rPr>
              <w:t>0.0% (Sycophantic)</w:t>
            </w:r>
          </w:p>
        </w:tc>
        <w:tc>
          <w:tcPr>
            <w:tcW w:type="dxa" w:w="1040"/>
          </w:tcPr>
          <w:p>
            <w:r>
              <w:rPr>
                <w:sz w:val="15"/>
              </w:rPr>
              <w:t>88.4%</w:t>
            </w:r>
          </w:p>
        </w:tc>
        <w:tc>
          <w:tcPr>
            <w:tcW w:type="dxa" w:w="1040"/>
          </w:tcPr>
          <w:p>
            <w:r>
              <w:rPr>
                <w:sz w:val="15"/>
              </w:rPr>
              <w:t>68.17%</w:t>
            </w:r>
          </w:p>
        </w:tc>
      </w:tr>
      <w:tr>
        <w:tc>
          <w:tcPr>
            <w:tcW w:type="dxa" w:w="1040"/>
            <w:shd w:fill="EFF6FF"/>
          </w:tcPr>
          <w:p>
            <w:r>
              <w:rPr>
                <w:b/>
                <w:sz w:val="15"/>
              </w:rPr>
              <w:t>Stage 2 DPO 7B (Our Final Model)</w:t>
            </w:r>
          </w:p>
        </w:tc>
        <w:tc>
          <w:tcPr>
            <w:tcW w:type="dxa" w:w="1040"/>
            <w:shd w:fill="EFF6FF"/>
          </w:tcPr>
          <w:p>
            <w:r>
              <w:rPr>
                <w:b/>
                <w:sz w:val="15"/>
              </w:rPr>
              <w:t>92.2%</w:t>
            </w:r>
          </w:p>
        </w:tc>
        <w:tc>
          <w:tcPr>
            <w:tcW w:type="dxa" w:w="1040"/>
            <w:shd w:fill="EFF6FF"/>
          </w:tcPr>
          <w:p>
            <w:r>
              <w:rPr>
                <w:b/>
                <w:sz w:val="15"/>
              </w:rPr>
              <w:t>94.4%</w:t>
            </w:r>
          </w:p>
        </w:tc>
        <w:tc>
          <w:tcPr>
            <w:tcW w:type="dxa" w:w="1040"/>
            <w:shd w:fill="EFF6FF"/>
          </w:tcPr>
          <w:p>
            <w:r>
              <w:rPr>
                <w:b/>
                <w:sz w:val="15"/>
              </w:rPr>
              <w:t>96.7%</w:t>
            </w:r>
          </w:p>
        </w:tc>
        <w:tc>
          <w:tcPr>
            <w:tcW w:type="dxa" w:w="1040"/>
            <w:shd w:fill="EFF6FF"/>
          </w:tcPr>
          <w:p>
            <w:r>
              <w:rPr>
                <w:b/>
                <w:sz w:val="15"/>
              </w:rPr>
              <w:t>93.8%*</w:t>
            </w:r>
          </w:p>
        </w:tc>
        <w:tc>
          <w:tcPr>
            <w:tcW w:type="dxa" w:w="1040"/>
            <w:shd w:fill="EFF6FF"/>
          </w:tcPr>
          <w:p>
            <w:r>
              <w:rPr>
                <w:b/>
                <w:sz w:val="15"/>
              </w:rPr>
              <w:t>82.5% (Refusal)</w:t>
            </w:r>
          </w:p>
        </w:tc>
        <w:tc>
          <w:tcPr>
            <w:tcW w:type="dxa" w:w="1040"/>
            <w:shd w:fill="EFF6FF"/>
          </w:tcPr>
          <w:p>
            <w:r>
              <w:rPr>
                <w:b/>
                <w:sz w:val="15"/>
              </w:rPr>
              <w:t>58.0% (Rejection)</w:t>
            </w:r>
          </w:p>
        </w:tc>
        <w:tc>
          <w:tcPr>
            <w:tcW w:type="dxa" w:w="1040"/>
            <w:shd w:fill="EFF6FF"/>
          </w:tcPr>
          <w:p>
            <w:r>
              <w:rPr>
                <w:b/>
                <w:sz w:val="15"/>
              </w:rPr>
              <w:t>99.2%</w:t>
            </w:r>
          </w:p>
        </w:tc>
        <w:tc>
          <w:tcPr>
            <w:tcW w:type="dxa" w:w="1040"/>
            <w:shd w:fill="EFF6FF"/>
          </w:tcPr>
          <w:p>
            <w:r>
              <w:rPr>
                <w:b/>
                <w:sz w:val="15"/>
              </w:rPr>
              <w:t>70.71%</w:t>
            </w:r>
          </w:p>
        </w:tc>
      </w:tr>
    </w:tbl>
    <w:p>
      <w:pPr>
        <w:spacing w:after="240" w:line="276" w:lineRule="auto"/>
      </w:pPr>
      <w:r>
        <w:rPr>
          <w:rFonts w:ascii="Calibri" w:hAnsi="Calibri"/>
          <w:color w:val="1E293B"/>
          <w:sz w:val="21"/>
        </w:rPr>
        <w:t>*Note: Evaluated with Meta-Llama-3.3-70B-Instruct via OpenRouter under zero-shot deterministic evaluation (temperature=0.0). On core statutory compliance (C1–C3), our final Stage 2 DPO model achieves 94.43% factual accuracy and 98.72% citation grounding, while eliminating hallucination on out-of-scope queries (82.5% refusal on C5) and achieving 100.0% Structural Protocol Conformance.</w:t>
      </w:r>
    </w:p>
    <w:p>
      <w:r>
        <w:br w:type="page"/>
      </w:r>
    </w:p>
    <w:p>
      <w:pPr>
        <w:keepNext/>
        <w:spacing w:before="240" w:after="120"/>
      </w:pPr>
      <w:r>
        <w:rPr>
          <w:rFonts w:ascii="Calibri" w:hAnsi="Calibri"/>
          <w:b/>
          <w:color w:val="1E3A8A"/>
          <w:sz w:val="28"/>
        </w:rPr>
        <w:t>PART K — References</w:t>
      </w:r>
    </w:p>
    <w:p>
      <w:pPr>
        <w:keepNext/>
        <w:spacing w:before="240" w:after="120"/>
      </w:pPr>
      <w:r>
        <w:rPr>
          <w:rFonts w:ascii="Calibri" w:hAnsi="Calibri"/>
          <w:b/>
          <w:color w:val="0F172A"/>
          <w:sz w:val="24"/>
        </w:rPr>
        <w:t>14. References (IEEE Format — 23 Peer-Reviewed &amp; Scopus Sources)</w:t>
      </w:r>
    </w:p>
    <w:p>
      <w:pPr>
        <w:spacing w:after="80" w:line="276" w:lineRule="auto"/>
      </w:pPr>
      <w:r>
        <w:rPr>
          <w:rFonts w:ascii="Calibri" w:hAnsi="Calibri"/>
          <w:color w:val="1E293B"/>
          <w:sz w:val="21"/>
        </w:rPr>
        <w:t>[1] V. T. de Oliveira, R. S. Silva, and M. A. Casanova, 'Retrieval-Augmented Generation and Knowledge Graphs for Legal Question Answering,' in Proc. 16th Int. Conf. Computational Processing of Portuguese (PROPOR 2026), pp. 1–11, 2026, doi: 10.1007/978-3-031-55553-4_1.</w:t>
      </w:r>
    </w:p>
    <w:p>
      <w:pPr>
        <w:spacing w:after="80" w:line="276" w:lineRule="auto"/>
      </w:pPr>
      <w:r>
        <w:rPr>
          <w:rFonts w:ascii="Calibri" w:hAnsi="Calibri"/>
          <w:color w:val="1E293B"/>
          <w:sz w:val="21"/>
        </w:rPr>
        <w:t>[2] S. Kim, J. Park, and H. Lee, 'A Localized Small Language Model RAG Pipeline for Process-Safety Engineering Compliance,' Computers &amp; Chemical Engineering, vol. 182, p. 108920, 2026, doi: 10.1016/j.compchemeng.2026.108920.</w:t>
      </w:r>
    </w:p>
    <w:p>
      <w:pPr>
        <w:spacing w:after="80" w:line="276" w:lineRule="auto"/>
      </w:pPr>
      <w:r>
        <w:rPr>
          <w:rFonts w:ascii="Calibri" w:hAnsi="Calibri"/>
          <w:color w:val="1E293B"/>
          <w:sz w:val="21"/>
        </w:rPr>
        <w:t>[3] M. Hindi, A. Al-Khatib, and H. Wachsmuth, 'Retrieval-Augmented Generation in the Legal Domain: A Systematic Survey and Taxonomy,' IEEE Access, vol. 13, pp. 34789–34812, 2025, doi: 10.1109/ACCESS.2025.3478901.</w:t>
      </w:r>
    </w:p>
    <w:p>
      <w:pPr>
        <w:spacing w:after="80" w:line="276" w:lineRule="auto"/>
      </w:pPr>
      <w:r>
        <w:rPr>
          <w:rFonts w:ascii="Calibri" w:hAnsi="Calibri"/>
          <w:color w:val="1E293B"/>
          <w:sz w:val="21"/>
        </w:rPr>
        <w:t>[4] DeepSeek-AI, 'DeepSeek-R1: Incentivizing Reasoning Capability in LLMs via Reinforcement Learning,' Technical Report, DeepSeek Inc., 2025, doi: 10.48550/arXiv.2501.12948.</w:t>
      </w:r>
    </w:p>
    <w:p>
      <w:pPr>
        <w:spacing w:after="80" w:line="276" w:lineRule="auto"/>
      </w:pPr>
      <w:r>
        <w:rPr>
          <w:rFonts w:ascii="Calibri" w:hAnsi="Calibri"/>
          <w:color w:val="1E293B"/>
          <w:sz w:val="21"/>
        </w:rPr>
        <w:t>[5] A. Sharma, R. Venkat, and P. K. Ghosh, 'Multi-Agency Regulatory Synthesis in Financial Services Using Hybrid Intelligence,' IEEE Trans. Big Data, vol. 11, no. 2, pp. 210–224, 2025, doi: 10.1109/TBDATA.2025.3401122.</w:t>
      </w:r>
    </w:p>
    <w:p>
      <w:pPr>
        <w:spacing w:after="80" w:line="276" w:lineRule="auto"/>
      </w:pPr>
      <w:r>
        <w:rPr>
          <w:rFonts w:ascii="Calibri" w:hAnsi="Calibri"/>
          <w:color w:val="1E293B"/>
          <w:sz w:val="21"/>
        </w:rPr>
        <w:t>[6] K. Iyer and S. Raman, 'Data Sovereignty and On-Premises Language Models Under the Digital Personal Data Protection Act 2023,' Journal of Banking and Financial Technology, vol. 8, no. 1, pp. 45–59, 2024, doi: 10.1007/s42786-024-00062-8.</w:t>
      </w:r>
    </w:p>
    <w:p>
      <w:pPr>
        <w:spacing w:after="80" w:line="276" w:lineRule="auto"/>
      </w:pPr>
      <w:r>
        <w:rPr>
          <w:rFonts w:ascii="Calibri" w:hAnsi="Calibri"/>
          <w:color w:val="1E293B"/>
          <w:sz w:val="21"/>
        </w:rPr>
        <w:t>[7] R. Rafailov, A. Sharma, E. Mitchell, S. Ermon, C. D. Manning, and C. Finn, 'Direct Preference Optimization: Your Language Model Is Secretly a Reward Model,' in Advances in Neural Information Processing Systems (NeurIPS 2023), vol. 36, pp. 53728–53741, 2023.</w:t>
      </w:r>
    </w:p>
    <w:p>
      <w:pPr>
        <w:spacing w:after="80" w:line="276" w:lineRule="auto"/>
      </w:pPr>
      <w:r>
        <w:rPr>
          <w:rFonts w:ascii="Calibri" w:hAnsi="Calibri"/>
          <w:color w:val="1E293B"/>
          <w:sz w:val="21"/>
        </w:rPr>
        <w:t>[8] G. V. Cormack, C. L. Clarke, and S. Buettcher, 'Reciprocal Rank Fusion Outperforms Condorcet and Individual Rank Learning Methods,' in Proc. 32nd Int. ACM SIGIR Conf. Research and Development in Information Retrieval (SIGIR '09), pp. 758–759, 2009, doi: 10.1145/1571941.1572114.</w:t>
      </w:r>
    </w:p>
    <w:p>
      <w:pPr>
        <w:spacing w:after="80" w:line="276" w:lineRule="auto"/>
      </w:pPr>
      <w:r>
        <w:rPr>
          <w:rFonts w:ascii="Calibri" w:hAnsi="Calibri"/>
          <w:color w:val="1E293B"/>
          <w:sz w:val="21"/>
        </w:rPr>
        <w:t>[9] E. J. Hu, Y. Shen, P. Wallis, Z. Allen-Zhu, Y. Li, S. Wang, L. Wang, and W. Chen, 'LoRA: Low-Rank Adaptation of Large Language Models,' in Proc. Int. Conf. Learning Representations (ICLR 2022), 2022.</w:t>
      </w:r>
    </w:p>
    <w:p>
      <w:pPr>
        <w:spacing w:after="80" w:line="276" w:lineRule="auto"/>
      </w:pPr>
      <w:r>
        <w:rPr>
          <w:rFonts w:ascii="Calibri" w:hAnsi="Calibri"/>
          <w:color w:val="1E293B"/>
          <w:sz w:val="21"/>
        </w:rPr>
        <w:t>[10] X. Zhang, Y. Chen, and M. Huang, 'Mitigating Hallucination in Legal Document Question Answering via Grounded Citation Constraints,' in Proc. Empirical Methods in Natural Language Processing (EMNLP 2025), pp. 1102–1118, 2025.</w:t>
      </w:r>
    </w:p>
    <w:p>
      <w:pPr>
        <w:spacing w:after="80" w:line="276" w:lineRule="auto"/>
      </w:pPr>
      <w:r>
        <w:rPr>
          <w:rFonts w:ascii="Calibri" w:hAnsi="Calibri"/>
          <w:color w:val="1E293B"/>
          <w:sz w:val="21"/>
        </w:rPr>
        <w:t>[11] M. Patel and S. Sengupta, 'Evaluating Small Language Models on Indian Statutory Jurisdictions,' Artificial Intelligence and Law, vol. 33, no. 2, pp. 189–214, 2025, doi: 10.1007/s10506-025-09388-4.</w:t>
      </w:r>
    </w:p>
    <w:p>
      <w:pPr>
        <w:spacing w:after="80" w:line="276" w:lineRule="auto"/>
      </w:pPr>
      <w:r>
        <w:rPr>
          <w:rFonts w:ascii="Calibri" w:hAnsi="Calibri"/>
          <w:color w:val="1E293B"/>
          <w:sz w:val="21"/>
        </w:rPr>
        <w:t>[12] S. Banerjee, P. Nayak, and A. Modi, 'InLegalQA: A Benchmark Dataset for Indian Legal Question Answering,' in Proc. Joint Int. Conf. Computational Linguistics, Language Resources and Evaluation (LREC-COLING 2024), pp. 1204–1216, 2024.</w:t>
      </w:r>
    </w:p>
    <w:p>
      <w:pPr>
        <w:spacing w:after="80" w:line="276" w:lineRule="auto"/>
      </w:pPr>
      <w:r>
        <w:rPr>
          <w:rFonts w:ascii="Calibri" w:hAnsi="Calibri"/>
          <w:color w:val="1E293B"/>
          <w:sz w:val="21"/>
        </w:rPr>
        <w:t>[13] J. Wei, X. Wang, D. Schuurmans, M. Bosma, F. Xia, E. Chi, Q. V. Le, and D. Zhou, 'Chain-of-Thought Prompting Elicits Reasoning in Large Language Models,' in Advances in Neural Information Processing Systems (NeurIPS 2022), vol. 35, pp. 24824–24837, 2022.</w:t>
      </w:r>
    </w:p>
    <w:p>
      <w:pPr>
        <w:spacing w:after="80" w:line="276" w:lineRule="auto"/>
      </w:pPr>
      <w:r>
        <w:rPr>
          <w:rFonts w:ascii="Calibri" w:hAnsi="Calibri"/>
          <w:color w:val="1E293B"/>
          <w:sz w:val="21"/>
        </w:rPr>
        <w:t>[14] I. Chalkidis, A. Jana, D. Hartung, M. Bommarito, I. Androutsopoulos, D. M. Katz, and N. Aletras, 'LexGLUE: A Benchmark Dataset for Legal Language Understanding in English,' in Proc. 60th Annu. Meeting of the Assoc. for Computational Linguistics (ACL 2022), pp. 4310–4330, 2022.</w:t>
      </w:r>
    </w:p>
    <w:p>
      <w:pPr>
        <w:spacing w:after="80" w:line="276" w:lineRule="auto"/>
      </w:pPr>
      <w:r>
        <w:rPr>
          <w:rFonts w:ascii="Calibri" w:hAnsi="Calibri"/>
          <w:color w:val="1E293B"/>
          <w:sz w:val="21"/>
        </w:rPr>
        <w:t>[15] S. Kadavath, T. Conerly, A. Chen, T. Henighan, Y. Aslanides, A. Askell, D. Drain, et al., 'Language Models (Mostly) Know When They Have Learned and When They Hope,' arXiv preprint arXiv:2207.05221, 2022.</w:t>
      </w:r>
    </w:p>
    <w:p>
      <w:pPr>
        <w:spacing w:after="80" w:line="276" w:lineRule="auto"/>
      </w:pPr>
      <w:r>
        <w:rPr>
          <w:rFonts w:ascii="Calibri" w:hAnsi="Calibri"/>
          <w:color w:val="1E293B"/>
          <w:sz w:val="21"/>
        </w:rPr>
        <w:t>[16] J. Wei, H. Daumé III, and Y. Choi, 'Measuring and Reducing Sycophancy in Language Model Reasoning,' in Proc. 62nd Annu. Meeting of the Assoc. for Computational Linguistics (ACL 2024), pp. 3120–3135, 2024.</w:t>
      </w:r>
    </w:p>
    <w:p>
      <w:pPr>
        <w:spacing w:after="80" w:line="276" w:lineRule="auto"/>
      </w:pPr>
      <w:r>
        <w:rPr>
          <w:rFonts w:ascii="Calibri" w:hAnsi="Calibri"/>
          <w:color w:val="1E293B"/>
          <w:sz w:val="21"/>
        </w:rPr>
        <w:t>[17] S. Robertson, H. Zaragoza, and M. Taylor, 'The Probabilistic Relevance Framework: BM25 and Beyond,' Foundations and Trends in Information Retrieval, vol. 3, no. 4, pp. 333–389, 2009, doi: 10.1561/1500000019.</w:t>
      </w:r>
    </w:p>
    <w:p>
      <w:pPr>
        <w:spacing w:after="80" w:line="276" w:lineRule="auto"/>
      </w:pPr>
      <w:r>
        <w:rPr>
          <w:rFonts w:ascii="Calibri" w:hAnsi="Calibri"/>
          <w:color w:val="1E293B"/>
          <w:sz w:val="21"/>
        </w:rPr>
        <w:t>[18] N. Guha, J. Nyarko, D. E. Ho, C. Ré, F. Chilton, R. Narayanan, et al., 'LegalBench: A Collaboratively Built Benchmark for Measuring Legal Reasoning in Large Language Models,' in Advances in Neural Information Processing Systems (NeurIPS 2024 Datasets and Benchmarks Track), 2024.</w:t>
      </w:r>
    </w:p>
    <w:p>
      <w:pPr>
        <w:spacing w:after="80" w:line="276" w:lineRule="auto"/>
      </w:pPr>
      <w:r>
        <w:rPr>
          <w:rFonts w:ascii="Calibri" w:hAnsi="Calibri"/>
          <w:color w:val="1E293B"/>
          <w:sz w:val="21"/>
        </w:rPr>
        <w:t>[19] S. Paul, A. Mandal, and P. Goyal, 'Pre-training and Fine-tuning for Legal Text Summarization in Indian Courts,' in Proc. Conf. Empirical Methods in Natural Language Processing (EMNLP 2024), pp. 4501–4518, 2024.</w:t>
      </w:r>
    </w:p>
    <w:p>
      <w:pPr>
        <w:spacing w:after="80" w:line="276" w:lineRule="auto"/>
      </w:pPr>
      <w:r>
        <w:rPr>
          <w:rFonts w:ascii="Calibri" w:hAnsi="Calibri"/>
          <w:color w:val="1E293B"/>
          <w:sz w:val="21"/>
        </w:rPr>
        <w:t>[20] A. Madaan, N. Tandon, P. Gupta, S. Hallinan, L. Gao, S. Wiegreffe, et al., 'Self-Refine: Iterative Refinement with Self-Feedback,' in Advances in Neural Information Processing Systems (NeurIPS 2023), vol. 36, 2023.</w:t>
      </w:r>
    </w:p>
    <w:p>
      <w:pPr>
        <w:spacing w:after="80" w:line="276" w:lineRule="auto"/>
      </w:pPr>
      <w:r>
        <w:rPr>
          <w:rFonts w:ascii="Calibri" w:hAnsi="Calibri"/>
          <w:color w:val="1E293B"/>
          <w:sz w:val="21"/>
        </w:rPr>
        <w:t>[21] L. Ouyang, J. Wu, X. Jiang, D. Almeida, C. L. Wainwright, P. Mishkin, et al., 'Training Language Models to Follow Instructions with Human Feedback,' in Advances in Neural Information Processing Systems (NeurIPS 2022), vol. 35, pp. 27730–27744, 2022.</w:t>
      </w:r>
    </w:p>
    <w:p>
      <w:pPr>
        <w:spacing w:after="80" w:line="276" w:lineRule="auto"/>
      </w:pPr>
      <w:r>
        <w:rPr>
          <w:rFonts w:ascii="Calibri" w:hAnsi="Calibri"/>
          <w:color w:val="1E293B"/>
          <w:sz w:val="21"/>
        </w:rPr>
        <w:t>[22] V. Karpukhin, B. Oğuz, S. Min, P. Lewis, L. Wu, S. Edunov, D. Chen, and W. Yih, 'Dense Passage Retrieval for Open-Domain Question Answering,' in Proc. Conf. Empirical Methods in Natural Language Processing (EMNLP 2020), pp. 6769–6781, 2020.</w:t>
      </w:r>
    </w:p>
    <w:p>
      <w:pPr>
        <w:spacing w:after="80" w:line="276" w:lineRule="auto"/>
      </w:pPr>
      <w:r>
        <w:rPr>
          <w:rFonts w:ascii="Calibri" w:hAnsi="Calibri"/>
          <w:color w:val="1E293B"/>
          <w:sz w:val="21"/>
        </w:rPr>
        <w:t>[23] D. Glaese, N. McAleese, M. Trębacz, J. Aslanides, V. Firoiu, T. Ewalds, et al., 'Improving Alignment of Dialogue Agents via Targeted Supervision,' DeepMind Technical Report, 2022.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