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i/>
          <w:iCs/>
          <w:sz w:val="28"/>
          <w:szCs w:val="28"/>
        </w:rPr>
        <w:t xml:space="preserve">Addendum bij het</w:t>
      </w:r>
    </w:p>
    <w:p>
      <w:pPr>
        <w:spacing w:before="200"/>
      </w:pPr>
    </w:p>
    <w:p>
      <w:pPr>
        <w:jc w:val="center"/>
      </w:pPr>
      <w:r>
        <w:rPr>
          <w:rFonts w:ascii="Arial" w:cs="Arial" w:eastAsia="Arial" w:hAnsi="Arial"/>
          <w:b/>
          <w:bCs/>
          <w:sz w:val="48"/>
          <w:szCs w:val="48"/>
        </w:rPr>
        <w:t xml:space="preserve">Competentiewoordenboek</w:t>
      </w:r>
    </w:p>
    <w:p>
      <w:pPr>
        <w:jc w:val="center"/>
      </w:pPr>
      <w:r>
        <w:rPr>
          <w:rFonts w:ascii="Arial" w:cs="Arial" w:eastAsia="Arial" w:hAnsi="Arial"/>
          <w:b/>
          <w:bCs/>
          <w:sz w:val="48"/>
          <w:szCs w:val="48"/>
        </w:rPr>
        <w:t xml:space="preserve">Vlaamse Overheid</w:t>
      </w:r>
    </w:p>
    <w:p>
      <w:pPr>
        <w:spacing w:before="400"/>
      </w:pPr>
    </w:p>
    <w:p>
      <w:pPr>
        <w:jc w:val="center"/>
      </w:pPr>
      <w:r>
        <w:rPr>
          <w:rFonts w:ascii="Arial" w:cs="Arial" w:eastAsia="Arial" w:hAnsi="Arial"/>
          <w:b/>
          <w:bCs/>
          <w:i/>
          <w:iCs/>
          <w:sz w:val="36"/>
          <w:szCs w:val="36"/>
        </w:rPr>
        <w:t xml:space="preserve">Artificiële Intelligentie</w:t>
      </w:r>
    </w:p>
    <w:p>
      <w:pPr>
        <w:spacing w:before="200"/>
      </w:pPr>
    </w:p>
    <w:p>
      <w:pPr>
        <w:jc w:val="center"/>
      </w:pPr>
      <w:r>
        <w:rPr>
          <w:rFonts w:ascii="Arial" w:cs="Arial" w:eastAsia="Arial" w:hAnsi="Arial"/>
          <w:i/>
          <w:iCs/>
          <w:sz w:val="24"/>
          <w:szCs w:val="24"/>
        </w:rPr>
        <w:t xml:space="preserve">Gedragsgerichte competenties voor professioneel AI-gebruik</w:t>
      </w:r>
    </w:p>
    <w:p>
      <w:pPr>
        <w:spacing w:before="800"/>
      </w:pPr>
    </w:p>
    <w:p>
      <w:pPr>
        <w:jc w:val="center"/>
      </w:pPr>
      <w:r>
        <w:rPr>
          <w:rFonts w:ascii="Arial" w:cs="Arial" w:eastAsia="Arial" w:hAnsi="Arial"/>
          <w:b/>
          <w:bCs/>
          <w:sz w:val="28"/>
          <w:szCs w:val="28"/>
        </w:rPr>
        <w:t>Versie 3.2</w:t>
      </w:r>
    </w:p>
    <w:p>
      <w:pPr>
        <w:spacing w:before="200"/>
      </w:pPr>
    </w:p>
    <w:p>
      <w:pPr>
        <w:jc w:val="center"/>
      </w:pPr>
      <w:r>
        <w:rPr>
          <w:rFonts w:ascii="Arial" w:cs="Arial" w:eastAsia="Arial" w:hAnsi="Arial"/>
          <w:sz w:val="24"/>
          <w:szCs w:val="24"/>
        </w:rPr>
        <w:t xml:space="preserve">April 2026</w:t>
      </w:r>
    </w:p>
    <w:p>
      <w:pPr>
        <w:spacing w:before="600"/>
      </w:pPr>
    </w:p>
    <w:p>
      <w:pPr>
        <w:jc w:val="center"/>
      </w:pPr>
      <w:r>
        <w:rPr>
          <w:rFonts w:ascii="Arial" w:cs="Arial" w:eastAsia="Arial" w:hAnsi="Arial"/>
          <w:sz w:val="24"/>
          <w:szCs w:val="24"/>
        </w:rPr>
        <w:t xml:space="preserve">Bruno Mineo</w:t>
      </w:r>
    </w:p>
    <w:p>
      <w:pPr>
        <w:jc w:val="center"/>
      </w:pPr>
      <w:r>
        <w:rPr>
          <w:rFonts w:ascii="Arial" w:cs="Arial" w:eastAsia="Arial" w:hAnsi="Arial"/>
          <w:i/>
          <w:iCs/>
          <w:sz w:val="20"/>
          <w:szCs w:val="20"/>
        </w:rPr>
        <w:t xml:space="preserve">Vrije Universiteit Brussel — Arbeids- en Organisatiepsychologie</w:t>
      </w:r>
    </w:p>
    <w:p>
      <w:r>
        <w:br w:type="page"/>
      </w:r>
    </w:p>
    <w:p>
      <w:pPr>
        <w:pStyle w:val="Heading1"/>
      </w:pPr>
      <w:r>
        <w:rPr>
          <w:rFonts w:ascii="Arial" w:cs="Arial" w:eastAsia="Arial" w:hAnsi="Arial"/>
          <w:b/>
          <w:bCs/>
          <w:sz w:val="28"/>
          <w:szCs w:val="28"/>
        </w:rPr>
        <w:t xml:space="preserve">Colofon en methodologische nota</w:t>
      </w:r>
    </w:p>
    <w:p>
      <w:pPr>
        <w:spacing w:before="200"/>
      </w:pPr>
    </w:p>
    <w:p>
      <w:r>
        <w:rPr>
          <w:rFonts w:ascii="Arial" w:cs="Arial" w:eastAsia="Arial" w:hAnsi="Arial"/>
          <w:b/>
          <w:bCs/>
          <w:sz w:val="22"/>
          <w:szCs w:val="22"/>
        </w:rPr>
        <w:t xml:space="preserve">Titel en versie</w:t>
      </w:r>
    </w:p>
    <w:p>
      <w:pPr>
        <w:spacing w:after="200"/>
      </w:pPr>
      <w:r>
        <w:rPr>
          <w:rFonts w:ascii="Arial" w:cs="Arial" w:eastAsia="Arial" w:hAnsi="Arial"/>
          <w:sz w:val="20"/>
          <w:szCs w:val="20"/>
        </w:rPr>
        <w:t>Addendum bij het Competentiewoordenboek Vlaamse Overheid — Artificiële Intelligentie, versie 3.2 (april 2026). Vervangt versie 3.1 (april 2026). Bruno Mineo, VUB Arbeids- en Organisatiepsychologie.</w:t>
      </w:r>
    </w:p>
    <w:p>
      <w:r>
        <w:rPr>
          <w:rFonts w:ascii="Arial" w:cs="Arial" w:eastAsia="Arial" w:hAnsi="Arial"/>
          <w:b/>
          <w:bCs/>
          <w:sz w:val="22"/>
          <w:szCs w:val="22"/>
        </w:rPr>
        <w:t xml:space="preserve">Reikwijdte</w:t>
      </w:r>
    </w:p>
    <w:p>
      <w:pPr>
        <w:spacing w:after="200"/>
      </w:pPr>
      <w:r>
        <w:rPr>
          <w:rFonts w:ascii="Arial" w:cs="Arial" w:eastAsia="Arial" w:hAnsi="Arial"/>
          <w:sz w:val="20"/>
          <w:szCs w:val="20"/>
        </w:rPr>
        <w:t>Dit addendum beschrijft zeven gedragsgerichte competenties met betrekking tot het professionele gebruik van artificiële intelligentie. Het is structureel en stilistisch gemodelleerd naar het Competentiewoordenboek van de Vlaamse Overheid (versie 2.1, 10 oktober 2003; herziene versie 2013), met als doel direct inpasbaar te zijn in bestaande functieprofielen, assessment centers en opleidingstrajecten van de Vlaamse publieke sector en, meer algemeen, van elke organisatie die op dit instrument steunt. Het addendum hanteert vier niveaus van beheersing (I-IV), conform de schaal die in het originele woordenboek voor de meeste competenties wordt gebruikt.</w:t>
      </w:r>
    </w:p>
    <w:p>
      <w:r>
        <w:rPr>
          <w:rFonts w:ascii="Arial" w:cs="Arial" w:eastAsia="Arial" w:hAnsi="Arial"/>
          <w:b/>
          <w:bCs/>
          <w:sz w:val="22"/>
          <w:szCs w:val="22"/>
        </w:rPr>
        <w:t xml:space="preserve">Positionering ten opzichte van bestaande kaders</w:t>
      </w:r>
    </w:p>
    <w:p>
      <w:pPr>
        <w:spacing w:after="200"/>
      </w:pPr>
      <w:r>
        <w:rPr>
          <w:rFonts w:ascii="Arial" w:cs="Arial" w:eastAsia="Arial" w:hAnsi="Arial"/>
          <w:sz w:val="20"/>
          <w:szCs w:val="20"/>
        </w:rPr>
        <w:t>Dit addendum is geen vervanging van het Ethisch AI-Geletterdheidskader (UNESCO &amp; Digitaal Vlaanderen, december 2025), van DigComp 2.2 (Europese Commissie / JRC, 2022), van de OECD AI Capability Indicators (2025) of van de EU Verordening artificiële intelligentie (Verordening (EU) 2024/1689). Het is een aanvullend, gedragsgericht instrument dat de principes van deze kaders operationaliseert in observeerbare indicatoren, gegradeerd in vier niveaus van beheersing, en ingebed in de vertrouwde logica en taxonomie van het Competentiewoordenboek Vlaamse Overheid. Voor elk van de zeven competenties is een expliciet mapping uitgevoerd met de genoemde kaders (zie sectie Opmerkingen van elke competentie).</w:t>
      </w:r>
    </w:p>
    <w:p>
      <w:r>
        <w:rPr>
          <w:rFonts w:ascii="Arial" w:cs="Arial" w:eastAsia="Arial" w:hAnsi="Arial"/>
          <w:b/>
          <w:bCs/>
          <w:sz w:val="22"/>
          <w:szCs w:val="22"/>
        </w:rPr>
        <w:t xml:space="preserve">Taxonomie en clusters</w:t>
      </w:r>
    </w:p>
    <w:p>
      <w:pPr>
        <w:spacing w:after="200"/>
      </w:pPr>
      <w:r>
        <w:rPr>
          <w:rFonts w:ascii="Arial" w:cs="Arial" w:eastAsia="Arial" w:hAnsi="Arial"/>
          <w:sz w:val="20"/>
          <w:szCs w:val="20"/>
        </w:rPr>
        <w:t>De clusters en terminologie volgen strikt de versie van het Competentiewoordenboek Vlaamse Overheid zoals bijgewerkt tot 10 oktober 2003. De zeven competenties van dit addendum zijn verdeeld over de clusters I (drie competenties), III (één), IV (één) en V (twee).</w:t>
      </w:r>
    </w:p>
    <w:p>
      <w:pPr/>
      <w:r>
        <w:rPr>
          <w:rFonts w:ascii="Arial" w:hAnsi="Arial"/>
          <w:b/>
          <w:sz w:val="22"/>
        </w:rPr>
        <w:t>Afbakening van bijkomende HR-gebruiksscenario’s</w:t>
      </w:r>
    </w:p>
    <w:p>
      <w:pPr>
        <w:spacing w:after="200"/>
      </w:pPr>
      <w:r>
        <w:rPr>
          <w:rFonts w:ascii="Arial" w:hAnsi="Arial"/>
          <w:sz w:val="20"/>
        </w:rPr>
        <w:t>In deze versie wordt één bijkomende HR-specifieke competentie expliciet toegevoegd: Verantwoord inzetten en begeleiden van AI in selectie- en wervingsprocessen. Twee andere gebruiksscenario’s worden niet als afzonderlijke competentie opgenomen, maar transversaal verwerkt: (1) waakzaamheid ten aanzien van vertekening, representativiteit en kwaliteit van inputdata; (2) kritische omgang met synthetische of door AI verrijkte informatie. Andere vaak genoemde use cases — zoals AI-gestuurde leertrajecten, HR-chatbots, people analytics en autonome AI-agents — worden geacht reeds gedeeltelijk gedekt te zijn of buiten het gedragsgerichte bereik van dit addendum te vallen.</w:t>
      </w:r>
    </w:p>
    <w:p>
      <w:r>
        <w:rPr>
          <w:rFonts w:ascii="Arial" w:cs="Arial" w:eastAsia="Arial" w:hAnsi="Arial"/>
          <w:b/>
          <w:bCs/>
          <w:sz w:val="22"/>
          <w:szCs w:val="22"/>
        </w:rPr>
        <w:t xml:space="preserve">Methodologische nota over het gebruik van een taalmodel</w:t>
      </w:r>
    </w:p>
    <w:p>
      <w:pPr>
        <w:spacing w:after="200"/>
      </w:pPr>
      <w:r>
        <w:rPr>
          <w:rFonts w:ascii="Arial" w:cs="Arial" w:eastAsia="Arial" w:hAnsi="Arial"/>
          <w:sz w:val="20"/>
          <w:szCs w:val="20"/>
        </w:rPr>
        <w:t xml:space="preserve">De rédactie van dit addendum is tot stand gekomen in een iteratief proces waarin een groot taalmodel (Anthropic Claude) is gebruikt ter ondersteuning van de structurering van fiches, de formulering van gedragsindicatoren en de opzoeking van correspondenties in de vermelde referentiekaders. De finale conceptuele, theoretische en redactionele verantwoordelijkheid berust integraal bij de auteur. Het gebruik van een taalmodel bij de redactie van een instrument dat het verantwoord gebruik van artificiële intelligentie behandelt, is een bewuste editorielle keuze die past bij de inhoud van het document zelf: transparantie over AI-gebruik begint bij de productie van kennis erover.</w:t>
      </w:r>
    </w:p>
    <w:p>
      <w:r>
        <w:br w:type="page"/>
      </w:r>
    </w:p>
    <w:p>
      <w:pPr>
        <w:pStyle w:val="Heading1"/>
      </w:pPr>
      <w:r>
        <w:rPr>
          <w:rFonts w:ascii="Arial" w:cs="Arial" w:eastAsia="Arial" w:hAnsi="Arial"/>
          <w:b/>
          <w:bCs/>
          <w:sz w:val="28"/>
          <w:szCs w:val="28"/>
        </w:rPr>
        <w:t xml:space="preserve">Inhoudsopgave</w:t>
      </w:r>
    </w:p>
    <w:p>
      <w:pPr>
        <w:spacing w:before="200"/>
      </w:pPr>
    </w:p>
    <w:p>
      <w:r>
        <w:rPr>
          <w:rFonts w:ascii="Arial" w:cs="Arial" w:eastAsia="Arial" w:hAnsi="Arial"/>
          <w:sz w:val="20"/>
          <w:szCs w:val="20"/>
        </w:rPr>
        <w:t xml:space="preserve">Colofon en methodologische nota</w:t>
      </w:r>
    </w:p>
    <w:p>
      <w:r>
        <w:rPr>
          <w:rFonts w:ascii="Arial" w:cs="Arial" w:eastAsia="Arial" w:hAnsi="Arial"/>
          <w:sz w:val="20"/>
          <w:szCs w:val="20"/>
        </w:rPr>
        <w:t xml:space="preserve">Inhoudsopgave</w:t>
      </w:r>
    </w:p>
    <w:p>
      <w:pPr>
        <w:spacing w:before="200"/>
      </w:pPr>
    </w:p>
    <w:p>
      <w:r>
        <w:rPr>
          <w:rFonts w:ascii="Arial" w:cs="Arial" w:eastAsia="Arial" w:hAnsi="Arial"/>
          <w:b/>
          <w:bCs/>
          <w:sz w:val="20"/>
          <w:szCs w:val="20"/>
        </w:rPr>
        <w:t xml:space="preserve">Cluster I — Waardegebonden competenties</w:t>
      </w:r>
    </w:p>
    <w:p>
      <w:pPr>
        <w:ind w:left="360"/>
      </w:pPr>
      <w:r>
        <w:rPr>
          <w:rFonts w:ascii="Arial" w:cs="Arial" w:eastAsia="Arial" w:hAnsi="Arial"/>
          <w:sz w:val="20"/>
          <w:szCs w:val="20"/>
        </w:rPr>
        <w:t xml:space="preserve">Begeleiding van AI-transitie en shadow AI-beleid</w:t>
      </w:r>
    </w:p>
    <w:p>
      <w:pPr>
        <w:ind w:left="360"/>
      </w:pPr>
      <w:r>
        <w:rPr>
          <w:rFonts w:ascii="Arial" w:cs="Arial" w:eastAsia="Arial" w:hAnsi="Arial"/>
          <w:sz w:val="20"/>
          <w:szCs w:val="20"/>
        </w:rPr>
        <w:t xml:space="preserve">Waken over het psychosociaal evenwicht bij AI-integratie</w:t>
      </w:r>
    </w:p>
    <w:p>
      <w:pPr/>
      <w:r>
        <w:rPr>
          <w:rFonts w:ascii="Arial" w:hAnsi="Arial"/>
          <w:sz w:val="20"/>
        </w:rPr>
        <w:t>Verantwoord inzetten en begeleiden van AI in selectie- en wervingsprocessen</w:t>
      </w:r>
    </w:p>
    <w:p>
      <w:pPr>
        <w:spacing w:before="200"/>
      </w:pPr>
    </w:p>
    <w:p>
      <w:r>
        <w:rPr>
          <w:rFonts w:ascii="Arial" w:cs="Arial" w:eastAsia="Arial" w:hAnsi="Arial"/>
          <w:b/>
          <w:bCs/>
          <w:sz w:val="20"/>
          <w:szCs w:val="20"/>
        </w:rPr>
        <w:t xml:space="preserve">Cluster III — Interpersoonlijk gedrag</w:t>
      </w:r>
    </w:p>
    <w:p>
      <w:pPr>
        <w:ind w:left="360"/>
      </w:pPr>
      <w:r>
        <w:rPr>
          <w:rFonts w:ascii="Arial" w:cs="Arial" w:eastAsia="Arial" w:hAnsi="Arial"/>
          <w:sz w:val="20"/>
          <w:szCs w:val="20"/>
        </w:rPr>
        <w:t xml:space="preserve">Transparante AI-communicatie</w:t>
      </w:r>
    </w:p>
    <w:p>
      <w:pPr>
        <w:spacing w:before="200"/>
      </w:pPr>
    </w:p>
    <w:p>
      <w:r>
        <w:rPr>
          <w:rFonts w:ascii="Arial" w:cs="Arial" w:eastAsia="Arial" w:hAnsi="Arial"/>
          <w:b/>
          <w:bCs/>
          <w:sz w:val="20"/>
          <w:szCs w:val="20"/>
        </w:rPr>
        <w:t xml:space="preserve">Cluster IV — Omgaan met informatie</w:t>
      </w:r>
    </w:p>
    <w:p>
      <w:pPr>
        <w:ind w:left="360"/>
      </w:pPr>
      <w:r>
        <w:rPr>
          <w:rFonts w:ascii="Arial" w:cs="Arial" w:eastAsia="Arial" w:hAnsi="Arial"/>
          <w:sz w:val="20"/>
          <w:szCs w:val="20"/>
        </w:rPr>
        <w:t xml:space="preserve">Kritische bronbeoordeling in een AI-verrijkte informatieomgeving</w:t>
      </w:r>
    </w:p>
    <w:p>
      <w:pPr>
        <w:spacing w:before="200"/>
      </w:pPr>
    </w:p>
    <w:p>
      <w:r>
        <w:rPr>
          <w:rFonts w:ascii="Arial" w:cs="Arial" w:eastAsia="Arial" w:hAnsi="Arial"/>
          <w:b/>
          <w:bCs/>
          <w:sz w:val="20"/>
          <w:szCs w:val="20"/>
        </w:rPr>
        <w:t xml:space="preserve">Cluster V — Probleemoplossend gedrag</w:t>
      </w:r>
    </w:p>
    <w:p>
      <w:pPr>
        <w:ind w:left="360"/>
      </w:pPr>
      <w:r>
        <w:rPr>
          <w:rFonts w:ascii="Arial" w:cs="Arial" w:eastAsia="Arial" w:hAnsi="Arial"/>
          <w:sz w:val="20"/>
          <w:szCs w:val="20"/>
        </w:rPr>
        <w:t xml:space="preserve">Kritisch en verantwoord samenwerken met AI</w:t>
      </w:r>
    </w:p>
    <w:p>
      <w:pPr>
        <w:ind w:left="360"/>
      </w:pPr>
      <w:r>
        <w:rPr>
          <w:rFonts w:ascii="Arial" w:cs="Arial" w:eastAsia="Arial" w:hAnsi="Arial"/>
          <w:sz w:val="20"/>
          <w:szCs w:val="20"/>
        </w:rPr>
        <w:t xml:space="preserve">Oordelen en beslissen bij AI-ondersteunde aanbevelingen onder onzekerheid</w:t>
      </w:r>
    </w:p>
    <w:p>
      <w:pPr>
        <w:spacing w:before="200"/>
      </w:pPr>
    </w:p>
    <w:p>
      <w:r>
        <w:rPr>
          <w:rFonts w:ascii="Arial" w:cs="Arial" w:eastAsia="Arial" w:hAnsi="Arial"/>
          <w:b/>
          <w:bCs/>
          <w:sz w:val="20"/>
          <w:szCs w:val="20"/>
        </w:rPr>
        <w:t xml:space="preserve">Bibliografie</w:t>
      </w:r>
    </w:p>
    <w:p>
      <w:r>
        <w:br w:type="page"/>
      </w:r>
    </w:p>
    <w:p>
      <w:pPr>
        <w:pStyle w:val="Heading1"/>
        <w:spacing w:after="200" w:before="400"/>
      </w:pPr>
      <w:r>
        <w:rPr>
          <w:rFonts w:ascii="Arial" w:cs="Arial" w:eastAsia="Arial" w:hAnsi="Arial"/>
          <w:b/>
          <w:bCs/>
          <w:sz w:val="28"/>
          <w:szCs w:val="28"/>
        </w:rPr>
        <w:t xml:space="preserve">Cluster I — Waardegebonden competenties</w:t>
      </w:r>
    </w:p>
    <w:p>
      <w:pPr>
        <w:pStyle w:val="Heading2"/>
        <w:spacing w:after="200" w:before="300"/>
      </w:pPr>
      <w:r>
        <w:rPr>
          <w:rFonts w:ascii="Arial" w:cs="Arial" w:eastAsia="Arial" w:hAnsi="Arial"/>
          <w:b/>
          <w:bCs/>
          <w:sz w:val="24"/>
          <w:szCs w:val="24"/>
        </w:rPr>
        <w:t xml:space="preserve">Begeleiding van AI-transitie en shadow AI-beleid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Begeleiding van AI-transitie en shadow AI-beleid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proactief begeleiden van medewerkers en teams in de overgang naar een werkomgeving waarin AI-tools structureel worden ingezet, met bijzondere aandacht voor niet-gedeclareerd AI-gebruik (shadow AI) als vertrekpunt voor bottom-up beleidsontwikkeling, waarbij psychologische veiligheid, traceerbaarheid en gedeelde verantwoordelijkheid centraal staan.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I — Waardegebonden competenties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Is zich bewust van het fenomeen shadow AI en staat open voor een niet-oordelende benadering ervan.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Interpreteert niet-goedgekeurd AI-gebruik in eerste instantie als een uiting van een niet-ingevulde nood en niet als een inbreuk.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Benoemt bij elk geval van informeel AI-gebruik zowel de risicodimensie (gegevenslekken, non-conformiteit) als de signaaldimensie (niet-ingevulde noden, innovatiebereidheid).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Reageert op niet-gedeclareerd AI-gebruik met een informatievraag voordat een beoordeling plaatsvindt.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Past de principes van traceerbaarheid en minimale toegangsrechten toe bij het eigen AI-gebruik, ook wanneer dit gebruik informeel is.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Vraagt eerder om uitleg dan om verantwoording wanneer informeel AI-gebruik aan het licht komt.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Brengt een waargenomen kloof tussen formeel AI-beleid en werkelijke werkbehoeften bespreekbaar in het team.</w:t>
            </w:r>
          </w:p>
          <w:p>
            <w:pPr>
              <w:spacing w:after="100" w:before="200"/>
            </w:pPr>
            <w:r>
              <w:rPr>
                <w:rFonts w:ascii="Arial" w:cs="Arial" w:eastAsia="Arial" w:hAnsi="Arial"/>
                <w:b/>
                <w:bCs/>
                <w:sz w:val="20"/>
                <w:szCs w:val="20"/>
              </w:rPr>
              <w:t xml:space="preserve">II.	Brengt informeel AI-gebruik in kaart en maakt het bespreekbaar in een klimaat van psychologische veiligheid.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Observeert systematisch welke AI-tools medewerkers feitelijk gebruiken, los van wat officieel is goedgekeurd.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Creëert een klimaat waarin medewerkers hun AI-gebruik durven benoemen zonder angst voor beoordeling of sanctie.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Stelt open, niet-oordelende vragen om de achterliggende noden en frustraties achter shadow AI-gebruik in kaart te brengen.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Documenteert geobserveerde gebruikspraktijken als feitelijke basis voor beleidsontwikkeling en niet als bewijs van overtreding.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Communiceert helder over de risico's van niet-gedeclareerd gebruik (gegevensveiligheid, compliance) zonder een cultuur van angst te creëren.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Beoordeelt gebruikspraktijken afzonderlijk op waardecreatie en op risico, met dezelfde open houding voor beide.</w:t>
            </w:r>
          </w:p>
          <w:p>
            <w:pPr>
              <w:spacing w:after="100" w:before="200"/>
            </w:pPr>
            <w:r>
              <w:rPr>
                <w:rFonts w:ascii="Arial" w:cs="Arial" w:eastAsia="Arial" w:hAnsi="Arial"/>
                <w:b/>
                <w:bCs/>
                <w:sz w:val="20"/>
                <w:szCs w:val="20"/>
              </w:rPr>
              <w:t xml:space="preserve">III.	Gebruikt geobserveerde praktijken als vertrekpunt voor de co-constructie van een gedeeld modus operandi.</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Vertaalt geobserveerde shadow AI-praktijken naar concrete aanbevelingen voor beleid, door te identificeren wat werkt, wat niet werkt en waar de fricties zich bevinden.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Betrekt medewerkers actief bij de ontwikkeling van gebruiksrichtlijnen als medeopstellers, niet als ontvangers van regels.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Begeleidt medewerkers in het identificeren van welke toegang een AI-tool werkelijk nodig heeft, conform het principe van minimale rechten.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Introduceert eenvoudige traceerbaarheidspraktijken (logboek van AI-acties, verantwoordingsreflexen) als gedeelde teamgewoonte, niet als bureaucratische last.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Situeert shadow AI-gebruik binnen het bredere organisatiebeleid inzake gegevensbescherming, ethiek en compliance.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Evalueert de effectiviteit van ingevoerde praktijken aan de hand van feedback van medewerkers en past ze op die basis aan.</w:t>
            </w:r>
          </w:p>
          <w:p>
            <w:pPr>
              <w:spacing w:after="100" w:before="200"/>
            </w:pPr>
            <w:r>
              <w:rPr>
                <w:rFonts w:ascii="Arial" w:cs="Arial" w:eastAsia="Arial" w:hAnsi="Arial"/>
                <w:b/>
                <w:bCs/>
                <w:sz w:val="20"/>
                <w:szCs w:val="20"/>
              </w:rPr>
              <w:t xml:space="preserve">IV.	Ontwikkelt een structurele aanpak voor de begeleiding van AI-transitie op organisatieniveau, met shadow AI als diagnostisch instrument.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Ontwerpt een continue feedbackloop voor AI-governance waarin ontdekken, beoordelen, begeleiden, beveiligen en auditeren als levend proces worden geïmplementeerd en niet als eenmalige checklist.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shadow AI-patronen als organisatiediagnostiek om te identificeren welke afdelingen, functies of behoeften het meeste informeel gebruik genereren en wat dit zegt over de organisatiecultuur.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Bouwt een organisatiebrede cultuur van transparantie rond AI-gebruik waarin het melden van informeel gebruik wordt gewaardeerd in plaats van gesanctioneerd.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Integreert de change agent-rol in HR-processen: functiebeschrijvingen, onboarding, evaluatiecriteria en opleidingstrajecten worden aangepast aan de realiteit van een AI-doordrongen werkomgeving.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Adviseert het management over de balans tussen innovatievrijheid en beheersbaarheid, en fungeert daarbij als brug tussen de technische functies (IT, security) en de mensgerichte functies (HR, management).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evolutie van AI-regelgeving en technologische ontwikkelingen en herziet de interne richtlijnen en governance-processen proactief op basis van die anticipatie.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is primair een houdings- en waardecompetentie. Zij vereist integriteit, vertrouwen en een niet-oordelende oriëntatie ten aanzien van informeel gedrag — waarden die in Cluster I thuishoren, naast competenties als Betrouwbaarheid en Samenwerken. De technische en analytische dimensies zijn instrumenteel; de kern is de relatie tussen de change agent en de medewerkers die hij of zij begeleidt.</w:t>
            </w:r>
          </w:p>
          <w:p>
            <w:pPr>
              <w:spacing w:after="100"/>
            </w:pPr>
            <w:r>
              <w:rPr>
                <w:rFonts w:ascii="Arial" w:cs="Arial" w:eastAsia="Arial" w:hAnsi="Arial"/>
                <w:sz w:val="20"/>
                <w:szCs w:val="20"/>
              </w:rPr>
              <w:t xml:space="preserve">Zij complementeert de competentie Kritisch en verantwoord samenwerken met AI (Cluster V) zonder ermee te overlappen: waar die eerste competentie de individuele gebruiker centraal stelt, richt deze competentie zich op de change agent die anderen begeleidt. Zij operationaliseert tevens de verplichting tot AI-geletterdheid van personeel (EU AI Act, art. 4) en raakt aan de verplichtingen van deployers (art. 26).</w:t>
            </w:r>
          </w:p>
          <w:p>
            <w:pPr>
              <w:spacing w:after="100"/>
            </w:pPr>
            <w:r>
              <w:rPr>
                <w:rFonts w:ascii="Arial" w:cs="Arial" w:eastAsia="Arial" w:hAnsi="Arial"/>
                <w:sz w:val="20"/>
                <w:szCs w:val="20"/>
              </w:rPr>
              <w:t xml:space="preserve">Geen enkel bestaand competentiekader — inclusief het Ethisch AI-Geletterdheidskader van 2025 — beschrijft de gedragsmatige en relationele competenties die nodig zijn om shadow AI constructief te benaderen en in te zetten als hefboom voor organisatieverandering. De theoretische fundering van psychologische veiligheid als voorwaarde voor het bespreekbaar maken van informeel gedrag is ontleend aan Edmondson (1999).</w:t>
            </w:r>
          </w:p>
        </w:tc>
      </w:tr>
    </w:tbl>
    <w:p>
      <w:r>
        <w:br w:type="page"/>
      </w:r>
    </w:p>
    <w:p>
      <w:pPr>
        <w:pStyle w:val="Heading2"/>
        <w:spacing w:after="200" w:before="300"/>
      </w:pPr>
      <w:r>
        <w:rPr>
          <w:rFonts w:ascii="Arial" w:cs="Arial" w:eastAsia="Arial" w:hAnsi="Arial"/>
          <w:b/>
          <w:bCs/>
          <w:sz w:val="24"/>
          <w:szCs w:val="24"/>
        </w:rPr>
        <w:t xml:space="preserve">Waken over het psychosociaal evenwicht bij AI-integratie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Waken over het psychosociaal evenwicht bij AI-integratie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actief bewaken van het psychosociaal welzijn, de autonomie en de betekenisvolheid van werk in teams waarin AI-tools structureel worden ingezet, met bijzondere aandacht voor cognitieve belasting, erosie van vaardigheden, zinverlies en de herverdeling van interactieve en relationele taken.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I — Waardegebonden competenties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Herkent dat AI-integratie effecten kan hebben op de werkbeleving van zichzelf en collega's en brengt deze effecten aan het licht.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Signaleert tekenen van toegenomen cognitieve belasting of vermoeidheid bij zichzelf of collega's in relatie tot AI-gebruik.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Benoemt veranderingen in de eigen werkbeleving sinds de invoering van AI-tools, positief of negatief.</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Erkent dat het structureel delegeren van bepaalde taken aan AI op termijn kan leiden tot verlies van vertrouwen in de eigen vaardigheden.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Brengt in teamoverleg situaties aan waarin AI-gebruik het gevoel van betekenisvol werk versterkt of juist ondermijnt.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Luistert actief wanneer collega's hun ervaring met AI-integratie delen, zonder hun gevoelens af te doen als weerstand tegen verandering.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dat niet alle leden van een team AI-integratie op dezelfde manier ervaren of verwerken.</w:t>
            </w:r>
          </w:p>
          <w:p>
            <w:pPr>
              <w:spacing w:after="100" w:before="200"/>
            </w:pPr>
            <w:r>
              <w:rPr>
                <w:rFonts w:ascii="Arial" w:cs="Arial" w:eastAsia="Arial" w:hAnsi="Arial"/>
                <w:b/>
                <w:bCs/>
                <w:sz w:val="20"/>
                <w:szCs w:val="20"/>
              </w:rPr>
              <w:t xml:space="preserve">II.	Observeert systematisch de psychosociale effecten van AI-integratie in het eigen team en maakt ze bespreekbaar.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Observeert welke taken door AI-integratie van karakter zijn veranderd en welke sociale interacties daardoor zijn verschoven.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Initieert gesprekken over het sociaal-affectieve weefsel van het team wanneer AI-tools routinematige contactmomenten hebben vervangen.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Brengt concrete ervaringen met AI-gebruik ter sprake in bestaande overlegstructuren, zoals teamvergadering of functioneringsgesprek.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Maakt het onderscheid tussen individuele ongemakken en collectieve patronen in de manier waarop AI-integratie wordt beleefd.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Verzamelt feedback van medewerkers over het effect van AI-gebruik op hun werkinhoud, autonomie en samenwerking.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Vertaalt geobserveerde signalen van psychosociale spanning naar een bespreekbare analyse, zonder individuele verantwoordelijkheid toe te schrijven.</w:t>
            </w:r>
          </w:p>
          <w:p>
            <w:pPr>
              <w:spacing w:after="100" w:before="200"/>
            </w:pPr>
            <w:r>
              <w:rPr>
                <w:rFonts w:ascii="Arial" w:cs="Arial" w:eastAsia="Arial" w:hAnsi="Arial"/>
                <w:b/>
                <w:bCs/>
                <w:sz w:val="20"/>
                <w:szCs w:val="20"/>
              </w:rPr>
              <w:t xml:space="preserve">III.	Gebruikt psychosociale signalen als input voor de concrete organisatie van werk en AI-integratie.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Reserveert of herontwerpt bewust taken waarin menselijke beoordeling, relatie of oordeelsvorming centraal blijven, ondanks de mogelijkheid van AI-delegatie.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Koppelt aan AI-ondersteuning expliciete momenten van niet-ondersteund werk om erosie van vaardigheden tegen te gaan.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Bewaakt de balans tussen efficiëntie via AI en het behoud van sociale contactmomenten binnen het team.</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Past de werkverdeling aan wanneer blijkt dat AI-integratie leidt tot een concentratie van betekenisarme restantentaken bij bepaalde medewerkers.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Brengt psychosociale signalen formeel in bij de beslissingen over verdere AI-implementatie, op gelijke voet met efficiëntie- en kostenargumenten.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Introduceert ruimte voor medewerkers om hun relatie met AI-tools te herdenken en hun voorkeuren kenbaar te maken.</w:t>
            </w:r>
          </w:p>
          <w:p>
            <w:pPr>
              <w:spacing w:after="100" w:before="200"/>
            </w:pPr>
            <w:r>
              <w:rPr>
                <w:rFonts w:ascii="Arial" w:cs="Arial" w:eastAsia="Arial" w:hAnsi="Arial"/>
                <w:b/>
                <w:bCs/>
                <w:sz w:val="20"/>
                <w:szCs w:val="20"/>
              </w:rPr>
              <w:t xml:space="preserve">IV.	Verankert psychosociale waakzaamheid in organisatiebeleid en anticipeert op toekomstige effecten van AI-integratie.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Ontwikkelt of draagt bij aan organisatiebrede criteria voor psychosociale risicoanalyse bij elk AI-implementatieproject.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Integreert psychosociale indicatoren in de bestaande welzijnsrapportage en in de evaluatie van AI-projecten.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Adviseert het management over de inrichting van werkprocessen zodat AI-integratie autonomie, vaardigheidsgebruik en sociale verbinding versterkt in plaats van uitholt.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Fungeert als tegengewicht in strategische beslissingen waarbij de efficiëntiewinst van AI dreigt te worden doorgevoerd zonder psychosociale afweging.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Bouwt een organisatiecultuur waarin het uitdrukken van zorgen over AI-integratie wordt gewaardeerd als professioneel oordeel, niet als weerstand.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impact van geleidelijke AI-integratie op loopbaanpaden, functie-inhoud en beroepsidentiteit, en past het personeelsbeleid proactief aan.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is primair een waardencompetentie: zij vereist een houding van verantwoordelijkheid voor de effecten van technologische keuzes op het welzijn, de autonomie en de waardigheid van medewerkers. De sociotechnische literatuur (Parker &amp; Grote, 2022; Raisch &amp; Krakowski, 2021) toont aan dat AI-implementaties ongelijke en vaak onvoorziene effecten hebben op werkkenmerken zoals autonomie, vaardigheidsgebruik, feedback en sociale relaties — effecten die een expliciete en continue waakzaamheid vereisen.</w:t>
            </w:r>
          </w:p>
          <w:p>
            <w:pPr>
              <w:spacing w:after="100"/>
            </w:pPr>
            <w:r>
              <w:rPr>
                <w:rFonts w:ascii="Arial" w:cs="Arial" w:eastAsia="Arial" w:hAnsi="Arial"/>
                <w:sz w:val="20"/>
                <w:szCs w:val="20"/>
              </w:rPr>
              <w:t xml:space="preserve">De competentie complementeert Samenwerken en Betrouwbaarheid (Cluster I, Competentiewoordenboek Vlaamse Overheid 2003) en vult een lacune aan in de bestaande kaders, die de psychosociale dimensie van AI-integratie niet als zelfstandige competentie operationaliseren. Het Ethisch AI-Geletterdheidskader (2025) raakt aan aanpalende onderwerpen in sectie 5.4 (Mensgerichte AI-ontwikkeling) en 6.6 (Verandermanagement voor AI), maar richt zich op de vormgeving van AI-systemen en het beheer van veranderingen, niet op de continue psychosociale waakzaamheid ten aanzien van de effecten van reeds geïmplementeerde AI-tools op de werkbeleving.</w:t>
            </w:r>
          </w:p>
        </w:tc>
      </w:tr>
    </w:tbl>
    <w:p>
      <w:pPr>
        <w:pStyle w:val="Heading1"/>
        <w:spacing w:before="400" w:after="200"/>
      </w:pPr>
      <w:r>
        <w:rPr>
          <w:rFonts w:ascii="Arial" w:hAnsi="Arial"/>
          <w:b/>
          <w:sz w:val="28"/>
        </w:rPr>
        <w:t>Verantwoord inzetten en begeleiden van AI in selectie- en wervingsprocessen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Verantwoord inzetten en begeleiden van AI in selectie- en wervingsprocessen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sz w:val="20"/>
              </w:rPr>
              <w:t>Het op een eerlijke, zorgvuldige en transparante wijze inzetten en begeleiden van AI-systemen in selectie- en wervingsprocessen, waarbij de medewerker of leidinggevende waakt over gelijke behandeling, menselijke controle, relevante en representatieve inputgegevens, en de mogelijkheid tot gemotiveerde menselijke correctie of afwijking in elke fase van de procedure.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sz w:val="20"/>
              </w:rPr>
              <w:t>Cluster I — Waardegebonden competenties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
              <w:rPr>
                <w:rFonts w:ascii="Arial" w:hAnsi="Arial"/>
                <w:b/>
                <w:sz w:val="20"/>
              </w:rPr>
              <w:t>I.</w:t>
              <w:tab/>
              <w:t>Herkent dat AI-gebruik in selectie en werving bijzondere risico’s inhoudt voor gelijke behandeling en zorgvuldigheid, en handelt daar behoedzaam naar.</w:t>
            </w:r>
          </w:p>
          <w:p>
            <w:pPr>
              <w:spacing w:after="60"/>
              <w:ind w:left="360"/>
            </w:pPr>
            <w:r/>
            <w:r>
              <w:rPr>
                <w:rFonts w:ascii="Arial" w:hAnsi="Arial"/>
                <w:sz w:val="20"/>
              </w:rPr>
              <w:t>– Erkent dat AI-systemen in selectiecontexten kandidaten ongelijk kunnen behandelen wanneer de gebruikte gegevens of beoordelingslogica vertekeningen bevatten.</w:t>
            </w:r>
          </w:p>
          <w:p>
            <w:pPr>
              <w:spacing w:after="60"/>
              <w:ind w:left="360"/>
            </w:pPr>
            <w:r/>
            <w:r>
              <w:rPr>
                <w:rFonts w:ascii="Arial" w:hAnsi="Arial"/>
                <w:sz w:val="20"/>
              </w:rPr>
              <w:t>– Gebruikt AI in selectie- en wervingscontexten niet als autonome beslisser, maar als ondersteunend instrument binnen een menselijk beoordelingsproces.</w:t>
            </w:r>
          </w:p>
          <w:p>
            <w:pPr>
              <w:spacing w:after="60"/>
              <w:ind w:left="360"/>
            </w:pPr>
            <w:r/>
            <w:r>
              <w:rPr>
                <w:rFonts w:ascii="Arial" w:hAnsi="Arial"/>
                <w:sz w:val="20"/>
              </w:rPr>
              <w:t>– Vraagt om uitleg wanneer onduidelijk is op basis van welke gegevens of criteria een AI-systeem een kandidaat hoger of lager inschat.</w:t>
            </w:r>
          </w:p>
          <w:p>
            <w:pPr>
              <w:spacing w:after="60"/>
              <w:ind w:left="360"/>
            </w:pPr>
            <w:r/>
            <w:r>
              <w:rPr>
                <w:rFonts w:ascii="Arial" w:hAnsi="Arial"/>
                <w:sz w:val="20"/>
              </w:rPr>
              <w:t>– Vermijdt het invoeren of overnemen van irrelevante, gevoelige of potentieel discriminerende gegevens in een AI-ondersteund selectieproces.</w:t>
            </w:r>
          </w:p>
          <w:p>
            <w:pPr>
              <w:spacing w:after="60"/>
              <w:ind w:left="360"/>
            </w:pPr>
            <w:r/>
            <w:r>
              <w:rPr>
                <w:rFonts w:ascii="Arial" w:hAnsi="Arial"/>
                <w:sz w:val="20"/>
              </w:rPr>
              <w:t>– Signaleert twijfels over de billijkheid of betrouwbaarheid van een AI-uitkomst aan de bevoegde collega, leidinggevende of leverancier.</w:t>
            </w:r>
          </w:p>
          <w:p>
            <w:pPr>
              <w:spacing w:after="60"/>
              <w:ind w:left="360"/>
            </w:pPr>
            <w:r/>
            <w:r>
              <w:rPr>
                <w:rFonts w:ascii="Arial" w:hAnsi="Arial"/>
                <w:sz w:val="20"/>
              </w:rPr>
              <w:t>– Informeert zich over de interne richtlijnen voor het gebruik van AI in selectie en past die correct toe.</w:t>
            </w:r>
          </w:p>
          <w:p>
            <w:pPr>
              <w:spacing w:after="100" w:before="200"/>
            </w:pPr>
            <w:r/>
            <w:r>
              <w:rPr>
                <w:rFonts w:ascii="Arial" w:hAnsi="Arial"/>
                <w:b/>
                <w:sz w:val="20"/>
              </w:rPr>
              <w:t>II.</w:t>
              <w:tab/>
              <w:t>Past AI in selectieprocessen zorgvuldig toe en maakt de menselijke eindverantwoordelijkheid expliciet.</w:t>
            </w:r>
          </w:p>
          <w:p>
            <w:pPr>
              <w:spacing w:after="60"/>
              <w:ind w:left="360"/>
            </w:pPr>
            <w:r/>
            <w:r>
              <w:rPr>
                <w:rFonts w:ascii="Arial" w:hAnsi="Arial"/>
                <w:sz w:val="20"/>
              </w:rPr>
              <w:t>– Beoordeelt of het gebruik van AI in een concrete selectieprocedure proportioneel is in verhouding tot het doel, de aard van de functie en de mogelijke impact op kandidaten.</w:t>
            </w:r>
          </w:p>
          <w:p>
            <w:pPr>
              <w:spacing w:after="60"/>
              <w:ind w:left="360"/>
            </w:pPr>
            <w:r/>
            <w:r>
              <w:rPr>
                <w:rFonts w:ascii="Arial" w:hAnsi="Arial"/>
                <w:sz w:val="20"/>
              </w:rPr>
              <w:t>– Controleert of de inputgegevens die onder de eigen verantwoordelijkheid vallen relevant, actueel en voldoende representatief zijn voor het beoogde gebruik.</w:t>
            </w:r>
          </w:p>
          <w:p>
            <w:pPr>
              <w:spacing w:after="60"/>
              <w:ind w:left="360"/>
            </w:pPr>
            <w:r/>
            <w:r>
              <w:rPr>
                <w:rFonts w:ascii="Arial" w:hAnsi="Arial"/>
                <w:sz w:val="20"/>
              </w:rPr>
              <w:t>– Toetst AI-gegenereerde aanbevelingen of rangschikkingen aan bijkomende informatie uit het dossier en aan professionele beoordelingscriteria.</w:t>
            </w:r>
          </w:p>
          <w:p>
            <w:pPr>
              <w:spacing w:after="60"/>
              <w:ind w:left="360"/>
            </w:pPr>
            <w:r/>
            <w:r>
              <w:rPr>
                <w:rFonts w:ascii="Arial" w:hAnsi="Arial"/>
                <w:sz w:val="20"/>
              </w:rPr>
              <w:t>– Documenteert wanneer en hoe AI in het selectieproces werd gebruikt, zodat de gevolgde werkwijze achteraf traceerbaar blijft.</w:t>
            </w:r>
          </w:p>
          <w:p>
            <w:pPr>
              <w:spacing w:after="60"/>
              <w:ind w:left="360"/>
            </w:pPr>
            <w:r/>
            <w:r>
              <w:rPr>
                <w:rFonts w:ascii="Arial" w:hAnsi="Arial"/>
                <w:sz w:val="20"/>
              </w:rPr>
              <w:t>– Maakt in communicatie naar kandidaten of betrokken collega’s duidelijk welke onderdelen van het proces AI-ondersteund zijn en welke door mensen worden beoordeeld.</w:t>
            </w:r>
          </w:p>
          <w:p>
            <w:pPr>
              <w:spacing w:after="60"/>
              <w:ind w:left="360"/>
            </w:pPr>
            <w:r/>
            <w:r>
              <w:rPr>
                <w:rFonts w:ascii="Arial" w:hAnsi="Arial"/>
                <w:sz w:val="20"/>
              </w:rPr>
              <w:t>– Wijkt gemotiveerd af van een AI-aanbeveling wanneer de concrete dossiercontext daartoe aanleiding geeft.</w:t>
            </w:r>
          </w:p>
          <w:p>
            <w:pPr>
              <w:spacing w:after="100" w:before="200"/>
            </w:pPr>
            <w:r/>
            <w:r>
              <w:rPr>
                <w:rFonts w:ascii="Arial" w:hAnsi="Arial"/>
                <w:b/>
                <w:sz w:val="20"/>
              </w:rPr>
              <w:t>III.</w:t>
              <w:tab/>
              <w:t>Organiseert selectie- en wervingsprocessen zodanig dat AI-gebruik toetsbaar, uitlegbaar en corrigeerbaar blijft.</w:t>
            </w:r>
          </w:p>
          <w:p>
            <w:pPr>
              <w:spacing w:after="60"/>
              <w:ind w:left="360"/>
            </w:pPr>
            <w:r/>
            <w:r>
              <w:rPr>
                <w:rFonts w:ascii="Arial" w:hAnsi="Arial"/>
                <w:sz w:val="20"/>
              </w:rPr>
              <w:t>– Ontwerpt of verfijnt selectieprocedures zo dat AI-output steeds wordt ingebed in een bredere beoordeling met ruimte voor professionele tegenspraak.</w:t>
            </w:r>
          </w:p>
          <w:p>
            <w:pPr>
              <w:spacing w:after="60"/>
              <w:ind w:left="360"/>
            </w:pPr>
            <w:r/>
            <w:r>
              <w:rPr>
                <w:rFonts w:ascii="Arial" w:hAnsi="Arial"/>
                <w:sz w:val="20"/>
              </w:rPr>
              <w:t>– Bouwt controlepunten in waarop de kwaliteit van inputdata, de consistentie van AI-uitkomsten en mogelijke vertekeningen systematisch worden nagegaan.</w:t>
            </w:r>
          </w:p>
          <w:p>
            <w:pPr>
              <w:spacing w:after="60"/>
              <w:ind w:left="360"/>
            </w:pPr>
            <w:r/>
            <w:r>
              <w:rPr>
                <w:rFonts w:ascii="Arial" w:hAnsi="Arial"/>
                <w:sz w:val="20"/>
              </w:rPr>
              <w:t>– Stimuleert collega’s om AI-uitkomsten in selectie niet als objectief gegeven te behandelen, maar als hypothese die toetsing vergt.</w:t>
            </w:r>
          </w:p>
          <w:p>
            <w:pPr>
              <w:spacing w:after="60"/>
              <w:ind w:left="360"/>
            </w:pPr>
            <w:r/>
            <w:r>
              <w:rPr>
                <w:rFonts w:ascii="Arial" w:hAnsi="Arial"/>
                <w:sz w:val="20"/>
              </w:rPr>
              <w:t>– Zorgt ervoor dat kandidaten niet uitsluitend op basis van een AI-uitkomst worden uitgesloten zonder menselijke herbeoordeling waar dat aangewezen is.</w:t>
            </w:r>
          </w:p>
          <w:p>
            <w:pPr>
              <w:spacing w:after="60"/>
              <w:ind w:left="360"/>
            </w:pPr>
            <w:r/>
            <w:r>
              <w:rPr>
                <w:rFonts w:ascii="Arial" w:hAnsi="Arial"/>
                <w:sz w:val="20"/>
              </w:rPr>
              <w:t>– Verbindt het gebruik van AI in selectie expliciet met de beginselen van gelijke behandeling, proportionaliteit, transparantie en zorgvuldige motivering.</w:t>
            </w:r>
          </w:p>
          <w:p>
            <w:pPr>
              <w:spacing w:after="60"/>
              <w:ind w:left="360"/>
            </w:pPr>
            <w:r/>
            <w:r>
              <w:rPr>
                <w:rFonts w:ascii="Arial" w:hAnsi="Arial"/>
                <w:sz w:val="20"/>
              </w:rPr>
              <w:t>– Begeleidt collega’s in het herkennen van situaties waarin een AI-systeem buiten zijn betrouwbare toepassingsgebied lijkt te functioneren.</w:t>
            </w:r>
          </w:p>
          <w:p>
            <w:pPr>
              <w:spacing w:after="100" w:before="200"/>
            </w:pPr>
            <w:r/>
            <w:r>
              <w:rPr>
                <w:rFonts w:ascii="Arial" w:hAnsi="Arial"/>
                <w:b/>
                <w:sz w:val="20"/>
              </w:rPr>
              <w:t>IV.</w:t>
              <w:tab/>
              <w:t>Verankert verantwoord AI-gebruik in selectie en werving op organisatieniveau en anticipeert op evoluerende normen.</w:t>
            </w:r>
          </w:p>
          <w:p>
            <w:pPr>
              <w:spacing w:after="60"/>
              <w:ind w:left="360"/>
            </w:pPr>
            <w:r/>
            <w:r>
              <w:rPr>
                <w:rFonts w:ascii="Arial" w:hAnsi="Arial"/>
                <w:sz w:val="20"/>
              </w:rPr>
              <w:t>– Ontwikkelt of draagt bij aan organisatiebrede standaarden voor het gebruik van AI in selectie en werving, met bijzondere aandacht voor non-discriminatie, menselijke controle en documentatie.</w:t>
            </w:r>
          </w:p>
          <w:p>
            <w:pPr>
              <w:spacing w:after="60"/>
              <w:ind w:left="360"/>
            </w:pPr>
            <w:r/>
            <w:r>
              <w:rPr>
                <w:rFonts w:ascii="Arial" w:hAnsi="Arial"/>
                <w:sz w:val="20"/>
              </w:rPr>
              <w:t>– Adviseert het management over de voorwaarden waaronder AI-systemen in selectieprocessen verantwoord kunnen worden ingezet, beperkt of uitgesloten.</w:t>
            </w:r>
          </w:p>
          <w:p>
            <w:pPr>
              <w:spacing w:after="60"/>
              <w:ind w:left="360"/>
            </w:pPr>
            <w:r/>
            <w:r>
              <w:rPr>
                <w:rFonts w:ascii="Arial" w:hAnsi="Arial"/>
                <w:sz w:val="20"/>
              </w:rPr>
              <w:t>– Verankert periodieke evaluatie van AI-gebruik in selectieprocessen, inclusief de analyse van foutpatronen, klachten, afwijkingen en mogelijke vertekeningen.</w:t>
            </w:r>
          </w:p>
          <w:p>
            <w:pPr>
              <w:spacing w:after="60"/>
              <w:ind w:left="360"/>
            </w:pPr>
            <w:r/>
            <w:r>
              <w:rPr>
                <w:rFonts w:ascii="Arial" w:hAnsi="Arial"/>
                <w:sz w:val="20"/>
              </w:rPr>
              <w:t>– Integreert verantwoordelijkheden inzake AI-gebruik in selectie in functieprofielen, opleidingen, auditpraktijken en kwaliteitsbewaking.</w:t>
            </w:r>
          </w:p>
          <w:p>
            <w:pPr>
              <w:spacing w:after="60"/>
              <w:ind w:left="360"/>
            </w:pPr>
            <w:r/>
            <w:r>
              <w:rPr>
                <w:rFonts w:ascii="Arial" w:hAnsi="Arial"/>
                <w:sz w:val="20"/>
              </w:rPr>
              <w:t>– Ziet erop toe dat interne procedures voorzien in menselijke tussenkomst, herbeoordeling en duidelijke escalatie wanneer AI-uitkomsten worden betwist.</w:t>
            </w:r>
          </w:p>
          <w:p>
            <w:pPr>
              <w:spacing w:after="60"/>
              <w:ind w:left="360"/>
            </w:pPr>
            <w:r/>
            <w:r>
              <w:rPr>
                <w:rFonts w:ascii="Arial" w:hAnsi="Arial"/>
                <w:sz w:val="20"/>
              </w:rPr>
              <w:t>– Anticipeert op ontwikkelingen in regelgeving, rechtspraak en professionele normen met betrekking tot hoog-risico-AI in arbeid en selectie, en actualiseert het interne kader proactief.</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r/>
            <w:r>
              <w:rPr>
                <w:rFonts w:ascii="Arial" w:hAnsi="Arial"/>
                <w:b/>
                <w:sz w:val="20"/>
              </w:rPr>
              <w:t>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
              <w:rPr>
                <w:rFonts w:ascii="Arial" w:hAnsi="Arial"/>
                <w:sz w:val="20"/>
              </w:rPr>
              <w:t>Deze competentie hoort primair thuis in Cluster I omdat haar kern niet technisch maar normatief is: zij veronderstelt een consequente oriëntatie op gelijke behandeling, zorgvuldigheid, objectiviteit en verantwoordelijkheid in processen die een grote impact hebben op de rechtspositie van kandidaten. Zij sluit daarom inhoudelijk aan bij Betrouwbaarheid en Samenwerken uit het Competentiewoordenboek Vlaamse Overheid.</w:t>
            </w:r>
          </w:p>
          <w:p>
            <w:pPr>
              <w:spacing w:after="100"/>
            </w:pPr>
            <w:r/>
            <w:r>
              <w:rPr>
                <w:rFonts w:ascii="Arial" w:hAnsi="Arial"/>
                <w:sz w:val="20"/>
              </w:rPr>
              <w:t>De competentie vult een specifieke lacune in versie 3.1 van dit addendum. Waar Kritisch en verantwoord samenwerken met AI (Cluster V) het algemene professionele gebruik van AI behandelt, en Transparante AI-communicatie (Cluster III) de informatieplicht jegens betrokkenen operationaliseert, beschrijft deze competentie het observeerbare gedrag dat nodig is wanneer AI-systemen worden ingezet in selectie- en wervingsprocessen.</w:t>
            </w:r>
          </w:p>
          <w:p>
            <w:pPr>
              <w:spacing w:after="100"/>
            </w:pPr>
            <w:r/>
            <w:r>
              <w:rPr>
                <w:rFonts w:ascii="Arial" w:hAnsi="Arial"/>
                <w:sz w:val="20"/>
              </w:rPr>
              <w:t>De keuze voor een afzonderlijke competentie is gemotiveerd door de bijzondere gevoeligheid van dit toepassingsdomein. De EU AI Act kwalificeert AI-systemen voor rekrutering, filtering van sollicitaties en evaluatie van kandidaten als hoog-risico-toepassingen, en verbiedt systemen voor emotieherkenning in situaties die verband houden met de werkplek, behoudens beperkte uitzonderingen. Vanuit gedragsmatig oogpunt impliceert dit dat HR-professionals en leidinggevenden niet alleen AI-geletterd moeten zijn, maar ook aantoonbaar moeten handelen op een wijze die menselijke controle, billijkheid en tegenspraak waarborgt.</w:t>
            </w:r>
          </w:p>
        </w:tc>
      </w:tr>
    </w:tbl>
    <w:p>
      <w:r>
        <w:br w:type="page"/>
      </w:r>
    </w:p>
    <w:p>
      <w:pPr>
        <w:pStyle w:val="Heading1"/>
        <w:spacing w:after="200" w:before="400"/>
      </w:pPr>
      <w:r>
        <w:rPr>
          <w:rFonts w:ascii="Arial" w:cs="Arial" w:eastAsia="Arial" w:hAnsi="Arial"/>
          <w:b/>
          <w:bCs/>
          <w:sz w:val="28"/>
          <w:szCs w:val="28"/>
        </w:rPr>
        <w:t xml:space="preserve">Cluster III — Interpersoonlijk gedrag</w:t>
      </w:r>
    </w:p>
    <w:p>
      <w:pPr>
        <w:pStyle w:val="Heading2"/>
        <w:spacing w:after="200" w:before="300"/>
      </w:pPr>
      <w:r>
        <w:rPr>
          <w:rFonts w:ascii="Arial" w:cs="Arial" w:eastAsia="Arial" w:hAnsi="Arial"/>
          <w:b/>
          <w:bCs/>
          <w:sz w:val="24"/>
          <w:szCs w:val="24"/>
        </w:rPr>
        <w:t xml:space="preserve">Transparante AI-communicatie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Transparante AI-communicatie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actief en tijdig meedelen aan betrokkenen — collega's, kandidaten, medewerkers of burgers — dat een proces of beslissing die hen aangaat gebruikmaakt van AI-systemen, en het helder uitleggen van de aard, het doel en de grenzen van dat gebruik, zodat de betrokkenen hun rechten kunnen uitoefenen en hun eigen beoordeling kunnen vormen.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III — Interpersoonlijk gedrag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Erkent dat AI-gebruik aan de betrokkene moet worden meegedeeld en doet dit in afgebakende, eenvoudige situaties.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Vermeldt duidelijk wanneer een tekst, analyse of beslissingsadvies met behulp van een AI-tool is opgesteld.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Informeert gesprekspartners aan het begin van een interactie wanneer AI een rol speelt in het proces dat hen betreft.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eenvoudige, toegankelijke taal om het gebruik van AI uit te leggen, zonder technisch jargon.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Verwijst bij vragen over AI-gebruik naar de interne functie of richtlijn die verdere uitleg kan verstrekken.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Onthoudt zich van formuleringen die de rol van AI minimaliseren of verhullen.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Biedt aanvullende informatie aan wanneer de eigen uitleg over AI-gebruik voor de gesprekspartner onvoldoende blijkt.</w:t>
            </w:r>
          </w:p>
          <w:p>
            <w:pPr>
              <w:spacing w:after="100" w:before="200"/>
            </w:pPr>
            <w:r>
              <w:rPr>
                <w:rFonts w:ascii="Arial" w:cs="Arial" w:eastAsia="Arial" w:hAnsi="Arial"/>
                <w:b/>
                <w:bCs/>
                <w:sz w:val="20"/>
                <w:szCs w:val="20"/>
              </w:rPr>
              <w:t xml:space="preserve">II.	Past de uitleg van AI-gebruik aan aan de context, de doelgroep en de reikwijdte van het gebruik.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Past de diepgang en vorm van de uitleg aan aan het kennisniveau en de belangen van de gesprekspartner.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Benoemt niet alleen het feit van AI-gebruik maar ook het specifieke doel ervan in het proces, zoals eerste screening, tekstsamenvatting of beslissingsondersteuning.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Maakt het onderscheid duidelijk tussen AI-ondersteunde en louter menselijke onderdelen van een proces of beslissing.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Informeert kandidaten, medewerkers of burgers over de mogelijke gevolgen van AI-gebruik voor hun dossier of positie.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Wijst gesprekspartners actief op hun rechten (bezwaar, uitleg, menselijke tussenkomst) wanneer AI-gebruik hen rechtstreeks raakt.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Documenteert de verstrekte informatie in het dossier, zodat traceerbaar blijft wat wanneer werd meegedeeld.</w:t>
            </w:r>
          </w:p>
          <w:p>
            <w:pPr>
              <w:spacing w:after="100" w:before="200"/>
            </w:pPr>
            <w:r>
              <w:rPr>
                <w:rFonts w:ascii="Arial" w:cs="Arial" w:eastAsia="Arial" w:hAnsi="Arial"/>
                <w:b/>
                <w:bCs/>
                <w:sz w:val="20"/>
                <w:szCs w:val="20"/>
              </w:rPr>
              <w:t xml:space="preserve">III.	Anticipeert op communicatiebehoeften en integreert transparantieprincipes in de eigen werkwijze.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Voorziet, voorafgaand aan het starten van een proces met AI-elementen, in een communicatieplan dat de verschillende betrokkenen en hun informatiebehoeften identificeert.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situaties waarin standaardinformatie over AI-gebruik ontoereikend is en formuleert gerichte aanvullende uitleg.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Adresseert openlijk de grenzen en onzekerheden van het AI-systeem in de communicatie, in plaats van een schijnbare precisie te suggereren.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Begeleidt collega's die moeilijke transparantiegesprekken moeten voeren, zoals gesprekken over ongunstige AI-gebaseerde beoordelingen.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Reageert op scepticisme, angst of verwarring over AI-gebruik met geduld en feitelijke uitleg, zonder defensief te worden.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elk transparantiegesprek als gelegenheid om het vertrouwen tussen organisatie en betrokkene te versterken.</w:t>
            </w:r>
          </w:p>
          <w:p>
            <w:pPr>
              <w:spacing w:after="100" w:before="200"/>
            </w:pPr>
            <w:r>
              <w:rPr>
                <w:rFonts w:ascii="Arial" w:cs="Arial" w:eastAsia="Arial" w:hAnsi="Arial"/>
                <w:b/>
                <w:bCs/>
                <w:sz w:val="20"/>
                <w:szCs w:val="20"/>
              </w:rPr>
              <w:t xml:space="preserve">IV.	Ontwikkelt en verankert transparantiepraktijken op organisatieniveau en bereidt de organisatie voor op veranderende verplichtingen.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Ontwikkelt of draagt bij aan organisatiebrede standaarden voor AI-transparantiecommunicatie, zoals sjablonen, gespreksprotocollen en opleidingen.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Integreert AI-transparantiecommunicatie in bestaande HR-processen: aanwerving, evaluatie, beëindiging van de arbeidsrelatie en klachtenbehandeling.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Traint leidinggevenden en frontline-medewerkers in het voeren van AI-transparantiegesprekken met verschillende doelgroepen.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Bewaakt de consistentie tussen de externe communicatie over AI-gebruik en de werkelijke praktijken in de organisatie.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Evalueert periodiek de doeltreffendheid van de transparantiecommunicatie aan de hand van feedback van betrokkenen en past de standaarden op die basis aan.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evolutie van de regelgeving (EU AI Act, nationale omzettingen, sectorale gedragscodes) en actualiseert de interne standaarden proactief.</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operationaliseert de transparantieverplichtingen van de EU AI Act (in het bijzonder art. 50) en het UNESCO-principe Transparency and explainability (2021) als observeerbare interpersoonlijke handelingen. Waar de klassieke communicatiecompetenties van Cluster III (Mondelinge uitdrukkingsvaardigheid, Luisteren, Overtuigingskracht, Schriftelijke uitdrukkingsvaardigheid) een algemene relationele bekwaamheid beschrijven, richt deze competentie zich specifiek op het mededelen van AI-gebruik in situaties waarin een kennisasymmetrie het oordeelsvermogen of de rechten van de gesprekspartner kan bedreigen.</w:t>
            </w:r>
          </w:p>
          <w:p>
            <w:pPr>
              <w:spacing w:after="100"/>
            </w:pPr>
            <w:r>
              <w:rPr>
                <w:rFonts w:ascii="Arial" w:cs="Arial" w:eastAsia="Arial" w:hAnsi="Arial"/>
                <w:sz w:val="20"/>
                <w:szCs w:val="20"/>
              </w:rPr>
              <w:t xml:space="preserve">Het Competentiewoordenboek Vlaamse Overheid (2003/2013) bevat geen competentie die transparantie over AI-gebruik als interpersoonlijke handeling operationaliseert; het Ethisch AI-Geletterdheidskader (2025) behandelt transparantie als attitude (Verantwoord en ethisch handelen in AI, sectie 4.3) maar graduaert haar niet in observeerbare interpersoonlijke indicatoren. De competentie is de directe gedragsmatige vertaling van de EU AI Act art. 50 (transparantieverplichtingen van deployers). Algemene toepasselijkheid van art. 50 vanaf 2 augustus 2026.</w:t>
            </w:r>
          </w:p>
        </w:tc>
      </w:tr>
    </w:tbl>
    <w:p>
      <w:r>
        <w:br w:type="page"/>
      </w:r>
    </w:p>
    <w:p>
      <w:pPr>
        <w:pStyle w:val="Heading1"/>
        <w:spacing w:after="200" w:before="400"/>
      </w:pPr>
      <w:r>
        <w:rPr>
          <w:rFonts w:ascii="Arial" w:cs="Arial" w:eastAsia="Arial" w:hAnsi="Arial"/>
          <w:b/>
          <w:bCs/>
          <w:sz w:val="28"/>
          <w:szCs w:val="28"/>
        </w:rPr>
        <w:t xml:space="preserve">Cluster IV — Omgaan met informatie</w:t>
      </w:r>
    </w:p>
    <w:p>
      <w:pPr>
        <w:pStyle w:val="Heading2"/>
        <w:spacing w:after="200" w:before="300"/>
      </w:pPr>
      <w:r>
        <w:rPr>
          <w:rFonts w:ascii="Arial" w:cs="Arial" w:eastAsia="Arial" w:hAnsi="Arial"/>
          <w:b/>
          <w:bCs/>
          <w:sz w:val="24"/>
          <w:szCs w:val="24"/>
        </w:rPr>
        <w:t xml:space="preserve">Kritische bronbeoordeling in een AI-verrijkte informatieomgeving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Kritische bronbeoordeling in een AI-verrijkte informatieomgeving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kritisch evalueren van de herkomst, betrouwbaarheid en authenticiteit van informatie in een omgeving waarin AI-systemen in toenemende mate inhoud genereren, herschrijven, combineren of vertalen, met bijzondere aandacht voor het onderscheiden van menselijke en synthetische bronnen en voor het opsporen van mogelijke vertekeningen of fabricaties.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IV — Omgaan met informatie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Herkent dat informatie in een werkcontext afkomstig kan zijn van menselijke of AI-bronnen en controleert de herkomst voordat de informatie wordt gebruikt.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Onderzoekt de oorspronkelijke bron van een ontvangen document, citaat of gegeven voordat het in een beslissing wordt verwerkt.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formele signalen die kunnen wijzen op AI-generatie, zoals stijlkenmerken, ontbrekende bronnen of vage verwijzingen.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Controleert specifieke feitelijke beweringen (cijfers, data, namen, gebeurtenissen) aan de hand van een onafhankelijke bron.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Onderscheidt in een document de beweringen die zijn gestaafd door een traceerbare bron en de beweringen die niet zijn onderbouwd.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AI-gegenereerde teksten niet rechtstreeks als bron voor eigen producties zonder voorafgaande controle.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Informeert zich over de beperkingen van AI-systemen inzake feitelijke correctheid, zoals hallucinatie, verouderde gegevens en vertekening.</w:t>
            </w:r>
          </w:p>
          <w:p>
            <w:pPr>
              <w:spacing w:after="100" w:before="200"/>
            </w:pPr>
            <w:r>
              <w:rPr>
                <w:rFonts w:ascii="Arial" w:cs="Arial" w:eastAsia="Arial" w:hAnsi="Arial"/>
                <w:b/>
                <w:bCs/>
                <w:sz w:val="20"/>
                <w:szCs w:val="20"/>
              </w:rPr>
              <w:t xml:space="preserve">II.	Beoordeelt informatie systematisch door triangulatie en door haar in haar context te plaatsen.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Verifieert kritieke informatie aan de hand van ten minste twee onafhankelijke bronnen voordat ze in het eigen werk wordt opgenomen.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Beoordeelt de waarschijnlijkheid dat een bron door AI is gegenereerd of bewerkt en past de mate van vertrouwen daarop aan.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in een AI-verrijkte omgeving het verschil tussen primaire bronnen (oorspronkelijk materiaal) en secundaire bronnen (samenvattingen, vertalingen, synthesen).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Onderkent dat vertalingen, samenvattingen en herformuleringen door AI-systemen systematische vertekeningen kunnen introduceren.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Documenteert het gevolgde verificatietraject, zodat het achteraf reproduceerbaar is.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de zoekfuncties van AI-systemen bewust en vergelijkt hun output met traditionele zoekmethoden.</w:t>
            </w:r>
          </w:p>
          <w:p>
            <w:pPr>
              <w:spacing w:after="100" w:before="200"/>
            </w:pPr>
            <w:r>
              <w:rPr>
                <w:rFonts w:ascii="Arial" w:cs="Arial" w:eastAsia="Arial" w:hAnsi="Arial"/>
                <w:b/>
                <w:bCs/>
                <w:sz w:val="20"/>
                <w:szCs w:val="20"/>
              </w:rPr>
              <w:t xml:space="preserve">III.	Past een methodische bronnenkritiek toe in dossiers waarin informatie uit meerdere, deels AI-gegenereerde bronnen moet worden geïntegreerd.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Stelt voor complexe dossiers een expliciete bronnenhiërarchie op (primair, secundair, synthetisch) en documenteert ze.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patronen van circulaire citatie, waarbij meerdere bronnen uiteindelijk dezelfde oorspronkelijke, al dan niet betrouwbare bewering herhalen.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Detecteert geavanceerde vormen van synthetische inhoud, zoals gefabriceerde statistieken, gehallucineerde referenties of misleidende samenvattingen.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Weegt bronnen af op hun methodologische transparantie en niet alleen op hun oppervlakkige autoriteit.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Gebruikt AI-tools om bronnen te kruisverifiëren, met volledig bewustzijn van de circulariteitsrisico's.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Begeleidt collega's in de beoordeling van twijfelachtige bronnen zonder hun oordeelsvermogen over te nemen.</w:t>
            </w:r>
          </w:p>
          <w:p>
            <w:pPr>
              <w:spacing w:after="100" w:before="200"/>
            </w:pPr>
            <w:r>
              <w:rPr>
                <w:rFonts w:ascii="Arial" w:cs="Arial" w:eastAsia="Arial" w:hAnsi="Arial"/>
                <w:b/>
                <w:bCs/>
                <w:sz w:val="20"/>
                <w:szCs w:val="20"/>
              </w:rPr>
              <w:t xml:space="preserve">IV.	Ontwikkelt de bronnencultuur van de organisatie in een context van toenemende synthetische inhoud.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Ontwikkelt of draagt bij aan organisatiebrede richtlijnen voor bronnenkritiek in een AI-verrijkte omgeving.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Bouwt opleidingstrajecten op voor collega's in kritische bronbeoordeling, afgestemd op de eigen sectorale context.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Adviseert het management over de betrouwbaarheid van informatiestromen die door AI-systemen worden gegenereerd of bewerkt.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Evalueert de kwaliteit van interne informatieproducten aan de hand van criteria van bronnentraceerbaarheid.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Bewaakt dat beslissingen op het niveau van de organisatie niet worden gebaseerd op onvoldoende geverifieerde, door AI gegenereerde analyses.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evolutie van synthetische inhoud (deepfakes, gefabriceerde citaten, automatische vertaling) en actualiseert de interne verificatieprocessen proactief.</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is een uitbreiding van Analytisch denken (probleemanalyse) uit het Competentiewoordenboek Vlaamse Overheid (2003, Cluster IV) en van het domein Information and data literacy van DigComp 2.2. Het Ethisch AI-Geletterdheidskader (2025) behandelt in sectie 6.8 (AI beoordelen) de evaluatie van AI-systemen als technische objecten, maar graduaert de kritische beoordeling van door AI gegenereerde inhoud als werkpraktijk niet in observeerbare indicatoren.</w:t>
            </w:r>
          </w:p>
          <w:p>
            <w:pPr>
              <w:spacing w:after="100"/>
            </w:pPr>
            <w:r>
              <w:rPr>
                <w:rFonts w:ascii="Arial" w:cs="Arial" w:eastAsia="Arial" w:hAnsi="Arial"/>
                <w:sz w:val="20"/>
                <w:szCs w:val="20"/>
              </w:rPr>
              <w:t xml:space="preserve">De eigen contributie bestaat uit de expliciete aandacht voor twee fenomenen die eigen zijn aan AI-verrijkte informatieomgevingen: circulaire citatie tussen synthetische bronnen en het risico van gefabriceerde of gehallucineerde inhoud die oppervlakkig gezaghebbend oogt. Zij operationaliseert tevens de verplichting voor deployers van AI-systemen die inhoud genereren of manipuleren om dit kenbaar te maken (EU AI Act, art. 50 lid 4).</w:t>
            </w:r>
          </w:p>
        </w:tc>
      </w:tr>
    </w:tbl>
    <w:p>
      <w:r>
        <w:br w:type="page"/>
      </w:r>
    </w:p>
    <w:p>
      <w:pPr>
        <w:pStyle w:val="Heading1"/>
        <w:spacing w:after="200" w:before="400"/>
      </w:pPr>
      <w:r>
        <w:rPr>
          <w:rFonts w:ascii="Arial" w:cs="Arial" w:eastAsia="Arial" w:hAnsi="Arial"/>
          <w:b/>
          <w:bCs/>
          <w:sz w:val="28"/>
          <w:szCs w:val="28"/>
        </w:rPr>
        <w:t xml:space="preserve">Cluster V — Probleemoplossend gedrag</w:t>
      </w:r>
    </w:p>
    <w:p>
      <w:pPr>
        <w:pStyle w:val="Heading2"/>
        <w:spacing w:after="200" w:before="300"/>
      </w:pPr>
      <w:r>
        <w:rPr>
          <w:rFonts w:ascii="Arial" w:cs="Arial" w:eastAsia="Arial" w:hAnsi="Arial"/>
          <w:b/>
          <w:bCs/>
          <w:sz w:val="24"/>
          <w:szCs w:val="24"/>
        </w:rPr>
        <w:t xml:space="preserve">Kritisch en verantwoord samenwerken met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Kritisch en verantwoord samenwerken met AI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doelgericht inzetten van AI-tools ter ondersteuning van de eigen professionele taakuitvoering, waarbij de mens de regie behoudt over oordeel, ethische afweging en strategische beslissing, en de grenzen en risico's van AI actief worden herkend en beheerd.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V — Probleemoplossend gedrag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Staat open voor AI-tools en gebruikt ze voor eenvoudige, afgebakende taken met begeleiding.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Identificeert beschikbare AI-tools die relevant zijn voor de eigen functie en verkent hun basisgebruik.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Experimenteert met AI voor routinetaken, zoals het opstellen van een eerste tekstdraft of het samenvatten van informatie.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Onderscheidt in de eigen taken welke elementen aan AI kunnen worden toevertrouwd en welke het eigen professionele oordeel vereisen.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Controleert AI-outputs systematisch op feitelijke correctheid voordat ze verder worden gebruikt.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Voert geen vertrouwelijke of persoonsgegevens in in AI-tools die daarvoor niet zijn goedgekeurd.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Vraagt om uitleg of begeleiding wanneer de grenzen van een AI-tool onduidelijk zijn.</w:t>
            </w:r>
          </w:p>
          <w:p>
            <w:pPr>
              <w:spacing w:after="100" w:before="200"/>
            </w:pPr>
            <w:r>
              <w:rPr>
                <w:rFonts w:ascii="Arial" w:cs="Arial" w:eastAsia="Arial" w:hAnsi="Arial"/>
                <w:b/>
                <w:bCs/>
                <w:sz w:val="20"/>
                <w:szCs w:val="20"/>
              </w:rPr>
              <w:t xml:space="preserve">II.	Formuleert gerichte AI-verzoeken en evalueert de outputs kritisch in functie van de concrete werksituatie.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Formuleert heldere, gecontextualiseerde prompts die zijn afgestemd op de specifieke professionele situatie.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Past de prompt iteratief aan op basis van de kwaliteit van het ontvangen antwoord.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Beoordeelt de betrouwbaarheid van AI-outputs aan de hand van meerdere criteria: feitelijke juistheid, interne consistentie en contextuele relevantie.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Wijst bewust specifieke deeltaken toe aan AI en behoudt de integratie en eindbeoordeling voor zichzelf.</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Past een vast protocol toe voor de anonimisering van persoonsgegevens of gevoelige informatie voordat deze in een AI-prompt wordt verwerkt.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Evalueert nieuwe AI-functionaliteiten kritisch voordat ze in de eigen werkstroom worden geïntegreerd.</w:t>
            </w:r>
          </w:p>
          <w:p>
            <w:pPr>
              <w:spacing w:after="100" w:before="200"/>
            </w:pPr>
            <w:r>
              <w:rPr>
                <w:rFonts w:ascii="Arial" w:cs="Arial" w:eastAsia="Arial" w:hAnsi="Arial"/>
                <w:b/>
                <w:bCs/>
                <w:sz w:val="20"/>
                <w:szCs w:val="20"/>
              </w:rPr>
              <w:t xml:space="preserve">III.	Stuurt het AI-gebruik strategisch aan, bewaakt de eigen redeneervaardigheden en integreert ethische overwegingen systematisch.</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Construeert bewust de informatiecontext die aan AI wordt aangeboden, zodat de output relevant en bruikbaar is voor de specifieke situatie (context engineering).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Onderscheidt in het eigen takenpakket systematisch welke taken door AI betrouwbaar kunnen worden uitgevoerd en welke het menselijk oordeel blijven vereisen, rekening houdend met de ongelijke betrouwbaarheid van AI over taakdomeinen heen.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Reserveert werkmomenten zonder AI-ondersteuning om de eigen analyse- en redeneervaardigheden actief te onderhouden.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Signaleert ethische risico's verbonden aan een specifiek AI-gebruik (zoals algoritmische bias of gebrek aan transparantie) en handelt daarop.</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Trianguleert AI-outputs systematisch met ten minste één onafhankelijke bron voordat zij in een belangrijke beslissing worden geïntegreerd.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Formaliseert de eigen werkwijze bij het gebruik van AI in herbruikbare richtlijnen die door directe collega's kunnen worden toegepast.</w:t>
            </w:r>
          </w:p>
          <w:p>
            <w:pPr>
              <w:spacing w:after="100" w:before="200"/>
            </w:pPr>
            <w:r>
              <w:rPr>
                <w:rFonts w:ascii="Arial" w:cs="Arial" w:eastAsia="Arial" w:hAnsi="Arial"/>
                <w:b/>
                <w:bCs/>
                <w:sz w:val="20"/>
                <w:szCs w:val="20"/>
              </w:rPr>
              <w:t xml:space="preserve">IV.	Herdefinieert de taakverdeling tussen mens en AI op teamniveau, anticipeert op toekomstige ontwikkelingen en draagt bij aan een verantwoorde AI-cultuur in de organisatie.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Analyseert systematisch welke taken binnen het team of de functie door AI kunnen worden overgenomen, en heroriënteert de menselijke toegevoegde waarde naar oordeel, ethiek en strategische beslissing.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Ontwikkelt of draagt bij aan richtlijnen en procedures voor het verantwoord gebruik van AI in de eigen entiteit.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Begeleidt collega's in de ontwikkeling van hun AI-competenties en bewaakt daarbij de instandhouding van zelfstandig redeneren en niet-ondersteunde taakuitvoering.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impact van toekomstige AI-ontwikkelingen op de functie-inhoud en past het functieprofiel of de taakverdeling proactief aan.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Bewaakt de menselijke regie over beslissingen met grote impact op personen of organisatie, ook wanneer AI-analyses beschikbaar zijn (conform EU AI Act, art. 14).</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Signaleert niet-gedeclareerd AI-gebruik in het eigen werk of team aan de functie die verantwoordelijk is voor AI-begeleiding, als input voor verder beleid.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vult een structurele lacune aan in het Competentiewoordenboek van de Vlaamse Overheid (versie 2.1, 2003; herziene versie 2013), dat geen competenties bevat met betrekking tot het gebruik van digitale of AI-tools. Het professionele gebruik van AI is primair een instrument voor probleemoplossing onder complexe, tijdsgevoelige en ethisch geladen omstandigheden; de competentie sluit daarom aan bij Besluitvaardigheid en Flexibel gedrag (beide in Cluster V) en vult die aan met een dimensie die het klassieke woordenboek structureel mist: het behoud van menselijke regie in mens-machine samenwerking.</w:t>
            </w:r>
          </w:p>
          <w:p>
            <w:pPr>
              <w:spacing w:after="100"/>
            </w:pPr>
            <w:r>
              <w:rPr>
                <w:rFonts w:ascii="Arial" w:cs="Arial" w:eastAsia="Arial" w:hAnsi="Arial"/>
                <w:sz w:val="20"/>
                <w:szCs w:val="20"/>
              </w:rPr>
              <w:t xml:space="preserve">Zij operationaliseert de verplichting tot AI-geletterdheid (EU AI Act, art. 4) en tot menselijk toezicht (art. 14) als observeerbare gedragsindicatoren. Zij complementeert het Ethisch AI-Geletterdheidskader voor overheden (UNESCO &amp; Digitaal Vlaanderen, december 2025) op vier punten: (1) van generiek naar functioneel — de gedragsindicatoren zijn observeerbaar in een concrete professionele context, wat ze geschikt maakt voor gebruik in een assessment center; (2) van sectoraal naar transversaal — de competentie is ingebed in het klassieke woordenboek en overstijgt daardoor de publieke sector; (3) van drie naar vier niveaus — een fijnere progressie, conform de logica van het Competentiewoordenboek van de Vlaamse Overheid; (4) metacognitieve dimensie — het risico van cognitieve ontlasting (cognitive offloading), de noodzaak van productieve niet-ondersteunde inspanning en de ongelijke betrouwbaarheid van AI over taakdomeinen heen zijn dimensies die in het kader van 2025 afwezig zijn maar essentieel blijken voor verantwoord professioneel AI-gebruik.</w:t>
            </w:r>
          </w:p>
        </w:tc>
      </w:tr>
    </w:tbl>
    <w:p>
      <w:r>
        <w:br w:type="page"/>
      </w:r>
    </w:p>
    <w:p>
      <w:pPr>
        <w:pStyle w:val="Heading2"/>
        <w:spacing w:after="200" w:before="300"/>
      </w:pPr>
      <w:r>
        <w:rPr>
          <w:rFonts w:ascii="Arial" w:cs="Arial" w:eastAsia="Arial" w:hAnsi="Arial"/>
          <w:b/>
          <w:bCs/>
          <w:sz w:val="24"/>
          <w:szCs w:val="24"/>
        </w:rPr>
        <w:t xml:space="preserve">Oordelen en beslissen bij AI-ondersteunde aanbevelingen onder onzekerheid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Competentie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Oordelen en beslissen bij AI-ondersteunde aanbevelingen onder onzekerheid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Definitie</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Het autonoom nemen van beslissingen onder onzekerheid wanneer een AI-systeem een aanbeveling heeft geformuleerd, waarbij de medewerker de aanbeveling kritisch afweegt, het eigen oordeel expliciet vormt, en de grond voor het volgen, nuanceren of contradiceren van de aanbeveling traceerbaar documenteert.</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Cluster</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sz w:val="20"/>
                <w:szCs w:val="20"/>
              </w:rPr>
              <w:t xml:space="preserve">Cluster V — Probleemoplossend gedrag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Indicatoren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before="200"/>
            </w:pPr>
            <w:r>
              <w:rPr>
                <w:rFonts w:ascii="Arial" w:cs="Arial" w:eastAsia="Arial" w:hAnsi="Arial"/>
                <w:b/>
                <w:bCs/>
                <w:sz w:val="20"/>
                <w:szCs w:val="20"/>
              </w:rPr>
              <w:t xml:space="preserve">I.	Neemt beslissingen in eenvoudige situaties waarin een AI-aanbeveling beschikbaar is en beoordeelt die aanbeveling bewust voordat ze wordt gevolgd.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Leest de AI-aanbeveling volledig door voordat een beslissing wordt genomen, in plaats van ze automatisch over te nemen.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Benoemt expliciet of de eigen beslissing al dan niet overeenkomt met de AI-aanbeveling.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Vraagt om uitleg of aanvullende informatie wanneer de AI-aanbeveling onverwacht of onduidelijk is.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Onderscheidt in de eigen beslissing welke elementen op eigen kennis zijn gebaseerd en welke op de AI-aanbeveling.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Noteert de genomen beslissing en de bron van de aanbeveling in het dossier of logboek.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Raadpleegt een collega of leidinggevende wanneer de beslissing belangrijke gevolgen heeft en de AI-aanbeveling niet evident is.</w:t>
            </w:r>
          </w:p>
          <w:p>
            <w:pPr>
              <w:spacing w:after="100" w:before="200"/>
            </w:pPr>
            <w:r>
              <w:rPr>
                <w:rFonts w:ascii="Arial" w:cs="Arial" w:eastAsia="Arial" w:hAnsi="Arial"/>
                <w:b/>
                <w:bCs/>
                <w:sz w:val="20"/>
                <w:szCs w:val="20"/>
              </w:rPr>
              <w:t xml:space="preserve">II.	Beoordeelt AI-aanbevelingen systematisch aan de hand van expliciete criteria en neemt beslissingen in routinematige situaties autonoom.</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Beoordeelt AI-aanbevelingen aan de hand van vooraf bepaalde criteria zoals relevantie, volledigheid, overeenstemming met het dossier en consistentie met eerder besliste gevallen.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Identificeert situaties waarin het AI-systeem buiten zijn normale werkingsdomein functioneert en geeft daaraan minder gewicht in de beslissing.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Documenteert de overwegingen die hebben geleid tot het volgen of afwijken van een AI-aanbeveling.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Brengt afwijkingen tussen het eigen oordeel en de AI-aanbeveling aan het licht in plaats van ze stilzwijgend op te lossen.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Zoekt actief naar aanvullende informatiebronnen wanneer de AI-aanbeveling onvoldoende basis biedt voor een beslissing.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de eigen neiging tot automatische overname (automation bias) of tot systematische afwijzing (algorithm aversion) en weegt die bewust tegen.</w:t>
            </w:r>
          </w:p>
          <w:p>
            <w:pPr>
              <w:spacing w:after="100" w:before="200"/>
            </w:pPr>
            <w:r>
              <w:rPr>
                <w:rFonts w:ascii="Arial" w:cs="Arial" w:eastAsia="Arial" w:hAnsi="Arial"/>
                <w:b/>
                <w:bCs/>
                <w:sz w:val="20"/>
                <w:szCs w:val="20"/>
              </w:rPr>
              <w:t xml:space="preserve">III.	Neemt beslissingen in situaties waarin onzekerheid en impact hoog zijn, en arbitreert tussen eigen oordeel en AI-aanbeveling op verantwoorde wijze.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Neemt beslissingen waarvan de gevolgen niet eenduidig in te schatten zijn en expliciteert de mate van onzekerheid in de eindbeslissing.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Contradiceert de AI-aanbeveling wanneer het eigen professionele oordeel daartoe aanleiding geeft, en onderbouwt dit met feitelijke en ethische argumenten.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Herkent situaties waarin de AI-aanbeveling discriminerende, onvolledige of bevooroordeelde elementen bevat en handelt daarop.</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Draagt de verantwoordelijkheid voor de eindbeslissing, ongeacht of de AI-aanbeveling werd gevolgd of verworpen.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Zorgt ervoor dat de beslissing en het redeneerproces ernaartoe achteraf door een derde reconstrueerbaar zijn.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Communiceert naar betrokkenen over beslissingen die afwijken van de oorspronkelijke AI-aanbeveling, zonder daarbij de rol van AI te verhullen of uit te vergroten.</w:t>
            </w:r>
          </w:p>
          <w:p>
            <w:pPr>
              <w:spacing w:after="100" w:before="200"/>
            </w:pPr>
            <w:r>
              <w:rPr>
                <w:rFonts w:ascii="Arial" w:cs="Arial" w:eastAsia="Arial" w:hAnsi="Arial"/>
                <w:b/>
                <w:bCs/>
                <w:sz w:val="20"/>
                <w:szCs w:val="20"/>
              </w:rPr>
              <w:t xml:space="preserve">IV.	Herinricht beslissingsprocessen op organisatieniveau zodat menselijk oordeel en AI-aanbevelingen samen functioneren.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Ontwerpt of draagt bij aan beslissingsprotocollen die de rol van AI-aanbevelingen, de criteria voor afwijking en de traceerbaarheidsverplichtingen expliciet maken.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Zorgt voor opleiding van beslissers zodat zij AI-aanbevelingen kritisch kunnen interpreteren zonder te vervallen in blinde volgzaamheid of reflexmatige afwijzing.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Evalueert periodiek de kwaliteit van beslissingen die met AI-ondersteuning zijn genomen, zowel op uitkomst als op redeneerproces.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Adviseert het management over de inbedding van menselijk toezicht in beslissingsprocessen, conform de vereisten van de EU AI Act.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Stelt rapporteringssystemen op die afwijkingen tussen AI-aanbeveling en uiteindelijke beslissing structureel in kaart brengen.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Anticipeert op de evolutie van AI-systemen in beslissingsondersteuning en past de interne oordeelsprocessen proactief aan.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72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00"/>
            </w:pPr>
            <w:r>
              <w:rPr>
                <w:rFonts w:ascii="Arial" w:cs="Arial" w:eastAsia="Arial" w:hAnsi="Arial"/>
                <w:sz w:val="20"/>
                <w:szCs w:val="20"/>
              </w:rPr>
              <w:t xml:space="preserve">Deze competentie complementeert Besluitvaardigheid (Cluster V, Competentiewoordenboek Vlaamse Overheid 2003) met een dimensie die tot voor kort niet relevant was: het nemen van beslissingen wanneer een AI-systeem al een voorstel heeft geformuleerd. De sociotechnische literatuur (Raisch &amp; Krakowski, 2021) wijst erop dat automatisering en augmentatie geen alternatieven vormen maar een interdependentie die actief moet worden gemanaged.</w:t>
            </w:r>
          </w:p>
          <w:p>
            <w:pPr>
              <w:spacing w:after="100"/>
            </w:pPr>
            <w:r>
              <w:rPr>
                <w:rFonts w:ascii="Arial" w:cs="Arial" w:eastAsia="Arial" w:hAnsi="Arial"/>
                <w:sz w:val="20"/>
                <w:szCs w:val="20"/>
              </w:rPr>
              <w:t xml:space="preserve">Twee symmetrische risico's bedreigen het oordeelsproces: blinde volgzaamheid aan algoritmische aanbevelingen (automation bias) enerzijds, en een reflex van afwijzing zonder onderbouwing (algorithm aversion) anderzijds. Deze competentie operationaliseert de verplichting tot menselijk toezicht (EU AI Act, art. 14) als observeerbaar beslissingsgedrag en niet als abstracte verplichting. De eigen contributie bestaat uit de expliciete aandacht voor beide symmetrische risico's — dimensies die in de literatuur erkend worden maar zelden samen in een competentiekader geoperationaliseerd worden.</w:t>
            </w:r>
          </w:p>
        </w:tc>
      </w:tr>
    </w:tbl>
    <w:p>
      <w:r>
        <w:br w:type="page"/>
      </w:r>
    </w:p>
    <w:p>
      <w:pPr>
        <w:pStyle w:val="Heading1"/>
        <w:spacing w:after="200" w:before="400"/>
      </w:pPr>
      <w:r>
        <w:rPr>
          <w:rFonts w:ascii="Arial" w:cs="Arial" w:eastAsia="Arial" w:hAnsi="Arial"/>
          <w:b/>
          <w:bCs/>
          <w:sz w:val="28"/>
          <w:szCs w:val="28"/>
        </w:rPr>
        <w:t xml:space="preserve">Bibliografie</w:t>
      </w:r>
    </w:p>
    <w:p>
      <w:pPr>
        <w:spacing w:after="120"/>
        <w:ind w:left="360" w:hanging="360"/>
      </w:pPr>
      <w:r>
        <w:rPr>
          <w:rFonts w:ascii="Arial" w:cs="Arial" w:eastAsia="Arial" w:hAnsi="Arial"/>
          <w:sz w:val="20"/>
          <w:szCs w:val="20"/>
        </w:rPr>
        <w:t xml:space="preserve">Dell'Acqua, F., McFowland III, E., Mollick, E. R., Lifshitz-Assaf, H., Kellogg, K., Rajendran, S., ... &amp; Lakhani, K. R. (2023). Navigating the Jagged Technological Frontier: Field Experimental Evidence of the Effects of AI on Knowledge Worker Productivity and Quality. Harvard Business School Technology &amp; Operations Mgt. Unit Working Paper No. 24-013.</w:t>
      </w:r>
    </w:p>
    <w:p>
      <w:pPr>
        <w:spacing w:after="120"/>
        <w:ind w:left="360" w:hanging="360"/>
      </w:pPr>
      <w:r>
        <w:rPr>
          <w:rFonts w:ascii="Arial" w:cs="Arial" w:eastAsia="Arial" w:hAnsi="Arial"/>
          <w:sz w:val="20"/>
          <w:szCs w:val="20"/>
        </w:rPr>
        <w:t xml:space="preserve">Edmondson, A. (1999). Psychological safety and learning behavior in work teams. Administrative Science Quarterly, 44(2), 350–383. DOI: 10.2307/2666999.</w:t>
      </w:r>
    </w:p>
    <w:p>
      <w:pPr>
        <w:spacing w:after="120"/>
        <w:ind w:left="360" w:hanging="360"/>
      </w:pPr>
      <w:r>
        <w:rPr>
          <w:rFonts w:ascii="Arial" w:cs="Arial" w:eastAsia="Arial" w:hAnsi="Arial"/>
          <w:sz w:val="20"/>
          <w:szCs w:val="20"/>
        </w:rPr>
        <w:t xml:space="preserve">Europese Unie. (2024). Verordening (EU) 2024/1689 van het Europees Parlement en de Raad van 13 juni 2024 tot vaststelling van geharmoniseerde regels betreffende artificiële intelligentie (Verordening artificiële intelligentie). Publicatieblad van de Europese Unie, L 2024/1689.</w:t>
      </w:r>
    </w:p>
    <w:p>
      <w:pPr>
        <w:spacing w:after="120"/>
        <w:ind w:left="360" w:hanging="360"/>
      </w:pPr>
      <w:r>
        <w:rPr>
          <w:rFonts w:ascii="Arial" w:cs="Arial" w:eastAsia="Arial" w:hAnsi="Arial"/>
          <w:sz w:val="20"/>
          <w:szCs w:val="20"/>
        </w:rPr>
        <w:t xml:space="preserve">IBM. (2025). What is shadow AI? IBM Think. Geraadpleegd via https://www.ibm.com/think/topics/shadow-ai.</w:t>
      </w:r>
    </w:p>
    <w:p>
      <w:pPr>
        <w:spacing w:after="120"/>
        <w:ind w:left="360" w:hanging="360"/>
      </w:pPr>
      <w:r>
        <w:rPr>
          <w:rFonts w:ascii="Arial" w:cs="Arial" w:eastAsia="Arial" w:hAnsi="Arial"/>
          <w:sz w:val="20"/>
          <w:szCs w:val="20"/>
        </w:rPr>
        <w:t xml:space="preserve">IBM &amp; Ponemon Institute. (2025). Cost of a Data Breach Report 2025. Armonk, NY: IBM Security.</w:t>
      </w:r>
    </w:p>
    <w:p>
      <w:pPr>
        <w:spacing w:after="120"/>
        <w:ind w:left="360" w:hanging="360"/>
      </w:pPr>
      <w:r>
        <w:rPr>
          <w:rFonts w:ascii="Arial" w:cs="Arial" w:eastAsia="Arial" w:hAnsi="Arial"/>
          <w:sz w:val="20"/>
          <w:szCs w:val="20"/>
        </w:rPr>
        <w:t xml:space="preserve">OECD. (2025). Introducing the OECD AI Capability Indicators (beta). Parijs: OECD Publishing.</w:t>
      </w:r>
    </w:p>
    <w:p>
      <w:pPr>
        <w:spacing w:after="120"/>
        <w:ind w:left="360" w:hanging="360"/>
      </w:pPr>
      <w:r>
        <w:rPr>
          <w:rFonts w:ascii="Arial" w:cs="Arial" w:eastAsia="Arial" w:hAnsi="Arial"/>
          <w:sz w:val="20"/>
          <w:szCs w:val="20"/>
        </w:rPr>
        <w:t xml:space="preserve">Parker, S. K., &amp; Grote, G. (2022). Automation, Algorithms, and Beyond: Why Work Design Matters More Than Ever in a Digital World. Applied Psychology, 71(4), 1171–1204. DOI: 10.1111/apps.12241.</w:t>
      </w:r>
    </w:p>
    <w:p>
      <w:pPr>
        <w:spacing w:after="120"/>
        <w:ind w:left="360" w:hanging="360"/>
      </w:pPr>
      <w:r>
        <w:rPr>
          <w:rFonts w:ascii="Arial" w:cs="Arial" w:eastAsia="Arial" w:hAnsi="Arial"/>
          <w:sz w:val="20"/>
          <w:szCs w:val="20"/>
        </w:rPr>
        <w:t xml:space="preserve">Raisch, S., &amp; Krakowski, S. (2021). Artificial Intelligence and Management: The Automation-Augmentation Paradox. Academy of Management Review, 46(1), 192–210. DOI: 10.5465/amr.2018.0072.</w:t>
      </w:r>
    </w:p>
    <w:p>
      <w:pPr>
        <w:spacing w:after="120"/>
        <w:ind w:left="360" w:hanging="360"/>
      </w:pPr>
      <w:r>
        <w:rPr>
          <w:rFonts w:ascii="Arial" w:cs="Arial" w:eastAsia="Arial" w:hAnsi="Arial"/>
          <w:sz w:val="20"/>
          <w:szCs w:val="20"/>
        </w:rPr>
        <w:t xml:space="preserve">UNESCO. (2021). Recommendation on the ethics of artificial intelligence. Parijs: UNESCO.</w:t>
      </w:r>
    </w:p>
    <w:p>
      <w:pPr>
        <w:spacing w:after="120"/>
        <w:ind w:left="360" w:hanging="360"/>
      </w:pPr>
      <w:r>
        <w:rPr>
          <w:rFonts w:ascii="Arial" w:cs="Arial" w:eastAsia="Arial" w:hAnsi="Arial"/>
          <w:sz w:val="20"/>
          <w:szCs w:val="20"/>
        </w:rPr>
        <w:t xml:space="preserve">UNESCO &amp; Digitaal Vlaanderen. (2025). Het Ethisch AI-Geletterdheidskader: competenties voor overheden in Vlaanderen — Competentiewoordenboek. Brussel.</w:t>
      </w:r>
    </w:p>
    <w:p>
      <w:pPr>
        <w:spacing w:after="120"/>
        <w:ind w:left="360" w:hanging="360"/>
      </w:pPr>
      <w:r>
        <w:rPr>
          <w:rFonts w:ascii="Arial" w:cs="Arial" w:eastAsia="Arial" w:hAnsi="Arial"/>
          <w:sz w:val="20"/>
          <w:szCs w:val="20"/>
        </w:rPr>
        <w:t xml:space="preserve">Vlaamse Overheid. (2003). Competentiewoordenboek Vlaamse Overheid, versie 2.1, bijgewerkt tot 10 oktober 2003. Brussel: Agentschap Overheidspersoneel.</w:t>
      </w:r>
    </w:p>
    <w:p>
      <w:pPr>
        <w:spacing w:after="120"/>
        <w:ind w:left="360" w:hanging="360"/>
      </w:pPr>
      <w:r>
        <w:rPr>
          <w:rFonts w:ascii="Arial" w:cs="Arial" w:eastAsia="Arial" w:hAnsi="Arial"/>
          <w:sz w:val="20"/>
          <w:szCs w:val="20"/>
        </w:rPr>
        <w:t xml:space="preserve">Vuorikari, R., Kluzer, S., &amp; Punie, Y. (2022). DigComp 2.2: The Digital Competence Framework for Citizens — With new examples of knowledge, skills and attitudes. JRC128415. Luxemburg: Publicatiebureau van de Europese Unie.</w:t>
      </w:r>
    </w:p>
    <w:p>
      <w:pPr>
        <w:spacing w:after="120"/>
        <w:ind w:left="360" w:hanging="360"/>
      </w:pPr>
      <w:r>
        <w:rPr>
          <w:rFonts w:ascii="Arial" w:cs="Arial" w:eastAsia="Arial" w:hAnsi="Arial"/>
          <w:sz w:val="20"/>
          <w:szCs w:val="20"/>
        </w:rPr>
        <w:t xml:space="preserve">World Economic Forum. (2025). Future of Jobs Report 2025. Genève: World Economic Forum.</w:t>
      </w:r>
    </w:p>
    <w:p>
      <w:r>
        <w:br w:type="page"/>
      </w:r>
    </w:p>
    <w:p>
      <w:pPr>
        <w:pStyle w:val="Heading1"/>
        <w:spacing w:after="200" w:before="400"/>
      </w:pPr>
      <w:r>
        <w:rPr>
          <w:rFonts w:ascii="Arial" w:cs="Arial" w:eastAsia="Arial" w:hAnsi="Arial"/>
          <w:b/>
          <w:bCs/>
          <w:sz w:val="28"/>
          <w:szCs w:val="28"/>
        </w:rPr>
        <w:t xml:space="preserve">Bijlage: Indicatief competentieprofiel per functieniveau</w:t>
      </w:r>
    </w:p>
    <w:p>
      <w:pPr>
        <w:spacing w:after="200"/>
      </w:pPr>
      <w:r>
        <w:rPr>
          <w:rFonts w:ascii="Arial" w:cs="Arial" w:eastAsia="Arial" w:hAnsi="Arial"/>
          <w:sz w:val="20"/>
          <w:szCs w:val="20"/>
        </w:rPr>
        <w:t xml:space="preserve">Onderstaande tabel geeft een indicatieve toewijzing van de vereiste beheersingsniveaus per functietype. Deze toewijzing is bedoeld als vertrekpunt voor de opstellers van functieprofielen en kan worden aangepast aan de specifieke context van de organisatie.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6"/>
        <w:gridCol w:w="1506"/>
        <w:gridCol w:w="1506"/>
        <w:gridCol w:w="1506"/>
      </w:tblGrid>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Functietype</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Kritisch AI-gebruik</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AI-beslissing</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Shadow AI</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Psychosociaal</w:t>
            </w:r>
          </w:p>
        </w:tc>
      </w:tr>
      <w:t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18"/>
                <w:szCs w:val="18"/>
              </w:rPr>
              <w:t xml:space="preserve"/>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(Cluster V)</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(Cluster V)</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(Cluster I)</w:t>
            </w:r>
          </w:p>
        </w:tc>
        <w:tc>
          <w:tcPr>
            <w:tcW w:type="dxa" w:w="150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jc w:val="center"/>
            </w:pPr>
            <w:r>
              <w:rPr>
                <w:rFonts w:ascii="Arial" w:cs="Arial" w:eastAsia="Arial" w:hAnsi="Arial"/>
                <w:b/>
                <w:bCs/>
                <w:sz w:val="18"/>
                <w:szCs w:val="18"/>
              </w:rPr>
              <w:t xml:space="preserve">(Cluster I)</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N-niveau (directie, management)</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N-1 (afdelingshoofd, teamleider)</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IV</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III-IV</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Expert / specialist (bachelor+)</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II-III</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Dossierbeheerder / analist</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Administratief medewerker</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r>
      <w:tr>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18"/>
                <w:szCs w:val="18"/>
              </w:rPr>
              <w:t xml:space="preserve">Uitvoerend medewerker</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I-II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w:t>
            </w:r>
          </w:p>
        </w:tc>
        <w:tc>
          <w:tcPr>
            <w:tcW w:type="dxa" w:w="1506"/>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w:t>
            </w:r>
          </w:p>
        </w:tc>
      </w:tr>
    </w:tbl>
    <w:p>
      <w:pPr>
        <w:spacing w:before="300"/>
      </w:pPr>
    </w:p>
    <w:p>
      <w:pPr>
        <w:spacing w:after="100"/>
      </w:pPr>
      <w:r>
        <w:rPr>
          <w:rFonts w:ascii="Arial" w:cs="Arial" w:eastAsia="Arial" w:hAnsi="Arial"/>
          <w:b/>
          <w:bCs/>
          <w:sz w:val="20"/>
          <w:szCs w:val="20"/>
        </w:rPr>
        <w:t xml:space="preserve">Leeswijzer:</w:t>
      </w:r>
    </w:p>
    <w:p>
      <w:pPr>
        <w:spacing w:after="80"/>
        <w:ind w:left="360"/>
      </w:pPr>
      <w:r>
        <w:rPr>
          <w:rFonts w:ascii="Arial" w:hAnsi="Arial"/>
          <w:sz w:val="18"/>
        </w:rPr>
        <w:t>• AI-werving = Verantwoord inzetten en begeleiden van AI in selectie- en wervingsprocessen</w:t>
      </w:r>
    </w:p>
    <w:p>
      <w:pPr>
        <w:spacing w:after="120"/>
        <w:ind w:left="360" w:hanging="360"/>
      </w:pPr>
      <w:r>
        <w:rPr>
          <w:rFonts w:ascii="Arial" w:hAnsi="Arial"/>
          <w:sz w:val="20"/>
        </w:rPr>
        <w:t>Indicatieve niveaus wanneer de functie effectief selectie- of wervingsverantwoordelijkheid omvat: N-niveau IV; N-1 III-IV; Expert / specialist (bachelor+) III-IV; Dossierbeheerder / analist II-III; Administratief medewerker I-II; Uitvoerend medewerker I-II.</w:t>
      </w:r>
    </w:p>
    <w:p>
      <w:pPr>
        <w:spacing w:after="80"/>
        <w:ind w:left="360"/>
      </w:pPr>
      <w:r>
        <w:rPr>
          <w:rFonts w:ascii="Arial" w:cs="Arial" w:eastAsia="Arial" w:hAnsi="Arial"/>
          <w:sz w:val="18"/>
          <w:szCs w:val="18"/>
        </w:rPr>
        <w:t xml:space="preserve">• Kritisch AI-gebruik = Kritisch en verantwoord samenwerken met AI</w:t>
      </w:r>
    </w:p>
    <w:p>
      <w:pPr>
        <w:spacing w:after="80"/>
        <w:ind w:left="360"/>
      </w:pPr>
      <w:r>
        <w:rPr>
          <w:rFonts w:ascii="Arial" w:cs="Arial" w:eastAsia="Arial" w:hAnsi="Arial"/>
          <w:sz w:val="18"/>
          <w:szCs w:val="18"/>
        </w:rPr>
        <w:t xml:space="preserve">• AI-beslissing = Oordelen en beslissen bij AI-ondersteunde aanbevelingen</w:t>
      </w:r>
    </w:p>
    <w:p>
      <w:pPr>
        <w:spacing w:after="80"/>
        <w:ind w:left="360"/>
      </w:pPr>
      <w:r>
        <w:rPr>
          <w:rFonts w:ascii="Arial" w:cs="Arial" w:eastAsia="Arial" w:hAnsi="Arial"/>
          <w:sz w:val="18"/>
          <w:szCs w:val="18"/>
        </w:rPr>
        <w:t xml:space="preserve">• Shadow AI = Begeleiding van AI-transitie en shadow AI-beleid</w:t>
      </w:r>
    </w:p>
    <w:p>
      <w:pPr>
        <w:spacing w:after="80"/>
        <w:ind w:left="360"/>
      </w:pPr>
      <w:r>
        <w:rPr>
          <w:rFonts w:ascii="Arial" w:cs="Arial" w:eastAsia="Arial" w:hAnsi="Arial"/>
          <w:sz w:val="18"/>
          <w:szCs w:val="18"/>
        </w:rPr>
        <w:t xml:space="preserve">• Psychosociaal = Waken over het psychosociaal evenwicht bij AI-integratie</w:t>
      </w:r>
    </w:p>
    <w:p>
      <w:pPr>
        <w:spacing w:after="100" w:before="200"/>
      </w:pPr>
      <w:r>
        <w:rPr>
          <w:rFonts w:ascii="Arial" w:cs="Arial" w:eastAsia="Arial" w:hAnsi="Arial"/>
          <w:i/>
          <w:iCs/>
          <w:sz w:val="18"/>
          <w:szCs w:val="18"/>
        </w:rPr>
        <w:t xml:space="preserve">De competenties Transparante AI-communicatie (Cluster III) en Kritische bronbeoordeling (Cluster IV) zijn transversaal en worden aanbevolen voor alle functies vanaf niveau 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sz w:val="28"/>
      <w:szCs w:val="28"/>
    </w:rPr>
  </w:style>
  <w:style w:type="paragraph" w:styleId="Heading2">
    <w:name w:val="Heading 2"/>
    <w:basedOn w:val="Normal"/>
    <w:next w:val="Normal"/>
    <w:qFormat/>
    <w:pPr>
      <w:spacing w:after="120" w:before="180"/>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2026-04-13T23:40:02.622Z</dcterms:created>
  <dcterms:modified xsi:type="dcterms:W3CDTF">2026-04-13T23:40:02.623Z</dcterms:modified>
</cp:coreProperties>
</file>

<file path=docProps/custom.xml><?xml version="1.0" encoding="utf-8"?>
<Properties xmlns="http://schemas.openxmlformats.org/officeDocument/2006/custom-properties" xmlns:vt="http://schemas.openxmlformats.org/officeDocument/2006/docPropsVTypes"/>
</file>