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NEXAFLOW SA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Simulation RH — Company Bible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500 employés • 4 sites européens • Series D</w:t>
      </w:r>
    </w:p>
    <w:p>
      <w:pPr>
        <w:pBdr>
          <w:bottom w:val="single" w:color="E67C23" w:sz="6" w:space="1"/>
        </w:pBd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Brussels • Amsterdam • Berlin • Lisbon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E67C23"/>
          <w:sz w:val="28"/>
          <w:szCs w:val="28"/>
        </w:rPr>
        <w:t xml:space="preserve">Votre rôle : Chief Human Resources Officer (CHRO)</w:t>
      </w: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Date de prise de poste : 13 avril 2026</w:t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 confidentiel — Simulation pédagogique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Identité de l’entreprise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NexaFlow 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Siège social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Avenue Louise 54, 1050 Bruxelles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Numéro BCE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 0789.456.123 (fictif)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FinTech — Payment Orchestration B2B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Produit principal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FlowPay — API d’orchestration de paiements pour PME européennes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Année de fondation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Mars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Stade financement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Series D — €65M levés au total (dernier round : €30M, février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Valorisation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~€320M (post-money)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ARR actuel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€35M (+70% YoY)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Clients actifs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4 200+ PME dans 12 pays européens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Burn rate mensuel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~€2.1M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Runway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~26 mois (objectif break-even Q4 2027)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Effectif 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 employés (cible : 700 fin 2027)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 HQ (250), Amsterdam (80), Berlin (70), Lisbon (40), Remote (60)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Langues de travail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Anglais (corporate) / FR-NL (admin BE) / DE (admin DE) / PT (admin 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Conventions collectives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200 (BE), CAO (NL), Tarifvertrag (DE), CCT (PT)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Secrétariat social / Payroll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Securex (BE), ADP (NL), Personio Payroll (DE), Cegid (PT)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 / CPPT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place depuis 2025 (seuil 100+ franchi 2024)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Mission, Vision &amp; Valeurs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Mission : Démocratiser l’accès aux paiements B2B intelligents pour les PME européennes, en éliminant la complexité des transactions transfrontalières.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Vision 2028 : Devenir la plateforme de référence en Europe pour l’orchestration des paiements interentreprises, préparant une introduction en bourse (IPO) sur Euronext.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Valeurs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with empathy — Chaque décision impacte des vraies PME et leurs employés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Ship &amp; iterate — Livrer vite, apprendre vite, améliorer constamment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Radical transparency — Les chiffres, les décisions et les erreurs sont partagés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Grow together — Le succès passe par le développement de chacun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Think European — La diversité culturelle est un avantage compétitif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COMEX (Comité Exécutif)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1800"/>
        <w:gridCol w:w="1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Personnalité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Lena Verstraete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Ex-McKinsey, MBA INSEAD, co-fondatrice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Visionnaire, exigeante, data-driven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Amit Patel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Ex-Stripe, 15 ans backend, co-fondateur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Pragmatique, introverti, excellence technique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Marc Dujardin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Ex-Belfius, 20 ans finance corporate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Conservateur, prudent, procédurier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Nadia Boukhari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Ex-Deliveroo Ops, scale-up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Efficace, directe, orientée processus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Elena Voss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Ex-N26 Product, design thinking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Créative, user-obsessed, perfectionniste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Sarah Claessens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Ex-Mollie, SaaS enterprise 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Compétitive, charismatique, résultats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Julie Fontaine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Ex-Stripe Marketing EU, 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Analytique, brand-obsessed, ambitieuse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Isabelle Thiry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Ex-Linklaters, 15 ans droit des sociétés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Méticuleuse, stratégique, prudente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C23"/>
                <w:sz w:val="20"/>
                <w:szCs w:val="20"/>
              </w:rPr>
              <w:t xml:space="preserve">Bruno Mineo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C23"/>
                <w:sz w:val="20"/>
                <w:szCs w:val="20"/>
              </w:rPr>
              <w:t xml:space="preserve">CHRO (VOUS)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Competentiewoordenboek + IA + HR 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 Champion, change agent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Brussels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Structure organisationnelle (500 employés)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1800"/>
        <w:gridCol w:w="21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Département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Enjeu clé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Amit Patel (CTO)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BXL+AMS+BER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Turnover 22%, conf. Amsterdam, dette 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Sarah Claessens (CRO)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BXL+AMS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Ecart comp H/F, pipeline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Katrien Bogaert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BXL+Remote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Ratio CS/client critique, burn-outs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 &amp;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Elena Voss (CPO)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BXL+BER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 discrimination signalée Berlin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Katrien Bogaert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BXL+LIS+Remote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Fusion avec CS à planifier (M11)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Julie Fontaine (CMO)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Sous-effectif vs ambitions 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People &amp; Culture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Bruno Mineo (VOUS)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Tout à structurer à 500 personnes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 Dujardin (CFO)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Compliance multi-juridictionnelle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Amit Patel (interim)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BXL+AMS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 de Head of Data, dépendance 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Nadia Boukhari (COO)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BXL+AMS+BER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Faux indépendants à régulariser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 Internal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Nadia Boukhari (interim)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sites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breach RGPD en cours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Isabelle Thiry (CLO)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Sous-dimensionné, 4 juridictions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Sarah Claessens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BXL+Remote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Intégrations partenaires x3 en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C-Suite &amp; Strategy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Lena Verstraete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IPO readiness 2028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Facilities &amp;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Nadia Boukhari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BXL+AMS+BER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sites à gérer avec 6 personnes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Votre équipe People &amp; Culture (20 personnes)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Vous dirigez une équipe de 20 personnes, structurée en 5 pôles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Pôle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&amp; enjeu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HR Business Partners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Sofie Mertens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HRBPs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ans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HRBP par cluster de dépts. Compétente mais débordée. Besoin de structurer les processus.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Talent Acquisition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Yasmina El Idrissi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ans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Dynamique, trilingue. Gère 35+ postes ouverts. Pipeline en tension.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Maxime Legrand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L&amp;D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Junior mais motivé. Aucun programme structuré en place. Budget €200K à déployer.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HR Ops /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Anke Willems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HR 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ans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Fiable, connaît tout le monde. Limite : pas formée SIRH digital. Gère 4 payrolls.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 &amp; Ben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(Vacant)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analyste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Poste à pourvoir. Critique pour l’audit salarial M8. L’analyste junior est en place mais ne peut pas piloter seul.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Ce que vous héritez (Day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Votre prédécesseur ? Une VP People partie après 8 mois, épuisée par la croissance non structurée. Le poste est vacant depuis 4 mois.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6.1 Ce qui existe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 (Comité d’Entreprise) et CPPT en place depuis 2025 — relations tendues avec la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payrolls externalisés (Securex BE, ADP NL, Personio DE, Cegid PT) — fonctionnels mais pas intégrés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Contrats de travail conformes par juridiction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basique (buddy system informel, pas de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building annuel (kick-off janvier, events par site trimestriels)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Politique de télétravail informelle (« 2 jours/semaine acceptés », rien d’écrit)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6.2 Ce qui manque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SIRH centralisé — données dans 6 systèmes différents, impossible de consolider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 de compétences — aucune grille d’évaluation formelle pour 500 personnes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Grille salariale — bandes inexistantes, écarts de 25% à rôle égal entre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reviews — jamais réalisées à l’échelle (quelques managers le font seuls)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L&amp;D structuré — €200K budgeté mais non déployé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Règlement de travail — pas à jour, non harmonisé entre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Procédure de gestion des conflits — inexistante (→ CAS-001, CAS-002)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People Analytics — la CEO n’a jamais vu un dashboard RH en 5 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Politique diversité &amp; inclusion — aucune, malgré 4 nationalités de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ESOP / Plan d’intéressement — rien de structuré pour préparer l’IPO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 of Data — poste vacant, le CTO gère en interim (pas soutenable)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 &amp; Ben Manager — poste vacant, critique pour l’audit salarial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6.3 Cas RH ouverts (8 dossiers)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Huit dossiers vous attendent. Trois sont critiques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CAS-001 : Conflit collectif Amsterdam (12 ingénieurs vs VP Engineering) — CRITIQUE, OR néerlandais saisi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CAS-002 : 2 plaintes harcèlement en Sales (Regional Director) — CRITIQUE, investigation formelle requise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CAS-003 : Burn-out collectif CS/Support (6 arrêts simultanés) — HAUTE, avertissement médecin du travail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CAS-004 : 8 faux indépendants BE+DE — HAUTE, exposure €350K cotisations arriérées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CAS-005 : 3 ruptures conventionnelles Engineering (sous-payés de 15-20%) — MOYENNE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CAS-006 : Discrimination présumée Product Berlin (promotions biaisées) — HAUTE, Betriebsrat impliqué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CAS-007 : Licenciement contesté au Portugal — MOYENNE, contentieux tribunal du travail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CAS-008 : Data breach RGPD (fichier salaires publié 48h) — CRITIQUE, notification 72h en cours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Cadre juridique multi-juridictionnel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Belgique (250 employés)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Loi du 3 juillet 1978 relative aux contrats de travail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CCT CP 200 (CPNAE/ANPCB) — employés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Loi du 4 août 1996 sur le bien-être des travailleurs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Loi Renault du 13 février 1998 (licenciement collectif ≥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Loi du 20 septembre 1948 (CE) + 4 décembre 2007 (élections sociales)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Loi du 22 avril 2012 contre l’écart salarial H/F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RGPD + Loi du 30 juillet 2018 (protection données)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Pays-Bas (80 employés)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Burgerlijk Wetboek Boek 7 (contrats de travail)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Wet op de Ondernemingsraden (WOR) — ondernemingsraad obligatoire ≥ 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Arbeidstijdenwet (temps de travail)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Wet Werk en Zekerheid (WWZ) — licenciement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Allemagne (70 employés)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Bürgerliches Gesetzbuch (BGB) — contrats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Betriebsverfassungsgesetz (BetrVG) — Betriebsrat obligatoire ≥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Kündigungsschutzgesetz (KSchG) — protection licenciement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Scheinselbstständigkeit — faux indépendants (CAS-004)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7.4 Portugal (40 employés)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Código do Trabalho (Lei n.º 7/2009) — contrats et licenciement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Art. 351-352 : procédure disciplinaire (CAS-007)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Comissão de Trabalhadores (CT) — représentation des travailleurs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Règles de la simulation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Comment jouer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Suivez l’onglet « Scénarios » du fichier SIRH mois par mois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Pour chaque scénario, utilisez les skills du plugin HR de Claude pour produire vos livrables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Demandez à Claude de jouer le rôle des interlocuteurs (CEO, OR néerlandais, Betriebsrat, syndicats belges, employés, avocats)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Mettez à jour le SIRH au fur et à mesure (embauches, départs, promotions, transferts inter-sites)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Tracez vos décisions dans l’onglet « Cas RH actifs 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Marquez chaque scénario comme « Terminé » une fois complété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Utilisez le budget RH pour chiffrer chaque décision (tout a un coût)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Mapping Skills Plugin HR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Poste à pourvoir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interview-prep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Kit d’entretien compétences I-IV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Candidat à embaucher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draft-offer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Lettre d’offre + package comp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Nouveau collaborateur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Checklist 30-60-90 + Day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d’évaluation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performance-review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Templates + calibration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Écart salarial / benchmark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comp-analysis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comp multi-sites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Reporting COMEX / 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people-report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KPIs + narratif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Restructuration / reorg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org-planning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Modèle org +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juridique multi-pays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policy-lookup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par juridiction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candidats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recruiting-pipeline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Métriques + état pipeline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Progression des compétences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la fin des 12 mois, vous aurez exercé toutes les compétences du Competentiewoordenboek jusqu’au niveau IV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visé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Scénarios clés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Analytisch vermogen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M1, M2, M6, M8, M12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Plannen en organiseren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M1, M3, M5, M7, M10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Overtuigingskracht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M4, M6, M8, M10, M11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Stressbestendigheid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M4, M6, M11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Nauwgezetheid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M7, M8, M10, M11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Samenwerken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III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M3, M9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Visie en innovatie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M2, M5, M12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Kritisch samenwerken met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M2, M7, M12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Begeleiding van AI-transitie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III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M5, M9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Interpersoonlijk gedrag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II → IV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M4, M6, M10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7C23"/>
          <w:sz w:val="22"/>
          <w:szCs w:val="22"/>
        </w:rPr>
        <w:t xml:space="preserve">Bonne simulation, CHRO Mineo. 500 personnes comptent sur vous.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NexaFlow SA — Company Bible (500 emp.)</w:t>
    </w:r>
    <w:r>
      <w:rPr>
        <w:rFonts w:ascii="Arial" w:cs="Arial" w:eastAsia="Arial" w:hAnsi="Arial"/>
        <w:color w:val="999999"/>
        <w:sz w:val="16"/>
        <w:szCs w:val="16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C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2026-04-19T01:42:17.310Z</dcterms:created>
  <dcterms:modified xsi:type="dcterms:W3CDTF">2026-04-19T01:42:17.310Z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