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E642" w14:textId="77777777" w:rsidR="00D903EC" w:rsidRPr="00D903EC" w:rsidRDefault="00D903EC">
      <w:pPr>
        <w:rPr>
          <w:rFonts w:ascii="Arial" w:hAnsi="Arial" w:cs="Arial"/>
        </w:rPr>
      </w:pPr>
    </w:p>
    <w:p w14:paraId="304C5824" w14:textId="72D860B8" w:rsidR="00D903EC" w:rsidRPr="00D903EC" w:rsidRDefault="00D903EC">
      <w:pPr>
        <w:rPr>
          <w:rFonts w:ascii="Arial" w:hAnsi="Arial" w:cs="Arial"/>
        </w:rPr>
      </w:pPr>
    </w:p>
    <w:p w14:paraId="13D44ABD" w14:textId="7C32B781" w:rsidR="00D903EC" w:rsidRPr="00D903EC" w:rsidRDefault="00D903EC">
      <w:pPr>
        <w:rPr>
          <w:rFonts w:ascii="Arial" w:hAnsi="Arial" w:cs="Arial"/>
        </w:rPr>
      </w:pPr>
    </w:p>
    <w:p w14:paraId="15DC2DF8" w14:textId="4D46E518" w:rsidR="00D903EC" w:rsidRPr="00D903EC" w:rsidRDefault="00D903EC">
      <w:pPr>
        <w:rPr>
          <w:rFonts w:ascii="Arial" w:hAnsi="Arial" w:cs="Arial"/>
        </w:rPr>
      </w:pPr>
    </w:p>
    <w:p w14:paraId="317BDECB" w14:textId="33CFAD39" w:rsidR="00D903EC" w:rsidRPr="00D903EC" w:rsidRDefault="00D903EC">
      <w:pPr>
        <w:rPr>
          <w:rFonts w:ascii="Arial" w:hAnsi="Arial" w:cs="Arial"/>
        </w:rPr>
      </w:pPr>
      <w:r w:rsidRPr="00D903EC">
        <w:rPr>
          <w:rFonts w:ascii="Arial" w:hAnsi="Arial" w:cs="Arial"/>
          <w:noProof/>
        </w:rPr>
        <w:drawing>
          <wp:anchor distT="0" distB="0" distL="114300" distR="114300" simplePos="0" relativeHeight="251658240" behindDoc="0" locked="0" layoutInCell="1" allowOverlap="1" wp14:anchorId="04074F7F" wp14:editId="799ED9A6">
            <wp:simplePos x="0" y="0"/>
            <wp:positionH relativeFrom="margin">
              <wp:posOffset>833120</wp:posOffset>
            </wp:positionH>
            <wp:positionV relativeFrom="paragraph">
              <wp:posOffset>151130</wp:posOffset>
            </wp:positionV>
            <wp:extent cx="4053840" cy="4053840"/>
            <wp:effectExtent l="0" t="0" r="381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840" cy="4053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34AB8" w14:textId="4404BADD" w:rsidR="00D903EC" w:rsidRPr="00D903EC" w:rsidRDefault="00D903EC">
      <w:pPr>
        <w:rPr>
          <w:rFonts w:ascii="Arial" w:hAnsi="Arial" w:cs="Arial"/>
        </w:rPr>
      </w:pPr>
    </w:p>
    <w:p w14:paraId="66C053CB" w14:textId="0F827619" w:rsidR="00D903EC" w:rsidRPr="00D903EC" w:rsidRDefault="00D903EC">
      <w:pPr>
        <w:rPr>
          <w:rFonts w:ascii="Arial" w:hAnsi="Arial" w:cs="Arial"/>
        </w:rPr>
      </w:pPr>
    </w:p>
    <w:p w14:paraId="0213121C" w14:textId="6ED90BC5" w:rsidR="00D903EC" w:rsidRPr="00D903EC" w:rsidRDefault="00D903EC">
      <w:pPr>
        <w:rPr>
          <w:rFonts w:ascii="Arial" w:hAnsi="Arial" w:cs="Arial"/>
        </w:rPr>
      </w:pPr>
    </w:p>
    <w:p w14:paraId="16087F4B" w14:textId="7EE7A80F" w:rsidR="00D903EC" w:rsidRPr="00D903EC" w:rsidRDefault="00D903EC">
      <w:pPr>
        <w:rPr>
          <w:rFonts w:ascii="Arial" w:hAnsi="Arial" w:cs="Arial"/>
        </w:rPr>
      </w:pPr>
    </w:p>
    <w:p w14:paraId="531D5B0F" w14:textId="1D5033C2" w:rsidR="00D903EC" w:rsidRPr="00D903EC" w:rsidRDefault="00D903EC">
      <w:pPr>
        <w:rPr>
          <w:rFonts w:ascii="Arial" w:hAnsi="Arial" w:cs="Arial"/>
        </w:rPr>
      </w:pPr>
    </w:p>
    <w:p w14:paraId="040EE7D2" w14:textId="77777777" w:rsidR="00D903EC" w:rsidRPr="00D903EC" w:rsidRDefault="00D903EC">
      <w:pPr>
        <w:rPr>
          <w:rFonts w:ascii="Arial" w:hAnsi="Arial" w:cs="Arial"/>
        </w:rPr>
      </w:pPr>
    </w:p>
    <w:p w14:paraId="12B384EC" w14:textId="61538EA9" w:rsidR="00D903EC" w:rsidRPr="00D903EC" w:rsidRDefault="00D903EC">
      <w:pPr>
        <w:rPr>
          <w:rFonts w:ascii="Arial" w:hAnsi="Arial" w:cs="Arial"/>
        </w:rPr>
      </w:pPr>
    </w:p>
    <w:p w14:paraId="4FD6ED0A" w14:textId="72A81C4D" w:rsidR="00D903EC" w:rsidRPr="00D903EC" w:rsidRDefault="00D903EC">
      <w:pPr>
        <w:rPr>
          <w:rFonts w:ascii="Arial" w:hAnsi="Arial" w:cs="Arial"/>
        </w:rPr>
      </w:pPr>
    </w:p>
    <w:p w14:paraId="43831841" w14:textId="75E69259" w:rsidR="00D903EC" w:rsidRPr="00D903EC" w:rsidRDefault="00D903EC">
      <w:pPr>
        <w:rPr>
          <w:rFonts w:ascii="Arial" w:hAnsi="Arial" w:cs="Arial"/>
        </w:rPr>
      </w:pPr>
    </w:p>
    <w:p w14:paraId="2343BAAD" w14:textId="29894EB4" w:rsidR="00D903EC" w:rsidRPr="00D903EC" w:rsidRDefault="00D903EC">
      <w:pPr>
        <w:rPr>
          <w:rFonts w:ascii="Arial" w:eastAsiaTheme="majorEastAsia" w:hAnsi="Arial" w:cs="Arial"/>
          <w:b/>
          <w:sz w:val="32"/>
          <w:szCs w:val="32"/>
        </w:rPr>
      </w:pPr>
      <w:r w:rsidRPr="00D903EC">
        <w:rPr>
          <w:rFonts w:ascii="Arial" w:hAnsi="Arial" w:cs="Arial"/>
          <w:noProof/>
        </w:rPr>
        <mc:AlternateContent>
          <mc:Choice Requires="wps">
            <w:drawing>
              <wp:anchor distT="45720" distB="45720" distL="114300" distR="114300" simplePos="0" relativeHeight="251660288" behindDoc="0" locked="0" layoutInCell="1" allowOverlap="1" wp14:anchorId="6AFB6054" wp14:editId="42048E7E">
                <wp:simplePos x="0" y="0"/>
                <wp:positionH relativeFrom="margin">
                  <wp:posOffset>335915</wp:posOffset>
                </wp:positionH>
                <wp:positionV relativeFrom="paragraph">
                  <wp:posOffset>1298575</wp:posOffset>
                </wp:positionV>
                <wp:extent cx="505206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1404620"/>
                        </a:xfrm>
                        <a:prstGeom prst="rect">
                          <a:avLst/>
                        </a:prstGeom>
                        <a:noFill/>
                        <a:ln w="9525">
                          <a:noFill/>
                          <a:miter lim="800000"/>
                          <a:headEnd/>
                          <a:tailEnd/>
                        </a:ln>
                      </wps:spPr>
                      <wps:txbx>
                        <w:txbxContent>
                          <w:p w14:paraId="0E0AD5D2" w14:textId="0885B429" w:rsidR="00D903EC" w:rsidRPr="00D903EC" w:rsidRDefault="00D903EC">
                            <w:pPr>
                              <w:rPr>
                                <w:rFonts w:ascii="Arial" w:hAnsi="Arial" w:cs="Arial"/>
                                <w:b/>
                                <w:bCs/>
                                <w:sz w:val="60"/>
                                <w:szCs w:val="60"/>
                              </w:rPr>
                            </w:pPr>
                            <w:r w:rsidRPr="00D903EC">
                              <w:rPr>
                                <w:rFonts w:ascii="Arial" w:hAnsi="Arial" w:cs="Arial"/>
                                <w:b/>
                                <w:bCs/>
                                <w:sz w:val="60"/>
                                <w:szCs w:val="60"/>
                              </w:rPr>
                              <w:t>Vorsorge / Versicherung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FB6054" id="_x0000_t202" coordsize="21600,21600" o:spt="202" path="m,l,21600r21600,l21600,xe">
                <v:stroke joinstyle="miter"/>
                <v:path gradientshapeok="t" o:connecttype="rect"/>
              </v:shapetype>
              <v:shape id="Textfeld 2" o:spid="_x0000_s1026" type="#_x0000_t202" style="position:absolute;margin-left:26.45pt;margin-top:102.25pt;width:397.8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" filled="f" stroked="f">
                <v:textbox style="mso-fit-shape-to-text:t">
                  <w:txbxContent>
                    <w:p w14:paraId="0E0AD5D2" w14:textId="0885B429" w:rsidR="00D903EC" w:rsidRPr="00D903EC" w:rsidRDefault="00D903EC">
                      <w:pPr>
                        <w:rPr>
                          <w:rFonts w:ascii="Arial" w:hAnsi="Arial" w:cs="Arial"/>
                          <w:b/>
                          <w:bCs/>
                          <w:sz w:val="60"/>
                          <w:szCs w:val="60"/>
                        </w:rPr>
                      </w:pPr>
                      <w:r w:rsidRPr="00D903EC">
                        <w:rPr>
                          <w:rFonts w:ascii="Arial" w:hAnsi="Arial" w:cs="Arial"/>
                          <w:b/>
                          <w:bCs/>
                          <w:sz w:val="60"/>
                          <w:szCs w:val="60"/>
                        </w:rPr>
                        <w:t>Vorsorge / Versicherung</w:t>
                      </w:r>
                    </w:p>
                  </w:txbxContent>
                </v:textbox>
                <w10:wrap type="square" anchorx="margin"/>
              </v:shape>
            </w:pict>
          </mc:Fallback>
        </mc:AlternateContent>
      </w:r>
      <w:r w:rsidRPr="00D903EC">
        <w:rPr>
          <w:rFonts w:ascii="Arial" w:hAnsi="Arial" w:cs="Arial"/>
        </w:rPr>
        <w:br w:type="page"/>
      </w:r>
    </w:p>
    <w:p w14:paraId="3F9F7299" w14:textId="014DDDD4" w:rsidR="0034639E" w:rsidRPr="00D903EC" w:rsidRDefault="00000000">
      <w:pPr>
        <w:pStyle w:val="berschrift1"/>
        <w:rPr>
          <w:rFonts w:cs="Arial"/>
        </w:rPr>
      </w:pPr>
      <w:r w:rsidRPr="00D903EC">
        <w:rPr>
          <w:rFonts w:cs="Arial"/>
        </w:rPr>
        <w:lastRenderedPageBreak/>
        <w:t>3 Säulen-Prinzip</w:t>
      </w:r>
    </w:p>
    <w:p w14:paraId="62FC250E" w14:textId="77777777" w:rsidR="0034639E" w:rsidRPr="00D903EC" w:rsidRDefault="00000000">
      <w:pPr>
        <w:rPr>
          <w:rFonts w:ascii="Arial" w:eastAsia="Arial" w:hAnsi="Arial" w:cs="Arial"/>
        </w:rPr>
      </w:pPr>
      <w:r w:rsidRPr="00D903EC">
        <w:rPr>
          <w:rFonts w:ascii="Arial" w:eastAsia="Arial" w:hAnsi="Arial" w:cs="Arial"/>
        </w:rPr>
        <w:t>Das Drei-Säulen-Prinzip oder auch Alters, Hinterlassenen- und Invalidenvorsorge, ist ein in der Verfassung verankertes Konzept zur finanziellen Vorsorge im Alter, für Hinterlassene und bei Invalidität. (Art. 111 Bundesverfassung)</w:t>
      </w:r>
    </w:p>
    <w:tbl>
      <w:tblPr>
        <w:tblStyle w:val="a"/>
        <w:tblW w:w="90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3001"/>
        <w:gridCol w:w="3003"/>
      </w:tblGrid>
      <w:tr w:rsidR="0034639E" w:rsidRPr="00D903EC" w14:paraId="2685D6B7" w14:textId="77777777">
        <w:tc>
          <w:tcPr>
            <w:tcW w:w="9004" w:type="dxa"/>
            <w:gridSpan w:val="3"/>
          </w:tcPr>
          <w:p w14:paraId="7E26833E" w14:textId="77777777" w:rsidR="0034639E" w:rsidRPr="00D903EC" w:rsidRDefault="00000000">
            <w:pPr>
              <w:jc w:val="center"/>
              <w:rPr>
                <w:rFonts w:ascii="Arial" w:eastAsia="Arial" w:hAnsi="Arial" w:cs="Arial"/>
              </w:rPr>
            </w:pPr>
            <w:r w:rsidRPr="00D903EC">
              <w:rPr>
                <w:rFonts w:ascii="Arial" w:eastAsia="Arial" w:hAnsi="Arial" w:cs="Arial"/>
              </w:rPr>
              <w:t>Alters- Hinterlassenen- und Invalidenvorsorge</w:t>
            </w:r>
          </w:p>
        </w:tc>
      </w:tr>
      <w:tr w:rsidR="0034639E" w:rsidRPr="00D903EC" w14:paraId="3C27221C" w14:textId="77777777">
        <w:tc>
          <w:tcPr>
            <w:tcW w:w="3000" w:type="dxa"/>
          </w:tcPr>
          <w:p w14:paraId="778AE140" w14:textId="77777777" w:rsidR="0034639E" w:rsidRPr="00D903EC" w:rsidRDefault="00000000">
            <w:pPr>
              <w:rPr>
                <w:rFonts w:ascii="Arial" w:eastAsia="Arial" w:hAnsi="Arial" w:cs="Arial"/>
              </w:rPr>
            </w:pPr>
            <w:r w:rsidRPr="00D903EC">
              <w:rPr>
                <w:rFonts w:ascii="Arial" w:eastAsia="Arial" w:hAnsi="Arial" w:cs="Arial"/>
              </w:rPr>
              <w:t>1. Säule</w:t>
            </w:r>
          </w:p>
          <w:p w14:paraId="25F04BFD" w14:textId="77777777" w:rsidR="0034639E" w:rsidRPr="00D903EC" w:rsidRDefault="00000000">
            <w:pPr>
              <w:rPr>
                <w:rFonts w:ascii="Arial" w:eastAsia="Arial" w:hAnsi="Arial" w:cs="Arial"/>
              </w:rPr>
            </w:pPr>
            <w:r w:rsidRPr="00D903EC">
              <w:rPr>
                <w:rFonts w:ascii="Arial" w:eastAsia="Arial" w:hAnsi="Arial" w:cs="Arial"/>
              </w:rPr>
              <w:t>Staatliche Vorsorge</w:t>
            </w:r>
          </w:p>
          <w:p w14:paraId="0E9FE694" w14:textId="77777777" w:rsidR="0034639E" w:rsidRPr="00D903EC" w:rsidRDefault="0034639E">
            <w:pPr>
              <w:rPr>
                <w:rFonts w:ascii="Arial" w:eastAsia="Arial" w:hAnsi="Arial" w:cs="Arial"/>
              </w:rPr>
            </w:pPr>
          </w:p>
          <w:p w14:paraId="275D820D" w14:textId="77777777" w:rsidR="0034639E" w:rsidRPr="00D903EC" w:rsidRDefault="00000000">
            <w:pPr>
              <w:rPr>
                <w:rFonts w:ascii="Arial" w:eastAsia="Arial" w:hAnsi="Arial" w:cs="Arial"/>
              </w:rPr>
            </w:pPr>
            <w:r w:rsidRPr="00D903EC">
              <w:rPr>
                <w:rFonts w:ascii="Arial" w:eastAsia="Arial" w:hAnsi="Arial" w:cs="Arial"/>
              </w:rPr>
              <w:t>- AHV</w:t>
            </w:r>
          </w:p>
          <w:p w14:paraId="4952EEBC" w14:textId="77777777" w:rsidR="0034639E" w:rsidRPr="00D903EC" w:rsidRDefault="00000000">
            <w:pPr>
              <w:rPr>
                <w:rFonts w:ascii="Arial" w:eastAsia="Arial" w:hAnsi="Arial" w:cs="Arial"/>
              </w:rPr>
            </w:pPr>
            <w:r w:rsidRPr="00D903EC">
              <w:rPr>
                <w:rFonts w:ascii="Arial" w:eastAsia="Arial" w:hAnsi="Arial" w:cs="Arial"/>
              </w:rPr>
              <w:t>- IV</w:t>
            </w:r>
          </w:p>
          <w:p w14:paraId="0D9D7D1D" w14:textId="77777777" w:rsidR="0034639E" w:rsidRPr="00D903EC" w:rsidRDefault="00000000">
            <w:pPr>
              <w:rPr>
                <w:rFonts w:ascii="Arial" w:eastAsia="Arial" w:hAnsi="Arial" w:cs="Arial"/>
              </w:rPr>
            </w:pPr>
            <w:r w:rsidRPr="00D903EC">
              <w:rPr>
                <w:rFonts w:ascii="Arial" w:eastAsia="Arial" w:hAnsi="Arial" w:cs="Arial"/>
              </w:rPr>
              <w:t>- EL</w:t>
            </w:r>
          </w:p>
        </w:tc>
        <w:tc>
          <w:tcPr>
            <w:tcW w:w="3001" w:type="dxa"/>
          </w:tcPr>
          <w:p w14:paraId="6DD57AB4" w14:textId="77777777" w:rsidR="0034639E" w:rsidRPr="00D903EC" w:rsidRDefault="00000000">
            <w:pPr>
              <w:rPr>
                <w:rFonts w:ascii="Arial" w:eastAsia="Arial" w:hAnsi="Arial" w:cs="Arial"/>
              </w:rPr>
            </w:pPr>
            <w:r w:rsidRPr="00D903EC">
              <w:rPr>
                <w:rFonts w:ascii="Arial" w:eastAsia="Arial" w:hAnsi="Arial" w:cs="Arial"/>
              </w:rPr>
              <w:t>2. Säule</w:t>
            </w:r>
          </w:p>
          <w:p w14:paraId="31D13BEF" w14:textId="77777777" w:rsidR="0034639E" w:rsidRPr="00D903EC" w:rsidRDefault="00000000">
            <w:pPr>
              <w:rPr>
                <w:rFonts w:ascii="Arial" w:eastAsia="Arial" w:hAnsi="Arial" w:cs="Arial"/>
              </w:rPr>
            </w:pPr>
            <w:r w:rsidRPr="00D903EC">
              <w:rPr>
                <w:rFonts w:ascii="Arial" w:eastAsia="Arial" w:hAnsi="Arial" w:cs="Arial"/>
              </w:rPr>
              <w:t>Berufliche Vorsorge</w:t>
            </w:r>
          </w:p>
          <w:p w14:paraId="42F51312" w14:textId="77777777" w:rsidR="0034639E" w:rsidRPr="00D903EC" w:rsidRDefault="00000000">
            <w:pPr>
              <w:rPr>
                <w:rFonts w:ascii="Arial" w:eastAsia="Arial" w:hAnsi="Arial" w:cs="Arial"/>
              </w:rPr>
            </w:pPr>
            <w:r w:rsidRPr="00D903EC">
              <w:rPr>
                <w:rFonts w:ascii="Arial" w:eastAsia="Arial" w:hAnsi="Arial" w:cs="Arial"/>
              </w:rPr>
              <w:t>(Pensionskasse)</w:t>
            </w:r>
          </w:p>
          <w:p w14:paraId="4EE96BCF" w14:textId="77777777" w:rsidR="0034639E" w:rsidRPr="00D903EC" w:rsidRDefault="0034639E">
            <w:pPr>
              <w:rPr>
                <w:rFonts w:ascii="Arial" w:eastAsia="Arial" w:hAnsi="Arial" w:cs="Arial"/>
              </w:rPr>
            </w:pPr>
          </w:p>
          <w:p w14:paraId="6BD9CEF8" w14:textId="77777777" w:rsidR="0034639E" w:rsidRPr="00D903EC" w:rsidRDefault="00000000">
            <w:pPr>
              <w:rPr>
                <w:rFonts w:ascii="Arial" w:eastAsia="Arial" w:hAnsi="Arial" w:cs="Arial"/>
              </w:rPr>
            </w:pPr>
            <w:r w:rsidRPr="00D903EC">
              <w:rPr>
                <w:rFonts w:ascii="Arial" w:eastAsia="Arial" w:hAnsi="Arial" w:cs="Arial"/>
              </w:rPr>
              <w:t>BVG</w:t>
            </w:r>
          </w:p>
        </w:tc>
        <w:tc>
          <w:tcPr>
            <w:tcW w:w="3003" w:type="dxa"/>
          </w:tcPr>
          <w:p w14:paraId="1DE5FA14" w14:textId="77777777" w:rsidR="0034639E" w:rsidRPr="00D903EC" w:rsidRDefault="00000000">
            <w:pPr>
              <w:rPr>
                <w:rFonts w:ascii="Arial" w:eastAsia="Arial" w:hAnsi="Arial" w:cs="Arial"/>
              </w:rPr>
            </w:pPr>
            <w:r w:rsidRPr="00D903EC">
              <w:rPr>
                <w:rFonts w:ascii="Arial" w:eastAsia="Arial" w:hAnsi="Arial" w:cs="Arial"/>
              </w:rPr>
              <w:t>3. Säule</w:t>
            </w:r>
          </w:p>
          <w:p w14:paraId="1AB7A005" w14:textId="77777777" w:rsidR="0034639E" w:rsidRPr="00D903EC" w:rsidRDefault="00000000">
            <w:pPr>
              <w:rPr>
                <w:rFonts w:ascii="Arial" w:eastAsia="Arial" w:hAnsi="Arial" w:cs="Arial"/>
              </w:rPr>
            </w:pPr>
            <w:r w:rsidRPr="00D903EC">
              <w:rPr>
                <w:rFonts w:ascii="Arial" w:eastAsia="Arial" w:hAnsi="Arial" w:cs="Arial"/>
              </w:rPr>
              <w:t>Selbstvorsorge</w:t>
            </w:r>
          </w:p>
          <w:p w14:paraId="11828FA0" w14:textId="77777777" w:rsidR="0034639E" w:rsidRPr="00D903EC" w:rsidRDefault="0034639E">
            <w:pPr>
              <w:rPr>
                <w:rFonts w:ascii="Arial" w:eastAsia="Arial" w:hAnsi="Arial" w:cs="Arial"/>
              </w:rPr>
            </w:pPr>
          </w:p>
          <w:p w14:paraId="58CC9C41" w14:textId="77777777" w:rsidR="0034639E" w:rsidRPr="00D903EC" w:rsidRDefault="00000000">
            <w:pPr>
              <w:rPr>
                <w:rFonts w:ascii="Arial" w:eastAsia="Arial" w:hAnsi="Arial" w:cs="Arial"/>
              </w:rPr>
            </w:pPr>
            <w:r w:rsidRPr="00D903EC">
              <w:rPr>
                <w:rFonts w:ascii="Arial" w:eastAsia="Arial" w:hAnsi="Arial" w:cs="Arial"/>
              </w:rPr>
              <w:t>Gebundene Vorsorge 3a</w:t>
            </w:r>
          </w:p>
          <w:p w14:paraId="3C934D1E" w14:textId="77777777" w:rsidR="0034639E" w:rsidRPr="00D903EC" w:rsidRDefault="0034639E">
            <w:pPr>
              <w:rPr>
                <w:rFonts w:ascii="Arial" w:eastAsia="Arial" w:hAnsi="Arial" w:cs="Arial"/>
              </w:rPr>
            </w:pPr>
          </w:p>
          <w:p w14:paraId="7A025A20" w14:textId="77777777" w:rsidR="0034639E" w:rsidRPr="00D903EC" w:rsidRDefault="00000000">
            <w:pPr>
              <w:rPr>
                <w:rFonts w:ascii="Arial" w:eastAsia="Arial" w:hAnsi="Arial" w:cs="Arial"/>
              </w:rPr>
            </w:pPr>
            <w:r w:rsidRPr="00D903EC">
              <w:rPr>
                <w:rFonts w:ascii="Arial" w:eastAsia="Arial" w:hAnsi="Arial" w:cs="Arial"/>
              </w:rPr>
              <w:t>Freie Vorsorge 3b</w:t>
            </w:r>
          </w:p>
          <w:p w14:paraId="474882D9" w14:textId="77777777" w:rsidR="0034639E" w:rsidRPr="00D903EC" w:rsidRDefault="00000000">
            <w:pPr>
              <w:rPr>
                <w:rFonts w:ascii="Arial" w:eastAsia="Arial" w:hAnsi="Arial" w:cs="Arial"/>
              </w:rPr>
            </w:pPr>
            <w:r w:rsidRPr="00D903EC">
              <w:rPr>
                <w:rFonts w:ascii="Arial" w:eastAsia="Arial" w:hAnsi="Arial" w:cs="Arial"/>
              </w:rPr>
              <w:t>- Lebensversicherungen</w:t>
            </w:r>
          </w:p>
          <w:p w14:paraId="43D0972C" w14:textId="77777777" w:rsidR="0034639E" w:rsidRPr="00D903EC" w:rsidRDefault="00000000">
            <w:pPr>
              <w:rPr>
                <w:rFonts w:ascii="Arial" w:eastAsia="Arial" w:hAnsi="Arial" w:cs="Arial"/>
              </w:rPr>
            </w:pPr>
            <w:r w:rsidRPr="00D903EC">
              <w:rPr>
                <w:rFonts w:ascii="Arial" w:eastAsia="Arial" w:hAnsi="Arial" w:cs="Arial"/>
              </w:rPr>
              <w:t>- Eigenheim</w:t>
            </w:r>
          </w:p>
          <w:p w14:paraId="344452BE" w14:textId="77777777" w:rsidR="0034639E" w:rsidRPr="00D903EC" w:rsidRDefault="00000000">
            <w:pPr>
              <w:rPr>
                <w:rFonts w:ascii="Arial" w:eastAsia="Arial" w:hAnsi="Arial" w:cs="Arial"/>
              </w:rPr>
            </w:pPr>
            <w:r w:rsidRPr="00D903EC">
              <w:rPr>
                <w:rFonts w:ascii="Arial" w:eastAsia="Arial" w:hAnsi="Arial" w:cs="Arial"/>
              </w:rPr>
              <w:t>- Ersparnisse usw.</w:t>
            </w:r>
          </w:p>
        </w:tc>
      </w:tr>
      <w:tr w:rsidR="0034639E" w:rsidRPr="00D903EC" w14:paraId="0AFAAE1B" w14:textId="77777777">
        <w:tc>
          <w:tcPr>
            <w:tcW w:w="3000" w:type="dxa"/>
          </w:tcPr>
          <w:p w14:paraId="445452E7" w14:textId="77777777" w:rsidR="0034639E" w:rsidRPr="00D903EC" w:rsidRDefault="00000000">
            <w:pPr>
              <w:rPr>
                <w:rFonts w:ascii="Arial" w:eastAsia="Arial" w:hAnsi="Arial" w:cs="Arial"/>
              </w:rPr>
            </w:pPr>
            <w:r w:rsidRPr="00D903EC">
              <w:rPr>
                <w:rFonts w:ascii="Arial" w:eastAsia="Arial" w:hAnsi="Arial" w:cs="Arial"/>
              </w:rPr>
              <w:t xml:space="preserve">Ziel: Existenzsicherung </w:t>
            </w:r>
          </w:p>
        </w:tc>
        <w:tc>
          <w:tcPr>
            <w:tcW w:w="3001" w:type="dxa"/>
          </w:tcPr>
          <w:p w14:paraId="71FD53BD" w14:textId="77777777" w:rsidR="0034639E" w:rsidRPr="00D903EC" w:rsidRDefault="0034639E">
            <w:pPr>
              <w:rPr>
                <w:rFonts w:ascii="Arial" w:eastAsia="Arial" w:hAnsi="Arial" w:cs="Arial"/>
              </w:rPr>
            </w:pPr>
          </w:p>
        </w:tc>
        <w:tc>
          <w:tcPr>
            <w:tcW w:w="3003" w:type="dxa"/>
          </w:tcPr>
          <w:p w14:paraId="1E82621D" w14:textId="77777777" w:rsidR="0034639E" w:rsidRPr="00D903EC" w:rsidRDefault="0034639E">
            <w:pPr>
              <w:rPr>
                <w:rFonts w:ascii="Arial" w:eastAsia="Arial" w:hAnsi="Arial" w:cs="Arial"/>
              </w:rPr>
            </w:pPr>
          </w:p>
        </w:tc>
      </w:tr>
      <w:tr w:rsidR="0034639E" w:rsidRPr="00D903EC" w14:paraId="3B6FA78F" w14:textId="77777777">
        <w:tc>
          <w:tcPr>
            <w:tcW w:w="6001" w:type="dxa"/>
            <w:gridSpan w:val="2"/>
          </w:tcPr>
          <w:p w14:paraId="4DF604CB" w14:textId="77777777" w:rsidR="0034639E" w:rsidRPr="00D903EC" w:rsidRDefault="00000000">
            <w:pPr>
              <w:rPr>
                <w:rFonts w:ascii="Arial" w:eastAsia="Arial" w:hAnsi="Arial" w:cs="Arial"/>
              </w:rPr>
            </w:pPr>
            <w:r w:rsidRPr="00D903EC">
              <w:rPr>
                <w:rFonts w:ascii="Arial" w:eastAsia="Arial" w:hAnsi="Arial" w:cs="Arial"/>
              </w:rPr>
              <w:t>1. und 2. Säule sollen etwa 60% des vorherigen Lohnes abdecken.</w:t>
            </w:r>
          </w:p>
        </w:tc>
        <w:tc>
          <w:tcPr>
            <w:tcW w:w="3003" w:type="dxa"/>
          </w:tcPr>
          <w:p w14:paraId="7222C86B" w14:textId="77777777" w:rsidR="0034639E" w:rsidRPr="00D903EC" w:rsidRDefault="00000000">
            <w:pPr>
              <w:rPr>
                <w:rFonts w:ascii="Arial" w:eastAsia="Arial" w:hAnsi="Arial" w:cs="Arial"/>
              </w:rPr>
            </w:pPr>
            <w:r w:rsidRPr="00D903EC">
              <w:rPr>
                <w:rFonts w:ascii="Arial" w:eastAsia="Arial" w:hAnsi="Arial" w:cs="Arial"/>
              </w:rPr>
              <w:t>Schliessung von Vorsorgelücken, die durch die 1. Und 2. Säule nicht abgedeckt werden, und Befriedigung von individuellen Zusatzbedürfnissen.</w:t>
            </w:r>
          </w:p>
        </w:tc>
      </w:tr>
    </w:tbl>
    <w:p w14:paraId="457BE800" w14:textId="77777777" w:rsidR="0034639E" w:rsidRPr="00D903EC" w:rsidRDefault="00000000">
      <w:pPr>
        <w:pStyle w:val="berschrift1"/>
        <w:rPr>
          <w:rFonts w:cs="Arial"/>
        </w:rPr>
      </w:pPr>
      <w:r w:rsidRPr="00D903EC">
        <w:rPr>
          <w:rFonts w:cs="Arial"/>
        </w:rPr>
        <w:t>AHV</w:t>
      </w:r>
    </w:p>
    <w:p w14:paraId="3D8013AE" w14:textId="77777777" w:rsidR="0034639E" w:rsidRPr="00D903EC" w:rsidRDefault="00000000">
      <w:pPr>
        <w:rPr>
          <w:rFonts w:ascii="Arial" w:eastAsia="Arial" w:hAnsi="Arial" w:cs="Arial"/>
        </w:rPr>
      </w:pPr>
      <w:r w:rsidRPr="00D903EC">
        <w:rPr>
          <w:rFonts w:ascii="Arial" w:eastAsia="Arial" w:hAnsi="Arial" w:cs="Arial"/>
        </w:rPr>
        <w:t xml:space="preserve">Die AHV, auch als 1. Säule des eidgenössischen Sozialversicherungsnetzes bezeichnet, ist die staatliche Alters- und </w:t>
      </w:r>
      <w:proofErr w:type="spellStart"/>
      <w:r w:rsidRPr="00D903EC">
        <w:rPr>
          <w:rFonts w:ascii="Arial" w:eastAsia="Arial" w:hAnsi="Arial" w:cs="Arial"/>
        </w:rPr>
        <w:t>Hinterlassenenvorsorge</w:t>
      </w:r>
      <w:proofErr w:type="spellEnd"/>
      <w:r w:rsidRPr="00D903EC">
        <w:rPr>
          <w:rFonts w:ascii="Arial" w:eastAsia="Arial" w:hAnsi="Arial" w:cs="Arial"/>
        </w:rPr>
        <w:t>. Sie beruht auf der Solidarität zwischen den Generationen und wird über das Umlageverfahren finanziert, bei dem die heutige wirtschaftlich aktive Generation die Renten der heutigen Rentner finanziert.</w:t>
      </w:r>
    </w:p>
    <w:p w14:paraId="757FBF38" w14:textId="77777777" w:rsidR="0034639E" w:rsidRPr="00D903EC" w:rsidRDefault="00000000">
      <w:pPr>
        <w:spacing w:after="0"/>
        <w:rPr>
          <w:rFonts w:ascii="Arial" w:eastAsia="Arial" w:hAnsi="Arial" w:cs="Arial"/>
        </w:rPr>
      </w:pPr>
      <w:r w:rsidRPr="00D903EC">
        <w:rPr>
          <w:rFonts w:ascii="Arial" w:eastAsia="Arial" w:hAnsi="Arial" w:cs="Arial"/>
          <w:b/>
        </w:rPr>
        <w:t>Beitragspflicht</w:t>
      </w:r>
      <w:r w:rsidRPr="00D903EC">
        <w:rPr>
          <w:rFonts w:ascii="Arial" w:eastAsia="Arial" w:hAnsi="Arial" w:cs="Arial"/>
        </w:rPr>
        <w:tab/>
        <w:t>Erwerbstätige: ab dem 1. Januar nach erfülltem 17. Lebensjahr</w:t>
      </w:r>
    </w:p>
    <w:p w14:paraId="40D7AC59" w14:textId="77777777" w:rsidR="0034639E" w:rsidRPr="00D903EC" w:rsidRDefault="00000000">
      <w:pPr>
        <w:spacing w:after="0"/>
        <w:rPr>
          <w:rFonts w:ascii="Arial" w:eastAsia="Arial" w:hAnsi="Arial" w:cs="Arial"/>
        </w:rPr>
      </w:pPr>
      <w:r w:rsidRPr="00D903EC">
        <w:rPr>
          <w:rFonts w:ascii="Arial" w:eastAsia="Arial" w:hAnsi="Arial" w:cs="Arial"/>
        </w:rPr>
        <w:tab/>
      </w:r>
      <w:r w:rsidRPr="00D903EC">
        <w:rPr>
          <w:rFonts w:ascii="Arial" w:eastAsia="Arial" w:hAnsi="Arial" w:cs="Arial"/>
        </w:rPr>
        <w:tab/>
      </w:r>
      <w:r w:rsidRPr="00D903EC">
        <w:rPr>
          <w:rFonts w:ascii="Arial" w:eastAsia="Arial" w:hAnsi="Arial" w:cs="Arial"/>
        </w:rPr>
        <w:tab/>
        <w:t>Nichterwerbstätige: ab dem 1. Januar nach erfülltem 20. Lebensjahr</w:t>
      </w:r>
    </w:p>
    <w:p w14:paraId="2CFBA67A" w14:textId="77777777" w:rsidR="0034639E" w:rsidRPr="00D903EC" w:rsidRDefault="00000000">
      <w:pPr>
        <w:spacing w:after="0"/>
        <w:rPr>
          <w:rFonts w:ascii="Arial" w:eastAsia="Arial" w:hAnsi="Arial" w:cs="Arial"/>
        </w:rPr>
      </w:pPr>
      <w:r w:rsidRPr="00D903EC">
        <w:rPr>
          <w:rFonts w:ascii="Arial" w:eastAsia="Arial" w:hAnsi="Arial" w:cs="Arial"/>
          <w:b/>
        </w:rPr>
        <w:t>Rentenanspruch</w:t>
      </w:r>
      <w:r w:rsidRPr="00D903EC">
        <w:rPr>
          <w:rFonts w:ascii="Arial" w:eastAsia="Arial" w:hAnsi="Arial" w:cs="Arial"/>
        </w:rPr>
        <w:tab/>
        <w:t>Männer: 65. Altersjahr (ab dem auf den Geburtstag folgenden Monat)</w:t>
      </w:r>
    </w:p>
    <w:p w14:paraId="4D2E6F7C" w14:textId="77777777" w:rsidR="0034639E" w:rsidRPr="00D903EC" w:rsidRDefault="00000000">
      <w:pPr>
        <w:spacing w:after="0"/>
        <w:rPr>
          <w:rFonts w:ascii="Arial" w:eastAsia="Arial" w:hAnsi="Arial" w:cs="Arial"/>
        </w:rPr>
      </w:pPr>
      <w:r w:rsidRPr="00D903EC">
        <w:rPr>
          <w:rFonts w:ascii="Arial" w:eastAsia="Arial" w:hAnsi="Arial" w:cs="Arial"/>
        </w:rPr>
        <w:tab/>
      </w:r>
      <w:r w:rsidRPr="00D903EC">
        <w:rPr>
          <w:rFonts w:ascii="Arial" w:eastAsia="Arial" w:hAnsi="Arial" w:cs="Arial"/>
        </w:rPr>
        <w:tab/>
      </w:r>
      <w:r w:rsidRPr="00D903EC">
        <w:rPr>
          <w:rFonts w:ascii="Arial" w:eastAsia="Arial" w:hAnsi="Arial" w:cs="Arial"/>
        </w:rPr>
        <w:tab/>
        <w:t>Frauen: 64. Altersjahr (ab dem auf den Geburtstag folgenden Monat)</w:t>
      </w:r>
    </w:p>
    <w:p w14:paraId="0977C7BC" w14:textId="77777777" w:rsidR="0034639E" w:rsidRPr="00D903EC" w:rsidRDefault="00000000">
      <w:pPr>
        <w:pStyle w:val="berschrift1"/>
        <w:rPr>
          <w:rFonts w:cs="Arial"/>
        </w:rPr>
      </w:pPr>
      <w:r w:rsidRPr="00D903EC">
        <w:rPr>
          <w:rFonts w:cs="Arial"/>
        </w:rPr>
        <w:t>Private Vorsorge (3. Säule)</w:t>
      </w:r>
    </w:p>
    <w:p w14:paraId="5336290C" w14:textId="77777777" w:rsidR="0034639E" w:rsidRPr="00D903EC" w:rsidRDefault="00000000">
      <w:pPr>
        <w:rPr>
          <w:rFonts w:ascii="Arial" w:eastAsia="Arial" w:hAnsi="Arial" w:cs="Arial"/>
        </w:rPr>
      </w:pPr>
      <w:r w:rsidRPr="00D903EC">
        <w:rPr>
          <w:rFonts w:ascii="Arial" w:eastAsia="Arial" w:hAnsi="Arial" w:cs="Arial"/>
        </w:rPr>
        <w:t>Alle Sparprozesse und Risikoversicherungen, die als Ergänzung zu den ersten beiden Säulen gedacht sind, um im Vorsorgefall individuelle Wünsche befriedigen zu können, gehören zur 3. Säule.</w:t>
      </w:r>
    </w:p>
    <w:p w14:paraId="5FD1A293" w14:textId="77777777" w:rsidR="0034639E" w:rsidRPr="00D903EC" w:rsidRDefault="00000000">
      <w:pPr>
        <w:rPr>
          <w:rFonts w:ascii="Arial" w:eastAsia="Arial" w:hAnsi="Arial" w:cs="Arial"/>
        </w:rPr>
      </w:pPr>
      <w:r w:rsidRPr="00D903EC">
        <w:rPr>
          <w:rFonts w:ascii="Arial" w:eastAsia="Arial" w:hAnsi="Arial" w:cs="Arial"/>
        </w:rPr>
        <w:t>Dabei lassen diese Vorsorgeformen sich in zwei Gruppen aufteilen:</w:t>
      </w:r>
    </w:p>
    <w:p w14:paraId="0856CCDA" w14:textId="77777777" w:rsidR="0034639E" w:rsidRPr="00D903EC" w:rsidRDefault="00000000">
      <w:pPr>
        <w:numPr>
          <w:ilvl w:val="0"/>
          <w:numId w:val="1"/>
        </w:numPr>
        <w:pBdr>
          <w:top w:val="nil"/>
          <w:left w:val="nil"/>
          <w:bottom w:val="nil"/>
          <w:right w:val="nil"/>
          <w:between w:val="nil"/>
        </w:pBdr>
        <w:spacing w:after="0"/>
        <w:rPr>
          <w:rFonts w:ascii="Arial" w:eastAsia="Arial" w:hAnsi="Arial" w:cs="Arial"/>
          <w:color w:val="000000"/>
        </w:rPr>
      </w:pPr>
      <w:r w:rsidRPr="00D903EC">
        <w:rPr>
          <w:rFonts w:ascii="Arial" w:eastAsia="Arial" w:hAnsi="Arial" w:cs="Arial"/>
          <w:color w:val="000000"/>
        </w:rPr>
        <w:t>Gebundene Vorsorge 3a</w:t>
      </w:r>
    </w:p>
    <w:p w14:paraId="04FD8CCF" w14:textId="77777777" w:rsidR="0034639E" w:rsidRPr="00D903EC" w:rsidRDefault="00000000">
      <w:pPr>
        <w:numPr>
          <w:ilvl w:val="0"/>
          <w:numId w:val="1"/>
        </w:numPr>
        <w:pBdr>
          <w:top w:val="nil"/>
          <w:left w:val="nil"/>
          <w:bottom w:val="nil"/>
          <w:right w:val="nil"/>
          <w:between w:val="nil"/>
        </w:pBdr>
        <w:rPr>
          <w:rFonts w:ascii="Arial" w:eastAsia="Arial" w:hAnsi="Arial" w:cs="Arial"/>
          <w:color w:val="000000"/>
        </w:rPr>
      </w:pPr>
      <w:r w:rsidRPr="00D903EC">
        <w:rPr>
          <w:rFonts w:ascii="Arial" w:eastAsia="Arial" w:hAnsi="Arial" w:cs="Arial"/>
          <w:color w:val="000000"/>
        </w:rPr>
        <w:t>Freie Vorsorge 3b</w:t>
      </w:r>
    </w:p>
    <w:p w14:paraId="0E0F8ADD" w14:textId="77777777" w:rsidR="0034639E" w:rsidRPr="00D903EC" w:rsidRDefault="0034639E">
      <w:pPr>
        <w:spacing w:after="0"/>
        <w:rPr>
          <w:rFonts w:ascii="Arial" w:eastAsia="Arial" w:hAnsi="Arial" w:cs="Arial"/>
        </w:rPr>
      </w:pPr>
    </w:p>
    <w:p w14:paraId="054EF377" w14:textId="77777777" w:rsidR="0034639E" w:rsidRPr="00D903EC" w:rsidRDefault="00000000">
      <w:pPr>
        <w:pStyle w:val="berschrift1"/>
        <w:rPr>
          <w:rFonts w:cs="Arial"/>
        </w:rPr>
      </w:pPr>
      <w:r w:rsidRPr="00D903EC">
        <w:rPr>
          <w:rFonts w:cs="Arial"/>
        </w:rPr>
        <w:lastRenderedPageBreak/>
        <w:t>Berufliche Vorsorge (BVG)</w:t>
      </w:r>
    </w:p>
    <w:p w14:paraId="40DED207" w14:textId="77777777" w:rsidR="0034639E" w:rsidRPr="00D903EC" w:rsidRDefault="00000000">
      <w:pPr>
        <w:rPr>
          <w:rFonts w:ascii="Arial" w:eastAsia="Arial" w:hAnsi="Arial" w:cs="Arial"/>
        </w:rPr>
      </w:pPr>
      <w:r w:rsidRPr="00D903EC">
        <w:rPr>
          <w:rFonts w:ascii="Arial" w:eastAsia="Arial" w:hAnsi="Arial" w:cs="Arial"/>
          <w:b/>
        </w:rPr>
        <w:t>Berufliche Vorsorge (auch Pensionskasse oder 2. Säule genannt):</w:t>
      </w:r>
      <w:r w:rsidRPr="00D903EC">
        <w:rPr>
          <w:rFonts w:ascii="Arial" w:eastAsia="Arial" w:hAnsi="Arial" w:cs="Arial"/>
        </w:rPr>
        <w:t xml:space="preserve"> Soll Pensionierten, Hinterlassenen und Invaliden zusammen mit der AHV-Rente die Fortsetzung der gewohnten Lebensführung ermöglichen. Versichert werden die Risiken Tod und Invalidität, gleichzeitig wird eine Altersvorsorge aufgebaut.</w:t>
      </w:r>
    </w:p>
    <w:p w14:paraId="3F2C406B" w14:textId="77777777" w:rsidR="0034639E" w:rsidRPr="00D903EC" w:rsidRDefault="00000000">
      <w:pPr>
        <w:rPr>
          <w:rFonts w:ascii="Arial" w:eastAsia="Arial" w:hAnsi="Arial" w:cs="Arial"/>
        </w:rPr>
      </w:pPr>
      <w:r w:rsidRPr="00D903EC">
        <w:rPr>
          <w:rFonts w:ascii="Arial" w:eastAsia="Arial" w:hAnsi="Arial" w:cs="Arial"/>
          <w:b/>
        </w:rPr>
        <w:t>BVG:</w:t>
      </w:r>
      <w:r w:rsidRPr="00D903EC">
        <w:rPr>
          <w:rFonts w:ascii="Arial" w:eastAsia="Arial" w:hAnsi="Arial" w:cs="Arial"/>
        </w:rPr>
        <w:t xml:space="preserve"> Bundesgesetz über die berufliche Alters-, Hinterlassenen- und Invalidenvorsorge.</w:t>
      </w:r>
    </w:p>
    <w:p w14:paraId="1FB0159A" w14:textId="77777777" w:rsidR="0034639E" w:rsidRPr="00D903EC" w:rsidRDefault="00000000">
      <w:pPr>
        <w:rPr>
          <w:rFonts w:ascii="Arial" w:eastAsia="Arial" w:hAnsi="Arial" w:cs="Arial"/>
        </w:rPr>
      </w:pPr>
      <w:r w:rsidRPr="00D903EC">
        <w:rPr>
          <w:rFonts w:ascii="Arial" w:eastAsia="Arial" w:hAnsi="Arial" w:cs="Arial"/>
        </w:rPr>
        <w:t>Im Gegensatz zur AHV beruht die Pensionskasse auf dem sogenannten Kapitaldeckungsverfahren, d.h. auf einem individuellen Sparprozess, der mit dem Erreichen des Rentenalters endet. Das während der Jahre auf dem individuellen Konto der Versicherten angesparte Altersguthaben dient der Finanzierung der Rente.</w:t>
      </w:r>
    </w:p>
    <w:p w14:paraId="4139686C" w14:textId="77777777" w:rsidR="0034639E" w:rsidRPr="00D903EC" w:rsidRDefault="00000000">
      <w:pPr>
        <w:rPr>
          <w:rFonts w:ascii="Arial" w:eastAsia="Arial" w:hAnsi="Arial" w:cs="Arial"/>
        </w:rPr>
      </w:pPr>
      <w:r w:rsidRPr="00D903EC">
        <w:rPr>
          <w:rFonts w:ascii="Arial" w:eastAsia="Arial" w:hAnsi="Arial" w:cs="Arial"/>
        </w:rPr>
        <w:t>Zusammen mit der ersten Säule soll mit der Pensionskasse ein Renteneinkommen von rund 60% des letzten Lohnes erreicht werden, damit die Versicherten die gewohnte Lebensführung in angemessener Weise fortsetzen können.</w:t>
      </w:r>
    </w:p>
    <w:p w14:paraId="5267C8E8" w14:textId="77777777" w:rsidR="0034639E" w:rsidRPr="00D903EC" w:rsidRDefault="00000000">
      <w:pPr>
        <w:pStyle w:val="berschrift2"/>
        <w:rPr>
          <w:rFonts w:cs="Arial"/>
        </w:rPr>
      </w:pPr>
      <w:r w:rsidRPr="00D903EC">
        <w:rPr>
          <w:rFonts w:cs="Arial"/>
        </w:rPr>
        <w:t>Gebundene Vorsorge: Säule 3a</w:t>
      </w:r>
    </w:p>
    <w:p w14:paraId="729345AB" w14:textId="77777777" w:rsidR="0034639E" w:rsidRPr="00D903EC" w:rsidRDefault="00000000">
      <w:pPr>
        <w:rPr>
          <w:rFonts w:ascii="Arial" w:eastAsia="Arial" w:hAnsi="Arial" w:cs="Arial"/>
        </w:rPr>
      </w:pPr>
      <w:r w:rsidRPr="00D903EC">
        <w:rPr>
          <w:rFonts w:ascii="Arial" w:eastAsia="Arial" w:hAnsi="Arial" w:cs="Arial"/>
        </w:rPr>
        <w:t>Die Säule 3a ist eine steuerlich begünstigte Vorsorgeform. Das heisst Selbstständigerwerbende, sowie Arbeitnehmer und Arbeitnehmerinnen mit einer Pensionskasse können sich freiwillig einer Versicherungseinrichtung oder einer Bankstiftung anschliessen. Dabei dürfen sie einen maximalen Betrag in die Vorsorge 3a einzahlen. Dieser kann dann vom Steuerbaren Einkommen abgezogen werden. Dabei sind auch die Zinsen Steuerfrei. Für Personen mit einer 2. Säule beträgt der maximal erlaubte Steuerabzug für die Säule 3a CHF 6826.- und für Personen ohne 2. Säule max. CHF 34128.-.</w:t>
      </w:r>
    </w:p>
    <w:p w14:paraId="16E4A5B6" w14:textId="77777777" w:rsidR="0034639E" w:rsidRPr="00D903EC" w:rsidRDefault="0034639E">
      <w:pPr>
        <w:rPr>
          <w:rFonts w:ascii="Arial" w:eastAsia="Arial" w:hAnsi="Arial" w:cs="Arial"/>
        </w:rPr>
      </w:pPr>
    </w:p>
    <w:p w14:paraId="5CB602DE" w14:textId="77777777" w:rsidR="0034639E" w:rsidRPr="00D903EC" w:rsidRDefault="00000000">
      <w:pPr>
        <w:rPr>
          <w:rFonts w:ascii="Arial" w:eastAsia="Arial" w:hAnsi="Arial" w:cs="Arial"/>
        </w:rPr>
      </w:pPr>
      <w:r w:rsidRPr="00D903EC">
        <w:rPr>
          <w:rFonts w:ascii="Arial" w:eastAsia="Arial" w:hAnsi="Arial" w:cs="Arial"/>
        </w:rPr>
        <w:t>Diese Gelder können aufgrund ihrer Gebundenheit frühestens 5 Jahre vor Erreichen des AHV-Alters bezogen werden. Bei Ausnahmen können diese aber auch früher bezogen werden. Dies gilt beim Erwerb von Wohneigentum, bei der Aufnahme einer selbständigen Erwerbstätigkeit, bei endgültigem Verlassen der Schweiz oder wenn eine ganze IV-Rente bezogen wird.</w:t>
      </w:r>
    </w:p>
    <w:p w14:paraId="4D98F0FD" w14:textId="77777777" w:rsidR="0034639E" w:rsidRPr="00D903EC" w:rsidRDefault="0034639E">
      <w:pPr>
        <w:rPr>
          <w:rFonts w:ascii="Arial" w:eastAsia="Arial" w:hAnsi="Arial" w:cs="Arial"/>
        </w:rPr>
      </w:pPr>
    </w:p>
    <w:p w14:paraId="7F61FACA" w14:textId="53B80DA8" w:rsidR="0034639E" w:rsidRDefault="00000000">
      <w:pPr>
        <w:rPr>
          <w:rFonts w:ascii="Arial" w:eastAsia="Arial" w:hAnsi="Arial" w:cs="Arial"/>
        </w:rPr>
      </w:pPr>
      <w:r w:rsidRPr="00D903EC">
        <w:rPr>
          <w:rFonts w:ascii="Arial" w:eastAsia="Arial" w:hAnsi="Arial" w:cs="Arial"/>
        </w:rPr>
        <w:t>Das Kapital aus der Säule 3a kann als einmaliger Betrag bezogen werden. Damit das Kapital gestaffelt bezogen werden kann, werden mehrere Säule 3a Konten benötigt. Auf das ausgezahlte Kapital werden Einkommenssteuern erhoben, dies jedoch mit einem geringeren Steuersatz. Zudem entfällt die Vermögenssteuer.</w:t>
      </w:r>
    </w:p>
    <w:p w14:paraId="56F0D8E5" w14:textId="77777777" w:rsidR="00B82ED8" w:rsidRPr="00D903EC" w:rsidRDefault="00B82ED8">
      <w:pPr>
        <w:rPr>
          <w:rFonts w:ascii="Arial" w:eastAsia="Arial" w:hAnsi="Arial" w:cs="Arial"/>
        </w:rPr>
      </w:pPr>
    </w:p>
    <w:p w14:paraId="6CDF1243" w14:textId="09896498" w:rsidR="0034639E" w:rsidRPr="00D903EC" w:rsidRDefault="00D903EC" w:rsidP="00D903EC">
      <w:pPr>
        <w:pStyle w:val="berschrift2"/>
        <w:rPr>
          <w:rFonts w:cs="Arial"/>
        </w:rPr>
      </w:pPr>
      <w:r w:rsidRPr="00D903EC">
        <w:rPr>
          <w:rFonts w:cs="Arial"/>
        </w:rPr>
        <w:t>Freie Vorsorge 3b</w:t>
      </w:r>
    </w:p>
    <w:p w14:paraId="76E4D98E" w14:textId="7F807597" w:rsidR="00D903EC" w:rsidRPr="00D903EC" w:rsidRDefault="00D903EC" w:rsidP="00D903EC">
      <w:pPr>
        <w:rPr>
          <w:rFonts w:ascii="Arial" w:hAnsi="Arial" w:cs="Arial"/>
        </w:rPr>
      </w:pPr>
      <w:r w:rsidRPr="00D903EC">
        <w:rPr>
          <w:rFonts w:ascii="Arial" w:hAnsi="Arial" w:cs="Arial"/>
        </w:rPr>
        <w:t>Zur Säule 3b gehören alle Sparprozesse, über welche man frei verfügen kann. Darunter versteht man z.B. das Sparkonto, Aktien, Obligationen, Erwerb von Wohneigentum und Lebensversicherungen.</w:t>
      </w:r>
    </w:p>
    <w:sectPr w:rsidR="00D903EC" w:rsidRPr="00D903EC">
      <w:headerReference w:type="default" r:id="rId10"/>
      <w:footerReference w:type="default" r:id="rId11"/>
      <w:pgSz w:w="11906" w:h="16838"/>
      <w:pgMar w:top="1985" w:right="1418" w:bottom="1134" w:left="147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C94CB" w14:textId="77777777" w:rsidR="008E1DC7" w:rsidRDefault="008E1DC7">
      <w:pPr>
        <w:spacing w:after="0" w:line="240" w:lineRule="auto"/>
      </w:pPr>
      <w:r>
        <w:separator/>
      </w:r>
    </w:p>
  </w:endnote>
  <w:endnote w:type="continuationSeparator" w:id="0">
    <w:p w14:paraId="6FEF2141" w14:textId="77777777" w:rsidR="008E1DC7" w:rsidRDefault="008E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A40B7" w14:textId="77777777" w:rsidR="0034639E" w:rsidRDefault="00000000">
    <w:pPr>
      <w:pBdr>
        <w:top w:val="nil"/>
        <w:left w:val="nil"/>
        <w:bottom w:val="nil"/>
        <w:right w:val="nil"/>
        <w:between w:val="nil"/>
      </w:pBdr>
      <w:tabs>
        <w:tab w:val="center" w:pos="4536"/>
        <w:tab w:val="right" w:pos="9072"/>
      </w:tabs>
      <w:spacing w:after="0" w:line="240" w:lineRule="auto"/>
      <w:rPr>
        <w:color w:val="000000"/>
        <w:sz w:val="18"/>
        <w:szCs w:val="18"/>
      </w:rPr>
    </w:pPr>
    <w:proofErr w:type="spellStart"/>
    <w:r>
      <w:rPr>
        <w:color w:val="000000"/>
        <w:sz w:val="18"/>
        <w:szCs w:val="18"/>
      </w:rPr>
      <w:t>Handout_Versicherungen.docxSeverin</w:t>
    </w:r>
    <w:proofErr w:type="spellEnd"/>
    <w:r>
      <w:rPr>
        <w:color w:val="000000"/>
        <w:sz w:val="18"/>
        <w:szCs w:val="18"/>
      </w:rPr>
      <w:t xml:space="preserve"> Stöckli &amp; Yannick </w:t>
    </w:r>
    <w:proofErr w:type="spellStart"/>
    <w:r>
      <w:rPr>
        <w:color w:val="000000"/>
        <w:sz w:val="18"/>
        <w:szCs w:val="18"/>
      </w:rPr>
      <w:t>MorgenthalerSeite</w:t>
    </w:r>
    <w:proofErr w:type="spellEnd"/>
    <w:r>
      <w:rPr>
        <w:color w:val="000000"/>
        <w:sz w:val="18"/>
        <w:szCs w:val="18"/>
      </w:rPr>
      <w:t xml:space="preserve">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D903EC">
      <w:rPr>
        <w:b/>
        <w:noProof/>
        <w:color w:val="000000"/>
        <w:sz w:val="18"/>
        <w:szCs w:val="18"/>
      </w:rPr>
      <w:t>1</w:t>
    </w:r>
    <w:r>
      <w:rPr>
        <w:b/>
        <w:color w:val="000000"/>
        <w:sz w:val="18"/>
        <w:szCs w:val="18"/>
      </w:rPr>
      <w:fldChar w:fldCharType="end"/>
    </w:r>
    <w:r>
      <w:rPr>
        <w:color w:val="000000"/>
        <w:sz w:val="18"/>
        <w:szCs w:val="18"/>
      </w:rPr>
      <w:t xml:space="preserve"> von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D903EC">
      <w:rPr>
        <w:b/>
        <w:noProof/>
        <w:color w:val="000000"/>
        <w:sz w:val="18"/>
        <w:szCs w:val="18"/>
      </w:rPr>
      <w:t>2</w:t>
    </w:r>
    <w:r>
      <w:rPr>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70170" w14:textId="77777777" w:rsidR="008E1DC7" w:rsidRDefault="008E1DC7">
      <w:pPr>
        <w:spacing w:after="0" w:line="240" w:lineRule="auto"/>
      </w:pPr>
      <w:r>
        <w:separator/>
      </w:r>
    </w:p>
  </w:footnote>
  <w:footnote w:type="continuationSeparator" w:id="0">
    <w:p w14:paraId="6B120078" w14:textId="77777777" w:rsidR="008E1DC7" w:rsidRDefault="008E1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65F9" w14:textId="77777777" w:rsidR="0034639E" w:rsidRDefault="00000000">
    <w:pPr>
      <w:pBdr>
        <w:top w:val="nil"/>
        <w:left w:val="nil"/>
        <w:bottom w:val="nil"/>
        <w:right w:val="nil"/>
        <w:between w:val="nil"/>
      </w:pBdr>
      <w:tabs>
        <w:tab w:val="center" w:pos="4536"/>
        <w:tab w:val="right" w:pos="9072"/>
      </w:tabs>
      <w:spacing w:after="0" w:line="240" w:lineRule="auto"/>
      <w:rPr>
        <w:color w:val="000000"/>
        <w:sz w:val="18"/>
        <w:szCs w:val="18"/>
      </w:rPr>
    </w:pPr>
    <w:r>
      <w:rPr>
        <w:noProof/>
        <w:color w:val="000000"/>
      </w:rPr>
      <w:drawing>
        <wp:anchor distT="0" distB="0" distL="114300" distR="114300" simplePos="0" relativeHeight="251658240" behindDoc="0" locked="0" layoutInCell="1" hidden="0" allowOverlap="1" wp14:anchorId="6F0C4637" wp14:editId="44EEA9A3">
          <wp:simplePos x="0" y="0"/>
          <wp:positionH relativeFrom="margin">
            <wp:posOffset>2790190</wp:posOffset>
          </wp:positionH>
          <wp:positionV relativeFrom="page">
            <wp:posOffset>252095</wp:posOffset>
          </wp:positionV>
          <wp:extent cx="3639600" cy="95400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39600" cy="954000"/>
                  </a:xfrm>
                  <a:prstGeom prst="rect">
                    <a:avLst/>
                  </a:prstGeom>
                  <a:ln/>
                </pic:spPr>
              </pic:pic>
            </a:graphicData>
          </a:graphic>
        </wp:anchor>
      </w:drawing>
    </w:r>
    <w:r>
      <w:rPr>
        <w:color w:val="000000"/>
      </w:rPr>
      <w:t>ABU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0404C"/>
    <w:multiLevelType w:val="multilevel"/>
    <w:tmpl w:val="EAD6D306"/>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165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39E"/>
    <w:rsid w:val="0034639E"/>
    <w:rsid w:val="008E1DC7"/>
    <w:rsid w:val="00B82ED8"/>
    <w:rsid w:val="00C12777"/>
    <w:rsid w:val="00D903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405D"/>
  <w15:docId w15:val="{C5F0D4B6-506E-464A-948A-5D5CE883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6101"/>
  </w:style>
  <w:style w:type="paragraph" w:styleId="berschrift1">
    <w:name w:val="heading 1"/>
    <w:basedOn w:val="Standard"/>
    <w:next w:val="Standard"/>
    <w:link w:val="berschrift1Zchn"/>
    <w:uiPriority w:val="9"/>
    <w:qFormat/>
    <w:rsid w:val="00D903EC"/>
    <w:pPr>
      <w:keepNext/>
      <w:keepLines/>
      <w:spacing w:before="240" w:after="0" w:line="360" w:lineRule="auto"/>
      <w:jc w:val="center"/>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D903EC"/>
    <w:pPr>
      <w:keepNext/>
      <w:keepLines/>
      <w:spacing w:before="40" w:after="0" w:line="360" w:lineRule="auto"/>
      <w:outlineLvl w:val="1"/>
    </w:pPr>
    <w:rPr>
      <w:rFonts w:ascii="Arial" w:eastAsiaTheme="majorEastAsia" w:hAnsi="Arial" w:cstheme="majorBidi"/>
      <w:b/>
      <w:sz w:val="26"/>
      <w:szCs w:val="26"/>
    </w:rPr>
  </w:style>
  <w:style w:type="paragraph" w:styleId="berschrift3">
    <w:name w:val="heading 3"/>
    <w:basedOn w:val="Standard"/>
    <w:next w:val="Standard"/>
    <w:link w:val="berschrift3Zchn"/>
    <w:uiPriority w:val="9"/>
    <w:semiHidden/>
    <w:unhideWhenUsed/>
    <w:qFormat/>
    <w:rsid w:val="007A0D81"/>
    <w:pPr>
      <w:keepNext/>
      <w:keepLines/>
      <w:spacing w:before="40" w:after="0" w:line="360" w:lineRule="auto"/>
      <w:outlineLvl w:val="2"/>
    </w:pPr>
    <w:rPr>
      <w:rFonts w:eastAsiaTheme="majorEastAsia" w:cstheme="majorBidi"/>
      <w:b/>
      <w:color w:val="2F5496" w:themeColor="accent1" w:themeShade="BF"/>
      <w:szCs w:val="24"/>
    </w:rPr>
  </w:style>
  <w:style w:type="paragraph" w:styleId="berschrift4">
    <w:name w:val="heading 4"/>
    <w:basedOn w:val="Standard"/>
    <w:next w:val="Standard"/>
    <w:link w:val="berschrift4Zchn"/>
    <w:uiPriority w:val="9"/>
    <w:semiHidden/>
    <w:unhideWhenUsed/>
    <w:qFormat/>
    <w:rsid w:val="007A0D81"/>
    <w:pPr>
      <w:keepNext/>
      <w:keepLines/>
      <w:spacing w:before="40" w:after="0"/>
      <w:outlineLvl w:val="3"/>
    </w:pPr>
    <w:rPr>
      <w:rFonts w:asciiTheme="majorHAnsi" w:eastAsiaTheme="majorEastAsia" w:hAnsiTheme="majorHAnsi" w:cstheme="majorBidi"/>
      <w:b/>
      <w:iCs/>
      <w:color w:val="2F5496" w:themeColor="accent1" w:themeShade="BF"/>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D903EC"/>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D903EC"/>
    <w:rPr>
      <w:rFonts w:ascii="Arial" w:eastAsiaTheme="majorEastAsia" w:hAnsi="Arial" w:cstheme="majorBidi"/>
      <w:b/>
      <w:sz w:val="26"/>
      <w:szCs w:val="26"/>
    </w:rPr>
  </w:style>
  <w:style w:type="paragraph" w:customStyle="1" w:styleId="Formatvorlage1">
    <w:name w:val="Formatvorlage1"/>
    <w:basedOn w:val="Standard"/>
    <w:next w:val="Standard"/>
    <w:qFormat/>
    <w:rsid w:val="00476720"/>
    <w:pPr>
      <w:spacing w:after="0" w:line="240" w:lineRule="auto"/>
      <w:ind w:left="5102"/>
    </w:pPr>
    <w:rPr>
      <w:rFonts w:cs="Arial"/>
    </w:rPr>
  </w:style>
  <w:style w:type="paragraph" w:customStyle="1" w:styleId="OrtDatum">
    <w:name w:val="Ort/Datum"/>
    <w:basedOn w:val="Standard"/>
    <w:qFormat/>
    <w:rsid w:val="00476720"/>
    <w:pPr>
      <w:spacing w:after="0" w:line="240" w:lineRule="auto"/>
      <w:ind w:left="5102"/>
    </w:pPr>
    <w:rPr>
      <w:rFonts w:cs="Arial"/>
    </w:rPr>
  </w:style>
  <w:style w:type="paragraph" w:customStyle="1" w:styleId="Grussformel">
    <w:name w:val="Grussformel"/>
    <w:basedOn w:val="Standard"/>
    <w:qFormat/>
    <w:rsid w:val="00476720"/>
    <w:pPr>
      <w:spacing w:after="0" w:line="240" w:lineRule="auto"/>
      <w:ind w:left="5102"/>
    </w:pPr>
    <w:rPr>
      <w:rFonts w:cs="Arial"/>
    </w:rPr>
  </w:style>
  <w:style w:type="character" w:customStyle="1" w:styleId="berschrift4Zchn">
    <w:name w:val="Überschrift 4 Zchn"/>
    <w:basedOn w:val="Absatz-Standardschriftart"/>
    <w:link w:val="berschrift4"/>
    <w:uiPriority w:val="9"/>
    <w:rsid w:val="007A0D81"/>
    <w:rPr>
      <w:rFonts w:asciiTheme="majorHAnsi" w:eastAsiaTheme="majorEastAsia" w:hAnsiTheme="majorHAnsi" w:cstheme="majorBidi"/>
      <w:b/>
      <w:iCs/>
      <w:color w:val="2F5496" w:themeColor="accent1" w:themeShade="BF"/>
      <w:sz w:val="24"/>
    </w:rPr>
  </w:style>
  <w:style w:type="character" w:customStyle="1" w:styleId="berschrift3Zchn">
    <w:name w:val="Überschrift 3 Zchn"/>
    <w:basedOn w:val="Absatz-Standardschriftart"/>
    <w:link w:val="berschrift3"/>
    <w:uiPriority w:val="9"/>
    <w:rsid w:val="007A0D81"/>
    <w:rPr>
      <w:rFonts w:ascii="Arial" w:eastAsiaTheme="majorEastAsia" w:hAnsi="Arial" w:cstheme="majorBidi"/>
      <w:b/>
      <w:color w:val="2F5496" w:themeColor="accent1" w:themeShade="BF"/>
      <w:sz w:val="24"/>
      <w:szCs w:val="24"/>
    </w:rPr>
  </w:style>
  <w:style w:type="paragraph" w:customStyle="1" w:styleId="GrussformelmitUnterschrift">
    <w:name w:val="Grussformel mit Unterschrift"/>
    <w:basedOn w:val="Grussformel"/>
    <w:next w:val="Standard"/>
    <w:link w:val="GrussformelmitUnterschriftZchn"/>
    <w:qFormat/>
    <w:rsid w:val="00B973AB"/>
  </w:style>
  <w:style w:type="character" w:customStyle="1" w:styleId="GrussformelmitUnterschriftZchn">
    <w:name w:val="Grussformel mit Unterschrift Zchn"/>
    <w:basedOn w:val="Absatz-Standardschriftart"/>
    <w:link w:val="GrussformelmitUnterschrift"/>
    <w:rsid w:val="00B973AB"/>
    <w:rPr>
      <w:rFonts w:ascii="Arial" w:hAnsi="Arial" w:cs="Arial"/>
      <w:lang w:val="de-CH"/>
    </w:rPr>
  </w:style>
  <w:style w:type="paragraph" w:styleId="Kopfzeile">
    <w:name w:val="header"/>
    <w:basedOn w:val="Standard"/>
    <w:link w:val="KopfzeileZchn"/>
    <w:uiPriority w:val="99"/>
    <w:unhideWhenUsed/>
    <w:rsid w:val="004768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68AA"/>
  </w:style>
  <w:style w:type="paragraph" w:styleId="Fuzeile">
    <w:name w:val="footer"/>
    <w:basedOn w:val="Standard"/>
    <w:link w:val="FuzeileZchn"/>
    <w:uiPriority w:val="99"/>
    <w:unhideWhenUsed/>
    <w:rsid w:val="004768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68AA"/>
  </w:style>
  <w:style w:type="character" w:styleId="Platzhaltertext">
    <w:name w:val="Placeholder Text"/>
    <w:basedOn w:val="Absatz-Standardschriftart"/>
    <w:uiPriority w:val="99"/>
    <w:semiHidden/>
    <w:rsid w:val="004768AA"/>
    <w:rPr>
      <w:color w:val="808080"/>
    </w:rPr>
  </w:style>
  <w:style w:type="table" w:styleId="Tabellenraster">
    <w:name w:val="Table Grid"/>
    <w:basedOn w:val="NormaleTabelle"/>
    <w:uiPriority w:val="39"/>
    <w:rsid w:val="0052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HVeLcCfLkS6iZgvbld5ED4qHzg==">AMUW2mUkUBOb0OZ40JiLs3HNEqP7h5wbCTQ/9qbhXmTYrZejshE7hl3vzdJIwv81+1AuBwH+hOyGi1O0Cd5+7F5yjBkpKZpglFdjFpf6nhhdHXcBVdn/oBg=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F0C5D7-62E5-4503-A1CE-0C677AF6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565</Words>
  <Characters>3566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Stöckli</dc:creator>
  <cp:lastModifiedBy>Morgenthaler, Yannick (GIBM)</cp:lastModifiedBy>
  <cp:revision>4</cp:revision>
  <cp:lastPrinted>2023-03-15T21:50:00Z</cp:lastPrinted>
  <dcterms:created xsi:type="dcterms:W3CDTF">2023-03-14T15:34:00Z</dcterms:created>
  <dcterms:modified xsi:type="dcterms:W3CDTF">2023-03-15T21:51:00Z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67d647-1785-43ca-b3f9-a034d484e017_Enabled">
    <vt:lpwstr>true</vt:lpwstr>
  </property>
  <property fmtid="{D5CDD505-2E9C-101B-9397-08002B2CF9AE}" pid="3" name="MSIP_Label_6167d647-1785-43ca-b3f9-a034d484e017_SetDate">
    <vt:lpwstr>2020-11-19T07:51:16Z</vt:lpwstr>
  </property>
  <property fmtid="{D5CDD505-2E9C-101B-9397-08002B2CF9AE}" pid="4" name="MSIP_Label_6167d647-1785-43ca-b3f9-a034d484e017_Method">
    <vt:lpwstr>Privileged</vt:lpwstr>
  </property>
  <property fmtid="{D5CDD505-2E9C-101B-9397-08002B2CF9AE}" pid="5" name="MSIP_Label_6167d647-1785-43ca-b3f9-a034d484e017_Name">
    <vt:lpwstr>General Data</vt:lpwstr>
  </property>
  <property fmtid="{D5CDD505-2E9C-101B-9397-08002B2CF9AE}" pid="6" name="MSIP_Label_6167d647-1785-43ca-b3f9-a034d484e017_SiteId">
    <vt:lpwstr>bbde3ae7-fe35-4f4e-82d1-a675d055bd2e</vt:lpwstr>
  </property>
  <property fmtid="{D5CDD505-2E9C-101B-9397-08002B2CF9AE}" pid="7" name="MSIP_Label_6167d647-1785-43ca-b3f9-a034d484e017_ActionId">
    <vt:lpwstr>237db4ce-a8f0-44e2-aa43-e1c82d60be8a</vt:lpwstr>
  </property>
  <property fmtid="{D5CDD505-2E9C-101B-9397-08002B2CF9AE}" pid="8" name="MSIP_Label_6167d647-1785-43ca-b3f9-a034d484e017_ContentBits">
    <vt:lpwstr>0</vt:lpwstr>
  </property>
</Properties>
</file>