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Wirtschaftsgüter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Investitionsgüter werden unterteilt in Potentialfaktoren und Repetierfaktoren.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Potentialfaktoren: </w:t>
      </w:r>
      <w:r w:rsidDel="00000000" w:rsidR="00000000" w:rsidRPr="00000000">
        <w:rPr>
          <w:rtl w:val="0"/>
        </w:rPr>
        <w:t xml:space="preserve">Sind solche Produktionsfaktoren, die nicht durch den einmaligen Einsatz in der Produktion verzehrt werden.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Bsp. Gebäude, Maschinen, Werkzeuge, Betriebscomputer.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Repetierfaktoren: </w:t>
      </w:r>
      <w:r w:rsidDel="00000000" w:rsidR="00000000" w:rsidRPr="00000000">
        <w:rPr>
          <w:rtl w:val="0"/>
        </w:rPr>
        <w:t xml:space="preserve">Sie werden im Leistungsprozess verbraucht, müssen daher laufend neu beschafft und eingesetzt werden.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Bsp. Rohstoffe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BBZ BL-IT/BWL 1/ TEAY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A77435"/>
    <w:pPr>
      <w:tabs>
        <w:tab w:val="center" w:pos="4513"/>
        <w:tab w:val="right" w:pos="9026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A77435"/>
  </w:style>
  <w:style w:type="paragraph" w:styleId="Fuzeile">
    <w:name w:val="footer"/>
    <w:basedOn w:val="Standard"/>
    <w:link w:val="FuzeileZchn"/>
    <w:uiPriority w:val="99"/>
    <w:unhideWhenUsed w:val="1"/>
    <w:rsid w:val="00A77435"/>
    <w:pPr>
      <w:tabs>
        <w:tab w:val="center" w:pos="4513"/>
        <w:tab w:val="right" w:pos="9026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A7743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bMrIouWsjtQsyXK3JrKfqtvDw==">AMUW2mXt3U9kb8R9/SOyD2M1iTP7ch50/uULWHYa4Ac1hY462vyqcFw880P+kU+gHvA7ze7uWn0EuIBUbgAn9CQuSxfQyKRYDiLAGJ8Y5C89Oe6BQL8GwwI=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2020-09-09T09:51:00Z</dcterms:created>
  <dc:creator>ayse</dc:creator>
</cp:coreProperties>
</file>