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МИНИСТЕРСТВО ОБРАЗОВАНИЯ САХАЛИНСКОЙ ОБЛАСТИ</w:t>
      </w:r>
    </w:p>
    <w:p>
      <w:pPr>
        <w:spacing w:before="0" w:after="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ГОСУДАРСТВЕННОЕ БЮДЖЕТНОЕ ПРОФЕССИОНАЛЬНОЕ ОБРАЗОВАТЕЛЬНОЕ УЧРЕЖДЕНИЕ</w:t>
      </w:r>
    </w:p>
    <w:p>
      <w:pPr>
        <w:spacing w:before="0" w:after="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«Сахалинский промышленно-экономический техникум»</w:t>
      </w:r>
    </w:p>
    <w:p>
      <w:pPr>
        <w:spacing w:before="0" w:after="120" w:line="276" w:lineRule="auto"/>
        <w:jc w:val="both"/>
      </w:pPr>
    </w:p>
    <w:tbl>
      <w:tblPr>
        <w:tblW w:type="dxa" w:w="963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21"/>
        <w:gridCol w:w="4814"/>
      </w:tblGrid>
      <w:tr>
        <w:tc>
          <w:tcPr>
            <w:tcW w:type="dxa" w:w="482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</w:r>
          </w:p>
        </w:tc>
        <w:tc>
          <w:tcPr>
            <w:tcW w:type="dxa" w:w="4814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УТВЕРЖДАЮ</w:t>
            </w:r>
          </w:p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Зам. директора по УПР</w:t>
            </w:r>
          </w:p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_____________ А.А. Олейник</w:t>
            </w:r>
          </w:p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«____»___________2026 г.</w:t>
            </w:r>
          </w:p>
        </w:tc>
      </w:tr>
    </w:tbl>
    <w:p>
      <w:pPr>
        <w:spacing w:before="0" w:after="120" w:line="276" w:lineRule="auto"/>
        <w:jc w:val="both"/>
      </w:pPr>
    </w:p>
    <w:p>
      <w:pPr>
        <w:spacing w:before="0" w:after="120" w:line="276" w:lineRule="auto"/>
        <w:jc w:val="both"/>
      </w:pPr>
    </w:p>
    <w:p>
      <w:pPr>
        <w:spacing w:before="0" w:after="120" w:line="276" w:lineRule="auto"/>
        <w:jc w:val="both"/>
      </w:pPr>
    </w:p>
    <w:p>
      <w:pPr>
        <w:spacing w:before="0" w:after="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32"/>
        </w:rPr>
        <w:t>РАБОЧАЯ ПРОГРАММА</w:t>
        <w:br/>
        <w:t>УЧЕБНОЙ ПРАКТИКИ</w:t>
      </w:r>
    </w:p>
    <w:p>
      <w:pPr>
        <w:spacing w:before="0" w:after="0" w:line="276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</w:rPr>
        <w:t>(в форме практической подготовки)</w:t>
      </w:r>
    </w:p>
    <w:p>
      <w:pPr>
        <w:spacing w:before="0" w:after="120" w:line="276" w:lineRule="auto"/>
        <w:jc w:val="both"/>
      </w:pPr>
    </w:p>
    <w:p>
      <w:pPr>
        <w:spacing w:before="0" w:after="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ПМ 01 ПРОЕКТИРОВАНИЕ ЦИФРОВЫХ СИСТЕМ</w:t>
      </w:r>
    </w:p>
    <w:p>
      <w:pPr>
        <w:spacing w:before="0" w:after="0" w:line="276" w:lineRule="auto"/>
        <w:jc w:val="center"/>
      </w:pPr>
      <w:r>
        <w:rPr>
          <w:rFonts w:ascii="Times New Roman" w:hAnsi="Times New Roman"/>
          <w:b w:val="0"/>
          <w:i/>
          <w:color w:val="000000"/>
          <w:sz w:val="24"/>
        </w:rPr>
        <w:t>код и наименование профессионального модуля</w:t>
      </w:r>
    </w:p>
    <w:p>
      <w:pPr>
        <w:spacing w:before="0" w:after="120" w:line="276" w:lineRule="auto"/>
        <w:jc w:val="both"/>
      </w:pPr>
    </w:p>
    <w:p>
      <w:pPr>
        <w:spacing w:before="0" w:after="120" w:line="276" w:lineRule="auto"/>
        <w:jc w:val="both"/>
      </w:pPr>
    </w:p>
    <w:p>
      <w:pPr>
        <w:spacing w:before="0" w:after="0" w:line="276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</w:rPr>
        <w:t>для студентов группы ОВ-2501</w:t>
      </w:r>
    </w:p>
    <w:p>
      <w:pPr>
        <w:spacing w:before="0" w:after="0" w:line="276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</w:rPr>
        <w:t>обучающихся по специальности</w:t>
      </w:r>
    </w:p>
    <w:p>
      <w:pPr>
        <w:spacing w:before="0" w:after="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09.02.01 Компьютерные системы и комплексы</w:t>
      </w:r>
    </w:p>
    <w:p>
      <w:pPr>
        <w:spacing w:before="0" w:after="0" w:line="276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</w:rPr>
        <w:t>________________________________________________</w:t>
      </w:r>
    </w:p>
    <w:p>
      <w:pPr>
        <w:spacing w:before="0" w:after="0" w:line="276" w:lineRule="auto"/>
        <w:jc w:val="center"/>
      </w:pPr>
      <w:r>
        <w:rPr>
          <w:rFonts w:ascii="Times New Roman" w:hAnsi="Times New Roman"/>
          <w:b w:val="0"/>
          <w:i/>
          <w:color w:val="000000"/>
          <w:sz w:val="24"/>
        </w:rPr>
        <w:t>Код и наименование специальности</w:t>
      </w:r>
    </w:p>
    <w:p>
      <w:pPr>
        <w:spacing w:before="0" w:after="120" w:line="276" w:lineRule="auto"/>
        <w:jc w:val="both"/>
      </w:pPr>
    </w:p>
    <w:p>
      <w:pPr>
        <w:spacing w:before="0" w:after="120" w:line="276" w:lineRule="auto"/>
        <w:jc w:val="both"/>
      </w:pPr>
    </w:p>
    <w:p>
      <w:pPr>
        <w:spacing w:before="0" w:after="120" w:line="276" w:lineRule="auto"/>
        <w:jc w:val="both"/>
      </w:pPr>
    </w:p>
    <w:p>
      <w:pPr>
        <w:spacing w:before="0" w:after="120" w:line="276" w:lineRule="auto"/>
        <w:jc w:val="both"/>
      </w:pPr>
    </w:p>
    <w:p>
      <w:pPr>
        <w:spacing w:before="0" w:after="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Южно-Сахалинск, 2026 г.</w:t>
      </w:r>
    </w:p>
    <w:p>
      <w:pPr>
        <w:pageBreakBefore/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Рабочая программа учебной практики разработана в соответствии с требованиями Федерального государственного образовательного стандарта среднего профессионального образования (ФГОС СПО) по специальности 09.02.01 «Компьютерные системы и комплексы», утвержденного приказом Минпросвещения России от 25.05.2022 № 362 (с изменениями, внесенными приказом Минпросвещения России от 03.07.2024 № 464), с учетом Примерной образовательной программы «Профессионалитет» (ПОП-П, протокол федерального учебно-методического объединения от 24.07.2025 № 5/2025), в соответствии с Положением о практической подготовке обучающихся, утвержденным приказом Министерства науки и высшего образования РФ и Министерства просвещения Российской Федерации от «05» августа 2020 г. № 885/390 и зарегистрированным в Минюсте России «11» сентября 2020 г. № 59778.</w:t>
      </w:r>
    </w:p>
    <w:p>
      <w:pPr>
        <w:spacing w:before="0" w:after="120" w:line="276" w:lineRule="auto"/>
        <w:jc w:val="both"/>
      </w:pPr>
    </w:p>
    <w:p>
      <w:pPr>
        <w:spacing w:before="0" w:after="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Согласовано</w:t>
      </w:r>
    </w:p>
    <w:p>
      <w:pPr>
        <w:spacing w:before="0" w:after="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Заведующая отделом УПО</w:t>
      </w:r>
    </w:p>
    <w:p>
      <w:pPr>
        <w:spacing w:before="0" w:after="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______________ / М.О. Корнильцева</w:t>
      </w:r>
    </w:p>
    <w:p>
      <w:pPr>
        <w:spacing w:before="0" w:after="120" w:line="276" w:lineRule="auto"/>
        <w:jc w:val="both"/>
      </w:pPr>
    </w:p>
    <w:p>
      <w:pPr>
        <w:spacing w:before="0" w:after="120" w:line="276" w:lineRule="auto"/>
        <w:jc w:val="both"/>
      </w:pPr>
    </w:p>
    <w:p>
      <w:pPr>
        <w:spacing w:before="0" w:after="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Рассмотрено на заседании</w:t>
      </w:r>
    </w:p>
    <w:p>
      <w:pPr>
        <w:spacing w:before="0" w:after="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Методического совета ГБПОУ «СПЭТ»</w:t>
      </w:r>
    </w:p>
    <w:p>
      <w:pPr>
        <w:spacing w:before="0" w:after="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Протокол № _____ от «____»__________ г.</w:t>
      </w:r>
    </w:p>
    <w:p>
      <w:pPr>
        <w:spacing w:before="0" w:after="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Председатель МС _______ Т.Б. Шулева</w:t>
      </w:r>
    </w:p>
    <w:p>
      <w:pPr>
        <w:spacing w:before="0" w:after="120" w:line="276" w:lineRule="auto"/>
        <w:jc w:val="both"/>
      </w:pPr>
    </w:p>
    <w:p>
      <w:pPr>
        <w:spacing w:before="0" w:after="120" w:line="276" w:lineRule="auto"/>
        <w:jc w:val="both"/>
      </w:pPr>
    </w:p>
    <w:p>
      <w:pPr>
        <w:spacing w:before="0" w:after="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Разработчик:</w:t>
      </w:r>
    </w:p>
    <w:p>
      <w:pPr>
        <w:spacing w:before="0" w:after="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мастер П/О ГБПОУ «СПЭТ»,</w:t>
      </w:r>
    </w:p>
    <w:p>
      <w:pPr>
        <w:spacing w:before="0" w:after="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___________ Р. А. Гарбар</w:t>
      </w:r>
    </w:p>
    <w:p>
      <w:pPr>
        <w:pageBreakBefore/>
        <w:spacing w:before="0" w:after="20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СОДЕРЖАНИЕ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1. ПАСПОРТ ПРОГРАММЫ УЧЕБНОЙ ПРАКТИКИ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2. СТРУКТУРА И СОДЕРЖАНИЕ УЧЕБНОЙ ПРАКТИКИ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3. УСЛОВИЯ РЕАЛИЗАЦИИ ПРОГРАММЫ ПРАКТИКИ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4. КОНТРОЛЬ И ОЦЕНКА РЕЗУЛЬТАТОВ ОСВОЕНИЯ ПРАКТИКИ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5. КОНТРОЛЬНО-ИЗМЕРИТЕЛЬНЫЕ МАТЕРИАЛЫ ПРОМЕЖУТОЧНОЙ АТТЕСТАЦИИ (ЗАДАНИЕ ДИФФЕРЕНЦИРОВАННОГО ЗАЧЕТА)</w:t>
      </w:r>
    </w:p>
    <w:p>
      <w:pPr>
        <w:pageBreakBefore/>
        <w:spacing w:before="0" w:after="20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1. ПАСПОРТ ПРОГРАММЫ УЧЕБНОЙ ПРАКТИКИ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1.1. Область применения программы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Рабочая программа учебной практики (далее – программа) является частью основной профессиональной образовательной программы – программы подготовки специалистов среднего звена в соответствии с ФГОС СПО по специальности 09.02.01 Компьютерные системы и комплексы в части освоения вида профессиональной деятельности (ВД) проектирование цифровых систем (ВД 01) и соответствующих профессиональных (ПК) и общих (ОК) компетенций, личностных результатов (ЛР).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1.2. Цели и задачи учебной практики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Учебная практика предусматривает закрепление и углубление знаний, полученных обучающимися в процессе теоретического обучения по ПМ 01, приобретение умений практической работы по проектированию цифровых систем: разработке схем электронных устройств, применению САПР, оформлению конструкторской документации, прототипированию и испытаниям цифровых устройств. Практика проводится в лабораториях и мастерских техникума в форме практической подготовки.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Результатом освоения программы учебной практики является освоение обучающимся следующего вида профессиональной деятельности: проектирование цифровых систем (ВД 01), ряда общих и профессиональных компетенций и личностных результатов:</w:t>
      </w:r>
    </w:p>
    <w:tbl>
      <w:tblPr>
        <w:tblStyle w:val="TableGrid"/>
        <w:tblW w:type="dxa" w:w="10031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101"/>
        <w:gridCol w:w="8930"/>
      </w:tblGrid>
      <w:tr>
        <w:tc>
          <w:tcPr>
            <w:tcW w:type="dxa" w:w="1101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Код</w:t>
            </w:r>
          </w:p>
        </w:tc>
        <w:tc>
          <w:tcPr>
            <w:tcW w:type="dxa" w:w="8930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Наименование результата обучения</w:t>
            </w:r>
          </w:p>
        </w:tc>
      </w:tr>
      <w:tr>
        <w:tc>
          <w:tcPr>
            <w:tcW w:type="dxa" w:w="110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 1.1</w:t>
            </w:r>
          </w:p>
        </w:tc>
        <w:tc>
          <w:tcPr>
            <w:tcW w:type="dxa" w:w="8930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Анализировать требования технического задания на проектирование цифровых систем.</w:t>
            </w:r>
          </w:p>
        </w:tc>
      </w:tr>
      <w:tr>
        <w:tc>
          <w:tcPr>
            <w:tcW w:type="dxa" w:w="110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 1.2</w:t>
            </w:r>
          </w:p>
        </w:tc>
        <w:tc>
          <w:tcPr>
            <w:tcW w:type="dxa" w:w="8930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Разрабатывать схемы электронных устройств на основе интегральных схем разной степени интеграции в соответствии с техническим заданием.</w:t>
            </w:r>
          </w:p>
        </w:tc>
      </w:tr>
      <w:tr>
        <w:tc>
          <w:tcPr>
            <w:tcW w:type="dxa" w:w="110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 1.3</w:t>
            </w:r>
          </w:p>
        </w:tc>
        <w:tc>
          <w:tcPr>
            <w:tcW w:type="dxa" w:w="8930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Оформлять техническую документацию на проектируемые устройства.</w:t>
            </w:r>
          </w:p>
        </w:tc>
      </w:tr>
      <w:tr>
        <w:tc>
          <w:tcPr>
            <w:tcW w:type="dxa" w:w="110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 1.4</w:t>
            </w:r>
          </w:p>
        </w:tc>
        <w:tc>
          <w:tcPr>
            <w:tcW w:type="dxa" w:w="8930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Выполнять прототипирование цифровых систем, в том числе – с применением виртуальных средств.</w:t>
            </w:r>
          </w:p>
        </w:tc>
      </w:tr>
      <w:tr>
        <w:tc>
          <w:tcPr>
            <w:tcW w:type="dxa" w:w="110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 01</w:t>
            </w:r>
          </w:p>
        </w:tc>
        <w:tc>
          <w:tcPr>
            <w:tcW w:type="dxa" w:w="8930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Выбирать способы решения задач профессиональной деятельности применительно к различным контекстам.</w:t>
            </w:r>
          </w:p>
        </w:tc>
      </w:tr>
      <w:tr>
        <w:tc>
          <w:tcPr>
            <w:tcW w:type="dxa" w:w="110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 02</w:t>
            </w:r>
          </w:p>
        </w:tc>
        <w:tc>
          <w:tcPr>
            <w:tcW w:type="dxa" w:w="8930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Использовать современные средства поиска, анализа и интерпретации информации и информационные технологии для выполнения задач профессиональной деятельности.</w:t>
            </w:r>
          </w:p>
        </w:tc>
      </w:tr>
      <w:tr>
        <w:tc>
          <w:tcPr>
            <w:tcW w:type="dxa" w:w="110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 03</w:t>
            </w:r>
          </w:p>
        </w:tc>
        <w:tc>
          <w:tcPr>
            <w:tcW w:type="dxa" w:w="8930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правовой и финансовой грамотности в различных жизненных ситуациях.</w:t>
            </w:r>
          </w:p>
        </w:tc>
      </w:tr>
      <w:tr>
        <w:tc>
          <w:tcPr>
            <w:tcW w:type="dxa" w:w="110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 04</w:t>
            </w:r>
          </w:p>
        </w:tc>
        <w:tc>
          <w:tcPr>
            <w:tcW w:type="dxa" w:w="8930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Эффективно взаимодействовать и работать в коллективе и команде.</w:t>
            </w:r>
          </w:p>
        </w:tc>
      </w:tr>
      <w:tr>
        <w:tc>
          <w:tcPr>
            <w:tcW w:type="dxa" w:w="110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 05</w:t>
            </w:r>
          </w:p>
        </w:tc>
        <w:tc>
          <w:tcPr>
            <w:tcW w:type="dxa" w:w="8930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контекста.</w:t>
            </w:r>
          </w:p>
        </w:tc>
      </w:tr>
      <w:tr>
        <w:tc>
          <w:tcPr>
            <w:tcW w:type="dxa" w:w="110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 09</w:t>
            </w:r>
          </w:p>
        </w:tc>
        <w:tc>
          <w:tcPr>
            <w:tcW w:type="dxa" w:w="8930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Пользоваться профессиональной документацией на государственном и иностранном языках.</w:t>
            </w:r>
          </w:p>
        </w:tc>
      </w:tr>
    </w:tbl>
    <w:p>
      <w:pPr>
        <w:spacing w:before="0" w:after="120" w:line="276" w:lineRule="auto"/>
        <w:ind w:firstLine="709"/>
        <w:jc w:val="both"/>
      </w:pP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В процессе прохождения учебной практики обучающийся должен достичь следующих личностных результатов в соответствии с программой воспитания на 2026–2027 учебный год:</w:t>
      </w:r>
    </w:p>
    <w:tbl>
      <w:tblPr>
        <w:tblStyle w:val="TableGrid"/>
        <w:tblW w:type="dxa" w:w="10031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101"/>
        <w:gridCol w:w="8930"/>
      </w:tblGrid>
      <w:tr>
        <w:tc>
          <w:tcPr>
            <w:tcW w:type="dxa" w:w="1101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Код</w:t>
            </w:r>
          </w:p>
        </w:tc>
        <w:tc>
          <w:tcPr>
            <w:tcW w:type="dxa" w:w="8930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Наименование личностного результата</w:t>
            </w:r>
          </w:p>
        </w:tc>
      </w:tr>
      <w:tr>
        <w:tc>
          <w:tcPr>
            <w:tcW w:type="dxa" w:w="110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ЛР13</w:t>
            </w:r>
          </w:p>
        </w:tc>
        <w:tc>
          <w:tcPr>
            <w:tcW w:type="dxa" w:w="8930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Понимающий и деятельно выражающий понимание ценности межнационального, межрелигиозного согласия, способный вести диалог с людьми разных национальностей и вероисповеданий, находить общие цели и сотрудничать для их достижения.</w:t>
            </w:r>
          </w:p>
        </w:tc>
      </w:tr>
      <w:tr>
        <w:tc>
          <w:tcPr>
            <w:tcW w:type="dxa" w:w="110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ЛР15</w:t>
            </w:r>
          </w:p>
        </w:tc>
        <w:tc>
          <w:tcPr>
            <w:tcW w:type="dxa" w:w="8930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Обладающий сформированными представлениями о ценности и значении в отечественной и мировой культуре языков и литературы народов России</w:t>
            </w:r>
          </w:p>
        </w:tc>
      </w:tr>
      <w:tr>
        <w:tc>
          <w:tcPr>
            <w:tcW w:type="dxa" w:w="110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ЛР28</w:t>
            </w:r>
          </w:p>
        </w:tc>
        <w:tc>
          <w:tcPr>
            <w:tcW w:type="dxa" w:w="8930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Участвующий в социально значимой трудовой и профессиональной деятельности разного вида в семье, образовательной организации, на базах производственной практики, в своей местности.</w:t>
            </w:r>
          </w:p>
        </w:tc>
      </w:tr>
      <w:tr>
        <w:tc>
          <w:tcPr>
            <w:tcW w:type="dxa" w:w="110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ЛР29</w:t>
            </w:r>
          </w:p>
        </w:tc>
        <w:tc>
          <w:tcPr>
            <w:tcW w:type="dxa" w:w="8930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Выражающий осознанную готовность к непрерывному образованию и самообразованию в выбранной сфере профессиональной деятельности.</w:t>
            </w:r>
          </w:p>
        </w:tc>
      </w:tr>
      <w:tr>
        <w:tc>
          <w:tcPr>
            <w:tcW w:type="dxa" w:w="110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ЛР30</w:t>
            </w:r>
          </w:p>
        </w:tc>
        <w:tc>
          <w:tcPr>
            <w:tcW w:type="dxa" w:w="8930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Понимающий специфику профессионально-трудовой деятельности, регулирования трудовых отношений, готовый учиться и трудиться в современном высокотехнологичном мире на благо государства и общества.</w:t>
            </w:r>
          </w:p>
        </w:tc>
      </w:tr>
      <w:tr>
        <w:tc>
          <w:tcPr>
            <w:tcW w:type="dxa" w:w="110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ЛР31</w:t>
            </w:r>
          </w:p>
        </w:tc>
        <w:tc>
          <w:tcPr>
            <w:tcW w:type="dxa" w:w="8930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Ориентированный на осознанное освоение выбранной сферы профессиональной деятельности с учётом личных жизненных планов, потребностей своей семьи, государства и общества.</w:t>
            </w:r>
          </w:p>
        </w:tc>
      </w:tr>
      <w:tr>
        <w:tc>
          <w:tcPr>
            <w:tcW w:type="dxa" w:w="110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ЛР38</w:t>
            </w:r>
          </w:p>
        </w:tc>
        <w:tc>
          <w:tcPr>
            <w:tcW w:type="dxa" w:w="8930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Обладающий представлением о современной научной картине мира, достижениях науки и техники, аргументированно выражающий понимание значения науки и технологий для развития российского общества и обеспечения его безопасности.</w:t>
            </w:r>
          </w:p>
        </w:tc>
      </w:tr>
      <w:tr>
        <w:tc>
          <w:tcPr>
            <w:tcW w:type="dxa" w:w="110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ЛР39</w:t>
            </w:r>
          </w:p>
        </w:tc>
        <w:tc>
          <w:tcPr>
            <w:tcW w:type="dxa" w:w="8930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Демонстрирующий навыки критического мышления, определения достоверности научной информации, в том числе в сфере профессиональной деятельности. Умеющий выбирать способы решения задач профессиональной деятельности применительно к различным контекстам.</w:t>
            </w:r>
          </w:p>
        </w:tc>
      </w:tr>
      <w:tr>
        <w:tc>
          <w:tcPr>
            <w:tcW w:type="dxa" w:w="110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ЛР40</w:t>
            </w:r>
          </w:p>
        </w:tc>
        <w:tc>
          <w:tcPr>
            <w:tcW w:type="dxa" w:w="8930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Использующий современные средства поиска, анализа и интерпретации информации, информационные технологии для выполнения задач профессиональной деятельности.</w:t>
            </w:r>
          </w:p>
        </w:tc>
      </w:tr>
      <w:tr>
        <w:tc>
          <w:tcPr>
            <w:tcW w:type="dxa" w:w="110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ЛР41</w:t>
            </w:r>
          </w:p>
        </w:tc>
        <w:tc>
          <w:tcPr>
            <w:tcW w:type="dxa" w:w="8930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Развивающий и применяющий навыки наблюдения, накопления и систематизации фактов, осмысления опыта в естественнонаучной и гуманитарной областях познания, исследовательской и профессиональной деятельности</w:t>
            </w:r>
          </w:p>
        </w:tc>
      </w:tr>
      <w:tr>
        <w:tc>
          <w:tcPr>
            <w:tcW w:type="dxa" w:w="110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ЛР45</w:t>
            </w:r>
          </w:p>
        </w:tc>
        <w:tc>
          <w:tcPr>
            <w:tcW w:type="dxa" w:w="8930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Ориентированный на осознанное освоение выбранной профессии с учётом кадровых потребностей предприятий и организаций Сахалинской области.</w:t>
            </w:r>
          </w:p>
        </w:tc>
      </w:tr>
      <w:tr>
        <w:tc>
          <w:tcPr>
            <w:tcW w:type="dxa" w:w="110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ЛР46</w:t>
            </w:r>
          </w:p>
        </w:tc>
        <w:tc>
          <w:tcPr>
            <w:tcW w:type="dxa" w:w="8930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Демонстрирующий готовность к непрерывному профессиональному развитию, повышению квалификации и освоению новых компетенций, востребованных на региональном рынке труда.</w:t>
            </w:r>
          </w:p>
        </w:tc>
      </w:tr>
      <w:tr>
        <w:tc>
          <w:tcPr>
            <w:tcW w:type="dxa" w:w="110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ЛР47</w:t>
            </w:r>
          </w:p>
        </w:tc>
        <w:tc>
          <w:tcPr>
            <w:tcW w:type="dxa" w:w="8930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Готовый применять инструменты цифровой трансформации (цифровые платформы, системы автоматизации, средства искусственного интеллекта, технологии обработки больших данных) для решения профессиональных задач.</w:t>
            </w:r>
          </w:p>
        </w:tc>
      </w:tr>
    </w:tbl>
    <w:p>
      <w:pPr>
        <w:spacing w:before="0" w:after="120" w:line="276" w:lineRule="auto"/>
        <w:ind w:firstLine="709"/>
        <w:jc w:val="both"/>
      </w:pP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С целью овладения указанным видом профессиональной деятельности и соответствующими компетенциями обучающийся в ходе прохождения учебной практики должен: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иметь практический опыт: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анализа технических заданий и исходных данных на проектирование цифровых систем;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разработки схем электронных устройств на основе типовых интегральных схем и типовых решений в соответствии с техническим заданием;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оформления конструкторской документации на проектируемые устройства в соответствии с требованиями ЕСКД;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прототипирования цифровых устройств, в том числе с применением виртуальных средств моделирования.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уметь: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анализировать требования технического задания на проектирование цифровых систем;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применять методы анализа требований и рекомендуемые нормативные и руководящие материалы;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применять системы автоматизированного проектирования (САПР) для разработки схем и печатных плат;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осуществлять компьютерное моделирование цифровых устройств с использованием конструкторских САПР;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оформлять рабочие чертежи и техническую документацию в соответствии с требованиями стандартов ЕСКД;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работать в средах моделирования цифровых устройств и систем, выполнять тестирование прототипов.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знать: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основные параметры и условия эксплуатации цифровых систем;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особенности построения, применения и подключения основных типов цифровых устройств;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основы цифровой и аналоговой схемотехники, основы микропроцессоров;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электронные справочные системы и библиотеки: наименования, возможности и порядок работы в них;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виды и содержание конструкторской документации на цифровые устройства, основные требования ЕСКД;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среды моделирования цифровых устройств и систем, методы построения компьютерных моделей;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методы обеспечения качества на этапе проектирования.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1.3. Продолжительность практики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Часовая нагрузка по учебной практике по ПМ 01 в соответствии с ОПОП СПО по специальности 09.02.01 Компьютерные системы и комплексы составляет 72 часа (2 недели) и реализуется концентрированно в период с 10.05.2027 по 22.05.2027 в соответствии с утвержденным графиком организации практического обучения на 2026–2027 учебный год (отделение № 2).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Условием допуска обучающихся к учебной практике является освоение теоретической части профессионального модуля (МДК) и отсутствие академической задолженности.</w:t>
      </w:r>
    </w:p>
    <w:p>
      <w:pPr>
        <w:sectPr>
          <w:pgSz w:w="11906" w:h="16838"/>
          <w:pgMar w:top="1134" w:right="1020" w:bottom="1134" w:left="1020" w:header="720" w:footer="720" w:gutter="0"/>
          <w:cols w:space="720"/>
          <w:docGrid w:linePitch="360"/>
        </w:sectPr>
      </w:pPr>
    </w:p>
    <w:p>
      <w:pPr>
        <w:pageBreakBefore/>
        <w:spacing w:before="0" w:after="20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2. СТРУКТУРА И СОДЕРЖАНИЕ УЧЕБНОЙ ПРАКТИКИ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2.1. Структура учебной практики</w:t>
      </w:r>
    </w:p>
    <w:tbl>
      <w:tblPr>
        <w:tblStyle w:val="TableGrid"/>
        <w:tblW w:type="dxa" w:w="15181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02"/>
        <w:gridCol w:w="8960"/>
        <w:gridCol w:w="1719"/>
      </w:tblGrid>
      <w:tr>
        <w:tc>
          <w:tcPr>
            <w:tcW w:type="dxa" w:w="4502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Коды ПК, ОК</w:t>
            </w:r>
          </w:p>
        </w:tc>
        <w:tc>
          <w:tcPr>
            <w:tcW w:type="dxa" w:w="8960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Наименование разделов</w:t>
            </w:r>
          </w:p>
        </w:tc>
        <w:tc>
          <w:tcPr>
            <w:tcW w:type="dxa" w:w="1719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Количество часов</w:t>
            </w:r>
          </w:p>
        </w:tc>
      </w:tr>
      <w:tr>
        <w:tc>
          <w:tcPr>
            <w:tcW w:type="dxa" w:w="4502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8960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719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</w:t>
            </w:r>
          </w:p>
        </w:tc>
      </w:tr>
      <w:tr>
        <w:tc>
          <w:tcPr>
            <w:tcW w:type="dxa" w:w="4502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ПК: 1.1, 1.2, 1.3, 1.4</w:t>
            </w:r>
          </w:p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ОК: 1, 2, 3, 4, 5, 9</w:t>
            </w:r>
          </w:p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ЛР: 13, 15, 28, 30, 38, 40, 45, 47</w:t>
            </w:r>
          </w:p>
        </w:tc>
        <w:tc>
          <w:tcPr>
            <w:tcW w:type="dxa" w:w="8960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Раздел 1. Проектирование цифровых устройств</w:t>
            </w:r>
          </w:p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МДК 01.01 «Основы проектирования цифровой техники», МДК 01.02 «Разработка и прототипирование цифровых систем»</w:t>
            </w:r>
          </w:p>
        </w:tc>
        <w:tc>
          <w:tcPr>
            <w:tcW w:type="dxa" w:w="1719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72</w:t>
            </w:r>
          </w:p>
        </w:tc>
      </w:tr>
      <w:tr>
        <w:tc>
          <w:tcPr>
            <w:tcW w:type="dxa" w:w="13462"/>
            <w:gridSpan w:val="2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ИТОГО</w:t>
            </w:r>
          </w:p>
        </w:tc>
        <w:tc>
          <w:tcPr>
            <w:tcW w:type="dxa" w:w="1719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72</w:t>
            </w:r>
          </w:p>
        </w:tc>
      </w:tr>
    </w:tbl>
    <w:p>
      <w:pPr>
        <w:spacing w:before="0" w:after="120" w:line="276" w:lineRule="auto"/>
        <w:ind w:firstLine="709"/>
        <w:jc w:val="both"/>
      </w:pP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Содержание учебной практики</w:t>
      </w:r>
    </w:p>
    <w:tbl>
      <w:tblPr>
        <w:tblStyle w:val="TableGrid"/>
        <w:tblW w:type="dxa" w:w="14786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942"/>
        <w:gridCol w:w="9803"/>
        <w:gridCol w:w="680"/>
        <w:gridCol w:w="1361"/>
      </w:tblGrid>
      <w:tr>
        <w:tc>
          <w:tcPr>
            <w:tcW w:type="dxa" w:w="2942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Наименование разделов, тем</w:t>
            </w:r>
          </w:p>
        </w:tc>
        <w:tc>
          <w:tcPr>
            <w:tcW w:type="dxa" w:w="9803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Содержание учебной практики</w:t>
            </w:r>
          </w:p>
        </w:tc>
        <w:tc>
          <w:tcPr>
            <w:tcW w:type="dxa" w:w="680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Объем часов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Коды компетенций</w:t>
            </w:r>
          </w:p>
        </w:tc>
      </w:tr>
      <w:tr>
        <w:tc>
          <w:tcPr>
            <w:tcW w:type="dxa" w:w="2942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Раздел 1. Проектирование цифровых устройств</w:t>
            </w:r>
          </w:p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МДК 01.01 «Основы проектирования цифровой техники», МДК 01.02 «Разработка и прототипирование цифровых систем»</w:t>
            </w:r>
          </w:p>
        </w:tc>
        <w:tc>
          <w:tcPr>
            <w:tcW w:type="dxa" w:w="9803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Анализ требований технического задания. Разработка схем электронных устройств на основе интегральных схем: комбинационные и последовательностные узлы, конечные автоматы. Применение САПР для создания принципиальных схем и печатных плат. Моделирование цифровых устройств, в том числе виртуальное прототипирование. Оформление конструкторской документации по ЕСКД. Прототипирование: сборка и испытания макетов, измерения параметров, диагностика неисправностей.</w:t>
            </w:r>
          </w:p>
        </w:tc>
        <w:tc>
          <w:tcPr>
            <w:tcW w:type="dxa" w:w="680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72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ПК: 1.1, 1.2, 1.3, 1.4</w:t>
            </w:r>
          </w:p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ОК: 1, 2, 3, 4, 5, 9</w:t>
            </w:r>
          </w:p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ЛР: 13, 15, 28, 30, 38, 40, 45, 47</w:t>
            </w:r>
          </w:p>
        </w:tc>
      </w:tr>
      <w:tr>
        <w:tc>
          <w:tcPr>
            <w:tcW w:type="dxa" w:w="2942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9803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№1 Инструктаж по ТБ. Введение в проектирование цифровых систем</w:t>
            </w:r>
          </w:p>
        </w:tc>
        <w:tc>
          <w:tcPr>
            <w:tcW w:type="dxa" w:w="680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2942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9803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№2 Анализ технического задания: выявление требований к цифровому устройству</w:t>
            </w:r>
          </w:p>
        </w:tc>
        <w:tc>
          <w:tcPr>
            <w:tcW w:type="dxa" w:w="680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2942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9803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№3 Работа с электронными справочными системами и библиотеками компонентов</w:t>
            </w:r>
          </w:p>
        </w:tc>
        <w:tc>
          <w:tcPr>
            <w:tcW w:type="dxa" w:w="680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2942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9803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№4 Параметры и условия эксплуатации цифровых устройств. Анализ даташитов</w:t>
            </w:r>
          </w:p>
        </w:tc>
        <w:tc>
          <w:tcPr>
            <w:tcW w:type="dxa" w:w="680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2942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9803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№5 Логические элементы. Таблицы истинности и временные диаграммы</w:t>
            </w:r>
          </w:p>
        </w:tc>
        <w:tc>
          <w:tcPr>
            <w:tcW w:type="dxa" w:w="680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2942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9803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№6 Базовые логические функции И, ИЛИ, НЕ. Синтез комбинационных схем</w:t>
            </w:r>
          </w:p>
        </w:tc>
        <w:tc>
          <w:tcPr>
            <w:tcW w:type="dxa" w:w="680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2942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9803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№7 Минимизация логических функций (карты Карно)</w:t>
            </w:r>
          </w:p>
        </w:tc>
        <w:tc>
          <w:tcPr>
            <w:tcW w:type="dxa" w:w="680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2942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9803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№8 Дешифраторы и мультиплексоры</w:t>
            </w:r>
          </w:p>
        </w:tc>
        <w:tc>
          <w:tcPr>
            <w:tcW w:type="dxa" w:w="680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2942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9803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№9 Сумматоры и компараторы</w:t>
            </w:r>
          </w:p>
        </w:tc>
        <w:tc>
          <w:tcPr>
            <w:tcW w:type="dxa" w:w="680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2942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9803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№10 Шифраторы и преобразователи кодов</w:t>
            </w:r>
          </w:p>
        </w:tc>
        <w:tc>
          <w:tcPr>
            <w:tcW w:type="dxa" w:w="680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2942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9803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№11 Триггеры: RS, D, T, JK. Режимы работы</w:t>
            </w:r>
          </w:p>
        </w:tc>
        <w:tc>
          <w:tcPr>
            <w:tcW w:type="dxa" w:w="680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2942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9803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№12 Регистры: сдвиговые и параллельные</w:t>
            </w:r>
          </w:p>
        </w:tc>
        <w:tc>
          <w:tcPr>
            <w:tcW w:type="dxa" w:w="680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2942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9803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№13 Счетчики: асинхронные и синхронные</w:t>
            </w:r>
          </w:p>
        </w:tc>
        <w:tc>
          <w:tcPr>
            <w:tcW w:type="dxa" w:w="680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2942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9803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№14 Конечные автоматы: Мили и Мура. Диаграммы состояний</w:t>
            </w:r>
          </w:p>
        </w:tc>
        <w:tc>
          <w:tcPr>
            <w:tcW w:type="dxa" w:w="680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2942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9803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№15 Знакомство со средой САПР. Создание принципиальной схемы</w:t>
            </w:r>
          </w:p>
        </w:tc>
        <w:tc>
          <w:tcPr>
            <w:tcW w:type="dxa" w:w="680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2942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9803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№16 Библиотеки компонентов САПР. Поиск и размещение элементов</w:t>
            </w:r>
          </w:p>
        </w:tc>
        <w:tc>
          <w:tcPr>
            <w:tcW w:type="dxa" w:w="680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2942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9803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№17 Моделирование комбинационных схем в САПР</w:t>
            </w:r>
          </w:p>
        </w:tc>
        <w:tc>
          <w:tcPr>
            <w:tcW w:type="dxa" w:w="680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2942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9803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№18 Моделирование последовательностных схем в САПР</w:t>
            </w:r>
          </w:p>
        </w:tc>
        <w:tc>
          <w:tcPr>
            <w:tcW w:type="dxa" w:w="680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2942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9803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№19 Разработка схемы цифрового устройства по ТЗ (часть 1)</w:t>
            </w:r>
          </w:p>
        </w:tc>
        <w:tc>
          <w:tcPr>
            <w:tcW w:type="dxa" w:w="680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2942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9803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№20 Разработка схемы цифрового устройства по ТЗ (часть 2)</w:t>
            </w:r>
          </w:p>
        </w:tc>
        <w:tc>
          <w:tcPr>
            <w:tcW w:type="dxa" w:w="680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2942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9803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№21 Оформление принципиальной схемы по требованиям ЕСКД</w:t>
            </w:r>
          </w:p>
        </w:tc>
        <w:tc>
          <w:tcPr>
            <w:tcW w:type="dxa" w:w="680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2942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9803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№22 Создание перечня элементов и пояснительной записки</w:t>
            </w:r>
          </w:p>
        </w:tc>
        <w:tc>
          <w:tcPr>
            <w:tcW w:type="dxa" w:w="680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2942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9803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№23 Основы проектирования печатных плат. Создание платы в САПР</w:t>
            </w:r>
          </w:p>
        </w:tc>
        <w:tc>
          <w:tcPr>
            <w:tcW w:type="dxa" w:w="680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2942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9803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№24 Размещение компонентов и трассировка печатной платы</w:t>
            </w:r>
          </w:p>
        </w:tc>
        <w:tc>
          <w:tcPr>
            <w:tcW w:type="dxa" w:w="680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2942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9803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№25 Проверка DRC и подготовка файлов производства</w:t>
            </w:r>
          </w:p>
        </w:tc>
        <w:tc>
          <w:tcPr>
            <w:tcW w:type="dxa" w:w="680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2942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9803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№26 Моделирование с виртуальными инструментами (осциллограф, генератор)</w:t>
            </w:r>
          </w:p>
        </w:tc>
        <w:tc>
          <w:tcPr>
            <w:tcW w:type="dxa" w:w="680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2942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9803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№27 ПЛИС/FPGA. Введение. Языки описания аппаратуры (HDL)</w:t>
            </w:r>
          </w:p>
        </w:tc>
        <w:tc>
          <w:tcPr>
            <w:tcW w:type="dxa" w:w="680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2942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9803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№28 Микропроцессоры и микроконтроллеры: архитектура и характеристики</w:t>
            </w:r>
          </w:p>
        </w:tc>
        <w:tc>
          <w:tcPr>
            <w:tcW w:type="dxa" w:w="680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2942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9803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№29 Сравнительный анализ типовых микроконтроллеров для задачи ТЗ</w:t>
            </w:r>
          </w:p>
        </w:tc>
        <w:tc>
          <w:tcPr>
            <w:tcW w:type="dxa" w:w="680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2942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9803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№30 Прототипирование на макетной плате: сборка узла схемы</w:t>
            </w:r>
          </w:p>
        </w:tc>
        <w:tc>
          <w:tcPr>
            <w:tcW w:type="dxa" w:w="680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2942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9803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№31 Монтаж и пайка компонентов печатной платы макета</w:t>
            </w:r>
          </w:p>
        </w:tc>
        <w:tc>
          <w:tcPr>
            <w:tcW w:type="dxa" w:w="680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2942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9803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№32 Испытания макета по программе и методике испытаний</w:t>
            </w:r>
          </w:p>
        </w:tc>
        <w:tc>
          <w:tcPr>
            <w:tcW w:type="dxa" w:w="680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2942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9803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№33 Диагностика неисправностей собранного макета</w:t>
            </w:r>
          </w:p>
        </w:tc>
        <w:tc>
          <w:tcPr>
            <w:tcW w:type="dxa" w:w="680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2942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9803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№34 Измерения параметров цифровых схем (осциллограф, логический анализатор)</w:t>
            </w:r>
          </w:p>
        </w:tc>
        <w:tc>
          <w:tcPr>
            <w:tcW w:type="dxa" w:w="680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2942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9803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№35 Резервное копирование проектов и файлов производства</w:t>
            </w:r>
          </w:p>
        </w:tc>
        <w:tc>
          <w:tcPr>
            <w:tcW w:type="dxa" w:w="680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2942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9803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№36 Дифференцированный зачет (защита разработанных проектов схем)</w:t>
            </w:r>
          </w:p>
        </w:tc>
        <w:tc>
          <w:tcPr>
            <w:tcW w:type="dxa" w:w="680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12745"/>
            <w:gridSpan w:val="2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Всего</w:t>
            </w:r>
          </w:p>
        </w:tc>
        <w:tc>
          <w:tcPr>
            <w:tcW w:type="dxa" w:w="680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72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</w:r>
          </w:p>
        </w:tc>
      </w:tr>
    </w:tbl>
    <w:p>
      <w:pPr>
        <w:spacing w:before="0" w:after="120" w:line="276" w:lineRule="auto"/>
        <w:ind w:firstLine="709"/>
        <w:jc w:val="both"/>
      </w:pPr>
    </w:p>
    <w:p>
      <w:pPr>
        <w:sectPr>
          <w:pgSz w:w="16838" w:h="11906" w:orient="landscape"/>
          <w:pgMar w:top="992" w:right="1134" w:bottom="765" w:left="1134" w:header="720" w:footer="720" w:gutter="0"/>
          <w:cols w:space="720"/>
          <w:docGrid w:linePitch="360"/>
        </w:sectPr>
      </w:pPr>
    </w:p>
    <w:p>
      <w:pPr>
        <w:pageBreakBefore/>
        <w:spacing w:before="0" w:after="20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3. УСЛОВИЯ РЕАЛИЗАЦИИ ПРОГРАММЫ ПРАКТИКИ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3.1. Требования к минимальному материально-техническому обеспечению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Лаборатория «Проектирования цифровых систем» и мастерская «Монтажа и прототипирования цифровых устройств»: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– рабочие места на 15 обучающихся (АРМ с установленной САПР электронных схем и печатных плат, средой программирования ПЛИС);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– многофункциональные учебные стенды с макетными платами, наборами логических элементов и микроконтроллеров;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– измерительные приборы: осциллографы, генераторы сигналов, мультиметры, логические анализаторы, блоки питания;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– паяльные станции, расходные материалы для монтажа (припой, флюс, провода, макетные платы);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– локальная сеть и доступ к электронным справочным системам.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3.2. Цифровые инструменты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Применение цифровых инструментов для достижения результатов учебной практики: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– электронные справочные системы компонентов (datasheet-базы, онлайн-библиотеки);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– САПР электронных схем и печатных плат (в т.ч. отечественные);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– среды программирования и отладки для микроконтроллеров;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– симуляторы и виртуальные стенды моделирования цифровых устройств;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– система управления версиями (Git);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– образовательная платформа техникума (do.spetpro.ru) для размещения заданий и отчетов.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3.3. Информационное обеспечение обучения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Основные источники: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1. Иванов Б.Р. Импульсная и цифровая техника: учебник. – М.: Академия, 2023.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2. Титце У., Шенк К. Полупроводниковая схемотехника: в 2 т. – М.: ДМК Пресс, 2022.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3. Прянишников В.А. Электроника: полный курс лекций. – СПб.: Корона-Век, 2023.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4. Суриков В.В. Микроконтроллеры: учебник для СПО. – М.: Академия, 2023.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5. Гребнев В.В. Микроконтроллеры семейства AVR: практическое руководство. – М.: ИП РадиоСофт, 2022.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Дополнительные источники: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1. ГОСТ 2.701-2008 ЕСКД. Схемы. Виды и типы. Общие требования к выполнению.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2. ГОСТ 2.702-2011 ЕСКД. Правила выполнения электрических схем.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3. Официальная документация производителей микроконтроллеров и компонентов (datasheets).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4. Электронные справочные системы и библиотеки компонентов САПР.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5. Образовательные ресурсы сети Интернет (зарубежные и отечественные порталы по схемотехнике и программированию МК).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3.4. Общие требования к организации учебной практики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Учебная практика проводится в лабораториях и мастерских техникума в форме практической подготовки концентрированно, в соответствии с графиком организации практического обучения на 2026–2027 учебный год.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Руководство учебной практикой осуществляет мастер производственного обучения / преподаватель профессионального модуля.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Обучающиеся ведут дневник практики и выполняют отчет по итогам.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3.5. Кадровое обеспечение образовательного процесса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Требования к руководителю практики: руководитель практики должен иметь среднее профессиональное или высшее образование, соответствующее профилю преподаваемой дисциплины (модуля), проходить стажировку в профильных организациях не реже 1 раза в 3 года.</w:t>
      </w:r>
    </w:p>
    <w:p>
      <w:pPr>
        <w:pageBreakBefore/>
        <w:spacing w:before="0" w:after="20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4. КОНТРОЛЬ И ОЦЕНКА РЕЗУЛЬТАТОВ ОСВОЕНИЯ ПРАКТИКИ</w:t>
      </w:r>
    </w:p>
    <w:p>
      <w:pPr>
        <w:spacing w:before="0" w:after="4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Результаты (освоенные профессиональные компетенции)</w:t>
      </w:r>
    </w:p>
    <w:tbl>
      <w:tblPr>
        <w:tblStyle w:val="TableGrid"/>
        <w:tblW w:type="dxa" w:w="9974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401"/>
        <w:gridCol w:w="3518"/>
        <w:gridCol w:w="3055"/>
      </w:tblGrid>
      <w:tr>
        <w:tc>
          <w:tcPr>
            <w:tcW w:type="dxa" w:w="3401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Результаты (освоенные профессиональные компетенции)</w:t>
            </w:r>
          </w:p>
        </w:tc>
        <w:tc>
          <w:tcPr>
            <w:tcW w:type="dxa" w:w="3518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Основные показатели оценки результата</w:t>
            </w:r>
          </w:p>
        </w:tc>
        <w:tc>
          <w:tcPr>
            <w:tcW w:type="dxa" w:w="3055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Формы и методы контроля и оценки</w:t>
            </w:r>
          </w:p>
        </w:tc>
      </w:tr>
      <w:tr>
        <w:tc>
          <w:tcPr>
            <w:tcW w:type="dxa" w:w="340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 1.1 Анализировать требования технического задания на проектирование цифровых систем.</w:t>
            </w:r>
          </w:p>
        </w:tc>
        <w:tc>
          <w:tcPr>
            <w:tcW w:type="dxa" w:w="3518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Навыки:</w:t>
            </w:r>
          </w:p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– выявление первоначальных требований заказчика; определение возможности соответствия типового устройства требованиям;</w:t>
            </w:r>
          </w:p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Умения:</w:t>
            </w:r>
          </w:p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– применение методов анализа требований</w:t>
            </w:r>
          </w:p>
        </w:tc>
        <w:tc>
          <w:tcPr>
            <w:tcW w:type="dxa" w:w="3055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Наблюдение и оценка выполнения практических работ. Экспертная оценка защиты работ. Дифференцированный зачет.</w:t>
            </w:r>
          </w:p>
        </w:tc>
      </w:tr>
      <w:tr>
        <w:tc>
          <w:tcPr>
            <w:tcW w:type="dxa" w:w="340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 1.2 Разрабатывать схемы электронных устройств на основе интегральных схем разной степени интеграции в соответствии с техническим заданием.</w:t>
            </w:r>
          </w:p>
        </w:tc>
        <w:tc>
          <w:tcPr>
            <w:tcW w:type="dxa" w:w="3518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Навыки:</w:t>
            </w:r>
          </w:p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– разработка схем цифровых устройств на основе типовых решений; моделирование устройств в специализированных программах; создание рисунков печатных плат;</w:t>
            </w:r>
          </w:p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Умения:</w:t>
            </w:r>
          </w:p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– применение САПР при разработке схем и плат</w:t>
            </w:r>
          </w:p>
        </w:tc>
        <w:tc>
          <w:tcPr>
            <w:tcW w:type="dxa" w:w="3055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Наблюдение и оценка выполнения практических работ. Экспертная оценка защиты работ. Дифференцированный зачет.</w:t>
            </w:r>
          </w:p>
        </w:tc>
      </w:tr>
      <w:tr>
        <w:tc>
          <w:tcPr>
            <w:tcW w:type="dxa" w:w="340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 1.3 Оформлять техническую документацию на проектируемые устройства.</w:t>
            </w:r>
          </w:p>
        </w:tc>
        <w:tc>
          <w:tcPr>
            <w:tcW w:type="dxa" w:w="3518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Навыки:</w:t>
            </w:r>
          </w:p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– выполнение рабочих чертежей; внесение исправлений в документацию; формирование документации для производства;</w:t>
            </w:r>
          </w:p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Умения:</w:t>
            </w:r>
          </w:p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– оформление технической документации по ЕСКД</w:t>
            </w:r>
          </w:p>
        </w:tc>
        <w:tc>
          <w:tcPr>
            <w:tcW w:type="dxa" w:w="3055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Наблюдение и оценка выполнения практических работ. Экспертная оценка защиты работ. Дифференцированный зачет.</w:t>
            </w:r>
          </w:p>
        </w:tc>
      </w:tr>
      <w:tr>
        <w:tc>
          <w:tcPr>
            <w:tcW w:type="dxa" w:w="340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 1.4 Выполнять прототипирование цифровых систем, в том числе – с применением виртуальных средств.</w:t>
            </w:r>
          </w:p>
        </w:tc>
        <w:tc>
          <w:tcPr>
            <w:tcW w:type="dxa" w:w="3518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Навыки:</w:t>
            </w:r>
          </w:p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– разработка мастер-модели; выбор тестовых воздействий; испытания прототипов, в том числе с применением средств виртуализации;</w:t>
            </w:r>
          </w:p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Умения:</w:t>
            </w:r>
          </w:p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– работа в средах моделирования цифровых устройств и систем</w:t>
            </w:r>
          </w:p>
        </w:tc>
        <w:tc>
          <w:tcPr>
            <w:tcW w:type="dxa" w:w="3055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Наблюдение и оценка выполнения практических работ. Экспертная оценка защиты работ. Дифференцированный зачет.</w:t>
            </w:r>
          </w:p>
        </w:tc>
      </w:tr>
    </w:tbl>
    <w:p>
      <w:pPr>
        <w:spacing w:before="0" w:after="120" w:line="276" w:lineRule="auto"/>
        <w:ind w:firstLine="709"/>
        <w:jc w:val="both"/>
      </w:pPr>
    </w:p>
    <w:p>
      <w:pPr>
        <w:spacing w:before="0" w:after="4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Результаты (освоенные общие компетенции и личностные результаты)</w:t>
      </w:r>
    </w:p>
    <w:tbl>
      <w:tblPr>
        <w:tblStyle w:val="TableGrid"/>
        <w:tblW w:type="dxa" w:w="9974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401"/>
        <w:gridCol w:w="3518"/>
        <w:gridCol w:w="3055"/>
      </w:tblGrid>
      <w:tr>
        <w:tc>
          <w:tcPr>
            <w:tcW w:type="dxa" w:w="3401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Код, наименование ОК, ЛР</w:t>
            </w:r>
          </w:p>
        </w:tc>
        <w:tc>
          <w:tcPr>
            <w:tcW w:type="dxa" w:w="3518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Основные показатели оценки результата</w:t>
            </w:r>
          </w:p>
        </w:tc>
        <w:tc>
          <w:tcPr>
            <w:tcW w:type="dxa" w:w="3055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Формы и методы контроля и оценки</w:t>
            </w:r>
          </w:p>
        </w:tc>
      </w:tr>
      <w:tr>
        <w:tc>
          <w:tcPr>
            <w:tcW w:type="dxa" w:w="340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 01 Выбирать способы решения задач профессиональной деятельности применительно к различным контекстам.</w:t>
            </w:r>
          </w:p>
        </w:tc>
        <w:tc>
          <w:tcPr>
            <w:tcW w:type="dxa" w:w="3518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выбор способа решения профессиональной задачи в конкретной ситуации практики</w:t>
            </w:r>
          </w:p>
        </w:tc>
        <w:tc>
          <w:tcPr>
            <w:tcW w:type="dxa" w:w="3055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оценка выбора технологии/метода при выполнении работ</w:t>
            </w:r>
          </w:p>
        </w:tc>
      </w:tr>
      <w:tr>
        <w:tc>
          <w:tcPr>
            <w:tcW w:type="dxa" w:w="340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 02 Использовать современные средства поиска, анализа и интерпретации информации и информационные технологии для выполнения задач профессиональной деятельности.</w:t>
            </w:r>
          </w:p>
        </w:tc>
        <w:tc>
          <w:tcPr>
            <w:tcW w:type="dxa" w:w="3518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поиск и анализ технической информации, применение ИТ при выполнении работ</w:t>
            </w:r>
          </w:p>
        </w:tc>
        <w:tc>
          <w:tcPr>
            <w:tcW w:type="dxa" w:w="3055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оценка использования справочных систем и САПР</w:t>
            </w:r>
          </w:p>
        </w:tc>
      </w:tr>
      <w:tr>
        <w:tc>
          <w:tcPr>
            <w:tcW w:type="dxa" w:w="340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 03 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правовой и финансовой грамотности в различных жизненных ситуациях.</w:t>
            </w:r>
          </w:p>
        </w:tc>
        <w:tc>
          <w:tcPr>
            <w:tcW w:type="dxa" w:w="3518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планирование личного профессионального развития в ходе практики</w:t>
            </w:r>
          </w:p>
        </w:tc>
        <w:tc>
          <w:tcPr>
            <w:tcW w:type="dxa" w:w="3055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самооценка и портфолио; собеседование</w:t>
            </w:r>
          </w:p>
        </w:tc>
      </w:tr>
      <w:tr>
        <w:tc>
          <w:tcPr>
            <w:tcW w:type="dxa" w:w="340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 04 Эффективно взаимодействовать и работать в коллективе и команде.</w:t>
            </w:r>
          </w:p>
        </w:tc>
        <w:tc>
          <w:tcPr>
            <w:tcW w:type="dxa" w:w="3518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работа в команде при выполнении групповых проектов</w:t>
            </w:r>
          </w:p>
        </w:tc>
        <w:tc>
          <w:tcPr>
            <w:tcW w:type="dxa" w:w="3055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наблюдение; оценка вклада в командный результат</w:t>
            </w:r>
          </w:p>
        </w:tc>
      </w:tr>
      <w:tr>
        <w:tc>
          <w:tcPr>
            <w:tcW w:type="dxa" w:w="340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 05 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контекста.</w:t>
            </w:r>
          </w:p>
        </w:tc>
        <w:tc>
          <w:tcPr>
            <w:tcW w:type="dxa" w:w="3518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письменная коммуникация: ведение дневника, отчета, документации</w:t>
            </w:r>
          </w:p>
        </w:tc>
        <w:tc>
          <w:tcPr>
            <w:tcW w:type="dxa" w:w="3055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оценка отчета и технической документации</w:t>
            </w:r>
          </w:p>
        </w:tc>
      </w:tr>
      <w:tr>
        <w:tc>
          <w:tcPr>
            <w:tcW w:type="dxa" w:w="340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 09 Пользоваться профессиональной документацией на государственном и иностранном языках.</w:t>
            </w:r>
          </w:p>
        </w:tc>
        <w:tc>
          <w:tcPr>
            <w:tcW w:type="dxa" w:w="3518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работа с профессиональной документацией, в т.ч. на иностранном языке</w:t>
            </w:r>
          </w:p>
        </w:tc>
        <w:tc>
          <w:tcPr>
            <w:tcW w:type="dxa" w:w="3055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оценка работы с даташитами и документацией</w:t>
            </w:r>
          </w:p>
        </w:tc>
      </w:tr>
      <w:tr>
        <w:tc>
          <w:tcPr>
            <w:tcW w:type="dxa" w:w="340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 ОК 01, ОК 02, ОК 03, ОК 04, ОК 05, ОК 09</w:t>
            </w:r>
          </w:p>
        </w:tc>
        <w:tc>
          <w:tcPr>
            <w:tcW w:type="dxa" w:w="3518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– освоение личностных результатов в ходе практики: ЛР13; ЛР15; ЛР28; ЛР29; ЛР30; ЛР31; ЛР38; ЛР39; ЛР40; ЛР41; ЛР45; ЛР46; ЛР47 — проявление в трудовой дисциплине, ответственности, профессиональной заинтересованности и работе с информацией (согласно программе воспитания на 2026–2027 учебный год)</w:t>
            </w:r>
          </w:p>
        </w:tc>
        <w:tc>
          <w:tcPr>
            <w:tcW w:type="dxa" w:w="3055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Наблюдение за деятельностью обучающегося. Собеседование. Анализ дневника и отчета по практике.</w:t>
            </w:r>
          </w:p>
        </w:tc>
      </w:tr>
    </w:tbl>
    <w:p>
      <w:pPr>
        <w:spacing w:before="0" w:after="120" w:line="276" w:lineRule="auto"/>
        <w:ind w:firstLine="709"/>
        <w:jc w:val="both"/>
      </w:pP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Промежуточная аттестация по учебной практике проводится в форме дифференцированного зачета по итогам выполнения и защиты практических работ.</w:t>
      </w:r>
    </w:p>
    <w:p>
      <w:pPr>
        <w:pageBreakBefore/>
        <w:spacing w:before="0" w:after="20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5. КОНТРОЛЬНО-ИЗМЕРИТЕЛЬНЫЕ МАТЕРИАЛЫ ПРОМЕЖУТОЧНОЙ АТТЕСТАЦИИ</w:t>
      </w:r>
    </w:p>
    <w:p>
      <w:pPr>
        <w:spacing w:before="0" w:after="120" w:line="276" w:lineRule="auto"/>
        <w:jc w:val="center"/>
      </w:pPr>
      <w:r>
        <w:rPr>
          <w:rFonts w:ascii="Times New Roman" w:hAnsi="Times New Roman"/>
          <w:b w:val="0"/>
          <w:i/>
          <w:color w:val="000000"/>
          <w:sz w:val="28"/>
        </w:rPr>
        <w:t>(содержание зачетного задания – дифференцированного зачета)</w:t>
      </w:r>
    </w:p>
    <w:p>
      <w:pPr>
        <w:spacing w:before="0" w:after="8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Задание дифференцированного зачета по учебной практике (выполняется в САПР и/или на макетной плате):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По заданному техническому заданию проанализировать требования к цифровому устройству и выбрать элементную базу.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Разработать принципиальную схему цифрового устройства (комбинационная и последовательностная части) в САПР.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Выполнить моделирование работы схемы, привести временные диаграммы.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Разработать чертеж печатной платы узла устройства.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Оформить перечень элементов и фрагмент конструкторской документации по требованиям ЕСКД.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Ответить на вопросы по выбору технических решений (защита работы).</w:t>
      </w:r>
    </w:p>
    <w:sectPr w:rsidR="00FC693F" w:rsidRPr="0006063C" w:rsidSect="00034616">
      <w:pgSz w:w="11906" w:h="16838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