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5"/>
        <w:gridCol w:w="8391"/>
      </w:tblGrid>
      <w:tr>
        <w:tc>
          <w:tcPr>
            <w:tcW w:type="dxa" w:w="3515"/>
            <w:shd w:val="clear" w:color="auto" w:fill="1C2B3A"/>
            <w:tcMar>
              <w:top w:w="300" w:type="dxa"/>
              <w:bottom w:w="300" w:type="dxa"/>
              <w:start w:w="250" w:type="dxa"/>
              <w:end w:w="250" w:type="dxa"/>
            </w:tcMar>
            <w:vAlign w:val="top"/>
          </w:tcPr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5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v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5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Contact</w:t>
            </w:r>
          </w:p>
          <w:p>
            <w:pPr>
              <w:spacing w:after="120"/>
              <w:pBdr>
                <w:bottom w:val="single" w:sz="12" w:space="1" w:color="E8C040"/>
              </w:pBdr>
            </w:pPr>
          </w:p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DDDDDD"/>
                <w:sz w:val="16"/>
              </w:rPr>
              <w:t>Email :</w:t>
            </w:r>
          </w:p>
          <w:p>
            <w:pPr>
              <w:spacing w:after="120" w:before="0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gaetan8francois@gmail.com</w:t>
            </w:r>
          </w:p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DDDDDD"/>
                <w:sz w:val="16"/>
              </w:rPr>
              <w:t>Téléphone :</w:t>
            </w:r>
          </w:p>
          <w:p>
            <w:pPr>
              <w:spacing w:after="120" w:before="0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+33 6 75 97 51 62</w:t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Compétences</w:t>
            </w:r>
          </w:p>
          <w:p>
            <w:pPr>
              <w:spacing w:after="120"/>
              <w:pBdr>
                <w:bottom w:val="single" w:sz="12" w:space="1" w:color="E8C040"/>
              </w:pBdr>
            </w:pP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SAP HR/HCM &amp; SuccessFactors EC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Déploiement &amp; TMA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Migration de données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Formation utilisateurs-clés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Gestion de projet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Claude Code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Salesforce, Jira, Confluence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HTML5, CSS3, SQL, SEO</w:t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Langues</w:t>
            </w:r>
          </w:p>
          <w:p>
            <w:pPr>
              <w:spacing w:after="120"/>
              <w:pBdr>
                <w:bottom w:val="single" w:sz="12" w:space="1" w:color="E8C040"/>
              </w:pBdr>
            </w:pPr>
          </w:p>
          <w:p>
            <w:pPr>
              <w:tabs>
                <w:tab w:pos="2891" w:val="left"/>
              </w:tabs>
              <w:spacing w:after="100"/>
            </w:pPr>
            <w:r>
              <w:rPr>
                <w:rFonts w:ascii="Arial" w:hAnsi="Arial"/>
                <w:color w:val="FFFFFF"/>
                <w:sz w:val="17"/>
              </w:rPr>
              <w:t>Français</w:t>
            </w:r>
            <w:r>
              <w:rPr>
                <w:rFonts w:ascii="Arial" w:hAnsi="Arial"/>
                <w:color w:val="E8C040"/>
                <w:sz w:val="17"/>
              </w:rPr>
              <w:tab/>
              <w:t>Natif</w:t>
            </w:r>
          </w:p>
          <w:p>
            <w:pPr>
              <w:tabs>
                <w:tab w:pos="2891" w:val="left"/>
              </w:tabs>
              <w:spacing w:after="100"/>
            </w:pPr>
            <w:r>
              <w:rPr>
                <w:rFonts w:ascii="Arial" w:hAnsi="Arial"/>
                <w:color w:val="FFFFFF"/>
                <w:sz w:val="17"/>
              </w:rPr>
              <w:t>Anglais</w:t>
            </w:r>
            <w:r>
              <w:rPr>
                <w:rFonts w:ascii="Arial" w:hAnsi="Arial"/>
                <w:color w:val="E8C040"/>
                <w:sz w:val="17"/>
              </w:rPr>
              <w:tab/>
              <w:t>Courant</w:t>
            </w:r>
          </w:p>
          <w:p>
            <w:pPr>
              <w:tabs>
                <w:tab w:pos="2891" w:val="left"/>
              </w:tabs>
              <w:spacing w:after="100"/>
            </w:pPr>
            <w:r>
              <w:rPr>
                <w:rFonts w:ascii="Arial" w:hAnsi="Arial"/>
                <w:color w:val="FFFFFF"/>
                <w:sz w:val="17"/>
              </w:rPr>
              <w:t>Espagnol</w:t>
            </w:r>
            <w:r>
              <w:rPr>
                <w:rFonts w:ascii="Arial" w:hAnsi="Arial"/>
                <w:color w:val="E8C040"/>
                <w:sz w:val="17"/>
              </w:rPr>
              <w:tab/>
              <w:t>Intermédiaire</w:t>
            </w:r>
          </w:p>
          <w:p>
            <w:pPr>
              <w:tabs>
                <w:tab w:pos="2891" w:val="left"/>
              </w:tabs>
              <w:spacing w:after="100"/>
            </w:pPr>
            <w:r>
              <w:rPr>
                <w:rFonts w:ascii="Arial" w:hAnsi="Arial"/>
                <w:color w:val="FFFFFF"/>
                <w:sz w:val="17"/>
              </w:rPr>
              <w:t>Portugais</w:t>
            </w:r>
            <w:r>
              <w:rPr>
                <w:rFonts w:ascii="Arial" w:hAnsi="Arial"/>
                <w:color w:val="E8C040"/>
                <w:sz w:val="17"/>
              </w:rPr>
              <w:tab/>
              <w:t>Intermédiaire</w:t>
            </w:r>
          </w:p>
          <w:p>
            <w:pPr>
              <w:tabs>
                <w:tab w:pos="2891" w:val="left"/>
              </w:tabs>
              <w:spacing w:after="100"/>
            </w:pPr>
            <w:r>
              <w:rPr>
                <w:rFonts w:ascii="Arial" w:hAnsi="Arial"/>
                <w:color w:val="FFFFFF"/>
                <w:sz w:val="17"/>
              </w:rPr>
              <w:t>Allemand</w:t>
            </w:r>
            <w:r>
              <w:rPr>
                <w:rFonts w:ascii="Arial" w:hAnsi="Arial"/>
                <w:color w:val="E8C040"/>
                <w:sz w:val="17"/>
              </w:rPr>
              <w:tab/>
              <w:t>Notions</w:t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FFFFFF"/>
                <w:sz w:val="24"/>
              </w:rPr>
              <w:t>Loisirs</w:t>
            </w:r>
          </w:p>
          <w:p>
            <w:pPr>
              <w:spacing w:after="120"/>
              <w:pBdr>
                <w:bottom w:val="single" w:sz="12" w:space="1" w:color="E8C040"/>
              </w:pBdr>
            </w:pP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Course à pied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Surf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Tennis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Salle de sport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Échecs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Voyages</w:t>
            </w:r>
          </w:p>
          <w:p>
            <w:pPr>
              <w:spacing w:after="60" w:before="0"/>
            </w:pPr>
            <w:r>
              <w:rPr>
                <w:rFonts w:ascii="Arial" w:hAnsi="Arial"/>
                <w:b w:val="0"/>
                <w:i w:val="0"/>
                <w:color w:val="DDDDDD"/>
                <w:sz w:val="17"/>
              </w:rPr>
              <w:t>Lecture quotidienne</w:t>
            </w:r>
          </w:p>
        </w:tc>
        <w:tc>
          <w:tcPr>
            <w:tcW w:type="dxa" w:w="8391"/>
            <w:tcMar>
              <w:top w:w="500" w:type="dxa"/>
              <w:bottom w:w="500" w:type="dxa"/>
              <w:start w:w="350" w:type="dxa"/>
              <w:end w:w="350" w:type="dxa"/>
            </w:tcMar>
            <w:vAlign w:val="top"/>
          </w:tcPr>
          <w:p>
            <w:pPr>
              <w:spacing w:after="0" w:before="0"/>
            </w:pPr>
            <w:r>
              <w:rPr>
                <w:rFonts w:ascii="Arial" w:hAnsi="Arial"/>
                <w:b/>
                <w:i w:val="0"/>
                <w:color w:val="1C2B3A"/>
                <w:sz w:val="44"/>
              </w:rPr>
              <w:t>Gaëtan FRANÇOIS</w:t>
            </w:r>
          </w:p>
          <w:p>
            <w:pPr>
              <w:spacing w:after="240" w:before="0"/>
            </w:pPr>
            <w:r>
              <w:rPr>
                <w:rFonts w:ascii="Arial" w:hAnsi="Arial"/>
                <w:b w:val="0"/>
                <w:i w:val="0"/>
                <w:color w:val="777777"/>
                <w:sz w:val="23"/>
              </w:rPr>
              <w:t>Consultant SIRH Senior - SAP HR / SuccessFactors</w:t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1C2B3A"/>
                <w:sz w:val="25"/>
              </w:rPr>
              <w:t>Profil</w:t>
            </w:r>
          </w:p>
          <w:p>
            <w:pPr>
              <w:spacing w:after="120"/>
              <w:pBdr>
                <w:bottom w:val="single" w:sz="10" w:space="1" w:color="1C2B3A"/>
              </w:pBdr>
            </w:pPr>
          </w:p>
          <w:p>
            <w:pPr>
              <w:spacing w:after="200" w:before="0" w:line="312" w:lineRule="auto"/>
              <w:jc w:val="both"/>
            </w:pPr>
            <w:r>
              <w:rPr>
                <w:rFonts w:ascii="Arial" w:hAnsi="Arial"/>
                <w:b w:val="0"/>
                <w:i w:val="0"/>
                <w:color w:val="333333"/>
                <w:sz w:val="19"/>
              </w:rPr>
              <w:t>Consultant SIRH freelance avec 15 ans d'expérience en déploiement, TMA et migration de solutions SAP HR sur des environnements enterprise multi-pays. Compétences fonctionnelles et techniques sur SAP HR/HCM et SuccessFactors Employee Central, avec un fort ancrage sur le compte L'Oréal mondial (40+ pays). Product Manager d'une startup SaaS B2B/B2C. Utilise Claude Code et l'IA générative au quotidien.</w:t>
            </w: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1C2B3A"/>
                <w:sz w:val="25"/>
              </w:rPr>
              <w:t>Expérience professionnelle</w:t>
            </w:r>
          </w:p>
          <w:p>
            <w:pPr>
              <w:spacing w:after="120"/>
              <w:pBdr>
                <w:bottom w:val="single" w:sz="10" w:space="1" w:color="1C2B3A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2018 - 2025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L'ORÉAL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Freelance - Remote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Consultant SIRH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Migration mondiale SAP HR vers SAP SuccessFactors Employee Central (OneProfile) : spécifications fonctionnelles, reprise de données, recette, déploiement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Centralisation mondiale de la paie (OnePayroll) : coordination cross-fonctionnelle, migration de données, mise en production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Déploiement Tamigo (gestion des temps) en boutiques : UAT, go-live, support post-démarrage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Support et maintenance SAP HR - Reporting</w:t>
                  </w:r>
                </w:p>
              </w:tc>
            </w:tr>
          </w:tbl>
          <w:p/>
          <w:p>
            <w:pPr>
              <w:spacing w:after="8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2018 - 2026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WallOfTraders.com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Remote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Product Manager - Startup SaaS B2B/B2C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Plateforme de trading B2B/B2C : gestion de comptes traders (B2B, démonstrations, onboarding sur la marketplace) et de clients qui copiaient leurs trades (B2C), support utilisateur, animation communauté (Telegram, newsletter), publicité Facebook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Suivi des KPI d'adoption et de rétention ; évolutions du produit pour répondre aux besoins spécifiques de chaque compte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SEO : rédaction blog, cocons sémantiques ; gestion de stagiaires et d'alternants ; recette des nouvelles fonctionnalités</w:t>
                  </w:r>
                </w:p>
              </w:tc>
            </w:tr>
          </w:tbl>
          <w:p/>
          <w:p>
            <w:pPr>
              <w:spacing w:after="8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2016 - 2018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R&amp;D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Bordeaux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IA, Machine Learning &amp; Robotique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Machine Learning (mai 2017 - avr. 2018) : formations Coursera Python, ML, Deep Learning, scraping - prédictions hippiques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Conception drone (nov. 2016 - avr. 2017) : drone waterproof autonome GoPro, contrôleur Pixhawk / Mission Planner, robotique &amp; electronique</w:t>
                  </w:r>
                </w:p>
              </w:tc>
            </w:tr>
          </w:tbl>
          <w:p/>
          <w:p>
            <w:pPr>
              <w:spacing w:after="8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2012 - 2016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ALTI - TCS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Paris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Consultant Technico-Fonctionnel SIRH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L'Oréal (2014 - 2016) : TMA SAP HR 40 pays (L1/L2/L3 FR &amp; EN), gestion des évolutions, lien RH/développeurs, recette et mise en production ; RFP externalisation gagné ; transfert de connaissances et pilotage équipe Inde ; refonte application gestion des temps (spécifications, TNR, Jira)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FMC Technologies (juil. - déc. 2013) : déploiement SAP HR 8 pays Europe - personnel &amp; structure organisation, reprise de données, business blueprint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Air France, Generali, Degremont, Canal+, Sanofi, Cofely-Ineo : paramétrage SAP HR, support, recette, reprise de données, reporting</w:t>
                  </w:r>
                </w:p>
              </w:tc>
            </w:tr>
          </w:tbl>
          <w:p/>
          <w:p>
            <w:pPr>
              <w:spacing w:after="8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2011 - 2012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eFront &amp; Enablon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Paris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Support &amp; Paramétrage Logiciel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Support, maintenance et paramétrage de solutions de gestion finance et qualité</w:t>
                  </w:r>
                </w:p>
              </w:tc>
            </w:tr>
          </w:tbl>
          <w:p/>
          <w:p>
            <w:pPr>
              <w:spacing w:after="8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Mars - Sept. 2010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444444"/>
                      <w:sz w:val="17"/>
                    </w:rPr>
                    <w:t>Diagnostica - Stago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Stage</w:t>
                  </w:r>
                </w:p>
              </w:tc>
              <w:tc>
                <w:tcPr>
                  <w:tcW w:type="dxa" w:w="5556"/>
                  <w:tcMar>
                    <w:top w:w="0" w:type="dxa"/>
                    <w:bottom w:w="0" w:type="dxa"/>
                    <w:start w:w="0" w:type="dxa"/>
                    <w:end w:w="0" w:type="dxa"/>
                  </w:tcMar>
                  <w:vAlign w:val="top"/>
                </w:tcPr>
                <w:p>
                  <w:pPr>
                    <w:spacing w:after="60" w:before="0"/>
                  </w:pPr>
                  <w:r>
                    <w:rPr>
                      <w:rFonts w:ascii="Arial" w:hAnsi="Arial"/>
                      <w:b/>
                      <w:i w:val="0"/>
                      <w:color w:val="222222"/>
                      <w:sz w:val="19"/>
                    </w:rPr>
                    <w:t>Développeur C++ / OpenGL</w:t>
                  </w:r>
                </w:p>
                <w:p>
                  <w:pPr>
                    <w:spacing w:after="60" w:line="276" w:lineRule="auto"/>
                    <w:ind w:left="200"/>
                  </w:pPr>
                  <w:r>
                    <w:rPr>
                      <w:rFonts w:ascii="Arial" w:hAnsi="Arial"/>
                      <w:color w:val="333333"/>
                      <w:sz w:val="17"/>
                    </w:rPr>
                    <w:t xml:space="preserve">• </w:t>
                  </w:r>
                  <w:r>
                    <w:rPr>
                      <w:rFonts w:ascii="Arial" w:hAnsi="Arial"/>
                      <w:color w:val="333333"/>
                      <w:sz w:val="17"/>
                    </w:rPr>
                    <w:t>Développement C++ d'une simulation d'usine en 3D avec bibliothèques OpenGL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after="40" w:before="200"/>
            </w:pPr>
            <w:r>
              <w:rPr>
                <w:rFonts w:ascii="Arial" w:hAnsi="Arial"/>
                <w:b/>
                <w:i w:val="0"/>
                <w:color w:val="1C2B3A"/>
                <w:sz w:val="25"/>
              </w:rPr>
              <w:t>Formation</w:t>
            </w:r>
          </w:p>
          <w:p>
            <w:pPr>
              <w:spacing w:after="120"/>
              <w:pBdr>
                <w:bottom w:val="single" w:sz="10" w:space="1" w:color="1C2B3A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ESILV</w:t>
                  </w:r>
                </w:p>
              </w:tc>
              <w:tc>
                <w:tcPr>
                  <w:tcW w:type="dxa" w:w="5556"/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333333"/>
                      <w:sz w:val="17"/>
                    </w:rPr>
                    <w:t>Diplôme d'Ingénieur en Calcul Scientifique, 2010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Léonard de Vinci - Courbevoie La Défense, France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Univ. de Konkuk</w:t>
                  </w:r>
                </w:p>
              </w:tc>
              <w:tc>
                <w:tcPr>
                  <w:tcW w:type="dxa" w:w="5556"/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333333"/>
                      <w:sz w:val="17"/>
                    </w:rPr>
                    <w:t>Semestre d'échange - cours scientifiques en anglais, 2008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Séoul, Corée du Sud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041"/>
              <w:gridCol w:w="5556"/>
            </w:tblGrid>
            <w:tr>
              <w:tc>
                <w:tcPr>
                  <w:tcW w:type="dxa" w:w="2041"/>
                  <w:tcMar>
                    <w:top w:w="0" w:type="dxa"/>
                    <w:bottom w:w="0" w:type="dxa"/>
                    <w:start w:w="0" w:type="dxa"/>
                    <w:end w:w="150" w:type="dxa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hAnsi="Arial"/>
                      <w:b/>
                      <w:i w:val="0"/>
                      <w:color w:val="1C2B3A"/>
                      <w:sz w:val="17"/>
                    </w:rPr>
                    <w:t>CPGE Pasteur</w:t>
                  </w:r>
                </w:p>
              </w:tc>
              <w:tc>
                <w:tcPr>
                  <w:tcW w:type="dxa" w:w="5556"/>
                  <w:vAlign w:val="top"/>
                </w:tcPr>
                <w:p>
                  <w:pPr>
                    <w:spacing w:after="20" w:before="0"/>
                  </w:pPr>
                  <w:r>
                    <w:rPr>
                      <w:rFonts w:ascii="Arial" w:hAnsi="Arial"/>
                      <w:b w:val="0"/>
                      <w:i w:val="0"/>
                      <w:color w:val="333333"/>
                      <w:sz w:val="17"/>
                    </w:rPr>
                    <w:t>Classe Préparatoire MPSI - Mathématiques, Physique, Sciences de l'Ingénieur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Arial" w:hAnsi="Arial"/>
                      <w:b w:val="0"/>
                      <w:i w:val="0"/>
                      <w:color w:val="777777"/>
                      <w:sz w:val="16"/>
                    </w:rPr>
                    <w:t>Neuilly-sur-Seine, France</w:t>
                  </w:r>
                </w:p>
              </w:tc>
            </w:tr>
          </w:tbl>
          <w:p/>
        </w:tc>
      </w:tr>
    </w:tbl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