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5"/>
        <w:gridCol w:w="8391"/>
      </w:tblGrid>
      <w:tr>
        <w:tc>
          <w:tcPr>
            <w:tcW w:type="dxa" w:w="3515"/>
            <w:shd w:val="clear" w:color="auto" w:fill="1C2B3A"/>
            <w:tcMar>
              <w:top w:w="300" w:type="dxa"/>
              <w:bottom w:w="300" w:type="dxa"/>
              <w:start w:w="250" w:type="dxa"/>
              <w:end w:w="250" w:type="dxa"/>
            </w:tcMar>
            <w:vAlign w:val="top"/>
          </w:tcPr>
          <w:p>
            <w:pPr>
              <w:spacing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15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cv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200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Contact</w:t>
            </w:r>
          </w:p>
          <w:p>
            <w:pPr>
              <w:spacing w:after="120"/>
              <w:pBdr>
                <w:bottom w:val="single" w:sz="12" w:space="1" w:color="E8C040"/>
              </w:pBdr>
            </w:pPr>
          </w:p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DDDDDD"/>
                <w:sz w:val="16"/>
              </w:rPr>
              <w:t>Email :</w:t>
            </w:r>
          </w:p>
          <w:p>
            <w:pPr>
              <w:spacing w:after="120" w:before="0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gaetan8francois@gmail.com</w:t>
            </w:r>
          </w:p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DDDDDD"/>
                <w:sz w:val="16"/>
              </w:rPr>
              <w:t>Téléphone :</w:t>
            </w:r>
          </w:p>
          <w:p>
            <w:pPr>
              <w:spacing w:after="120" w:before="0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+33 6 75 97 51 62</w:t>
            </w:r>
          </w:p>
          <w:p>
            <w:pPr>
              <w:spacing w:after="40" w:before="200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Compétences</w:t>
            </w:r>
          </w:p>
          <w:p>
            <w:pPr>
              <w:spacing w:after="120"/>
              <w:pBdr>
                <w:bottom w:val="single" w:sz="12" w:space="1" w:color="E8C040"/>
              </w:pBdr>
            </w:pPr>
          </w:p>
          <w:p>
            <w:pPr>
              <w:spacing w:after="60" w:before="0"/>
            </w:pPr>
            <w:r>
              <w:rPr>
                <w:rFonts w:ascii="Arial" w:hAnsi="Arial"/>
                <w:b w:val="0"/>
                <w:i w:val="0"/>
                <w:color w:val="DDDDDD"/>
                <w:sz w:val="17"/>
              </w:rPr>
              <w:t>SAP HR/HCM &amp; SuccessFactors EC</w:t>
            </w:r>
          </w:p>
          <w:p>
            <w:pPr>
              <w:spacing w:after="60" w:before="0"/>
            </w:pPr>
            <w:r>
              <w:rPr>
                <w:rFonts w:ascii="Arial" w:hAnsi="Arial"/>
                <w:b w:val="0"/>
                <w:i w:val="0"/>
                <w:color w:val="DDDDDD"/>
                <w:sz w:val="17"/>
              </w:rPr>
              <w:t>Déploiement &amp; TMA</w:t>
            </w:r>
          </w:p>
          <w:p>
            <w:pPr>
              <w:spacing w:after="60" w:before="0"/>
            </w:pPr>
            <w:r>
              <w:rPr>
                <w:rFonts w:ascii="Arial" w:hAnsi="Arial"/>
                <w:b w:val="0"/>
                <w:i w:val="0"/>
                <w:color w:val="DDDDDD"/>
                <w:sz w:val="17"/>
              </w:rPr>
              <w:t>Migration de données</w:t>
            </w:r>
          </w:p>
          <w:p>
            <w:pPr>
              <w:spacing w:after="60" w:before="0"/>
            </w:pPr>
            <w:r>
              <w:rPr>
                <w:rFonts w:ascii="Arial" w:hAnsi="Arial"/>
                <w:b w:val="0"/>
                <w:i w:val="0"/>
                <w:color w:val="DDDDDD"/>
                <w:sz w:val="17"/>
              </w:rPr>
              <w:t>Formation utilisateurs-clés</w:t>
            </w:r>
          </w:p>
          <w:p>
            <w:pPr>
              <w:spacing w:after="60" w:before="0"/>
            </w:pPr>
            <w:r>
              <w:rPr>
                <w:rFonts w:ascii="Arial" w:hAnsi="Arial"/>
                <w:b w:val="0"/>
                <w:i w:val="0"/>
                <w:color w:val="DDDDDD"/>
                <w:sz w:val="17"/>
              </w:rPr>
              <w:t>Gestion de projet</w:t>
            </w:r>
          </w:p>
          <w:p>
            <w:pPr>
              <w:spacing w:after="60" w:before="0"/>
            </w:pPr>
            <w:r>
              <w:rPr>
                <w:rFonts w:ascii="Arial" w:hAnsi="Arial"/>
                <w:b w:val="0"/>
                <w:i w:val="0"/>
                <w:color w:val="DDDDDD"/>
                <w:sz w:val="17"/>
              </w:rPr>
              <w:t>Claude Code</w:t>
            </w:r>
          </w:p>
          <w:p>
            <w:pPr>
              <w:spacing w:after="60" w:before="0"/>
            </w:pPr>
            <w:r>
              <w:rPr>
                <w:rFonts w:ascii="Arial" w:hAnsi="Arial"/>
                <w:b w:val="0"/>
                <w:i w:val="0"/>
                <w:color w:val="DDDDDD"/>
                <w:sz w:val="17"/>
              </w:rPr>
              <w:t>Salesforce, Jira, Confluence</w:t>
            </w:r>
          </w:p>
          <w:p>
            <w:pPr>
              <w:spacing w:after="60" w:before="0"/>
            </w:pPr>
            <w:r>
              <w:rPr>
                <w:rFonts w:ascii="Arial" w:hAnsi="Arial"/>
                <w:b w:val="0"/>
                <w:i w:val="0"/>
                <w:color w:val="DDDDDD"/>
                <w:sz w:val="17"/>
              </w:rPr>
              <w:t>HTML5, CSS3, SQL</w:t>
            </w:r>
          </w:p>
          <w:p>
            <w:pPr>
              <w:spacing w:after="40" w:before="200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Langues</w:t>
            </w:r>
          </w:p>
          <w:p>
            <w:pPr>
              <w:spacing w:after="120"/>
              <w:pBdr>
                <w:bottom w:val="single" w:sz="12" w:space="1" w:color="E8C040"/>
              </w:pBdr>
            </w:pPr>
          </w:p>
          <w:p>
            <w:pPr>
              <w:tabs>
                <w:tab w:pos="2891" w:val="left"/>
              </w:tabs>
              <w:spacing w:after="100"/>
            </w:pPr>
            <w:r>
              <w:rPr>
                <w:rFonts w:ascii="Arial" w:hAnsi="Arial"/>
                <w:color w:val="FFFFFF"/>
                <w:sz w:val="17"/>
              </w:rPr>
              <w:t>Français</w:t>
            </w:r>
            <w:r>
              <w:rPr>
                <w:rFonts w:ascii="Arial" w:hAnsi="Arial"/>
                <w:color w:val="E8C040"/>
                <w:sz w:val="17"/>
              </w:rPr>
              <w:tab/>
              <w:t>Natif</w:t>
            </w:r>
          </w:p>
          <w:p>
            <w:pPr>
              <w:tabs>
                <w:tab w:pos="2891" w:val="left"/>
              </w:tabs>
              <w:spacing w:after="100"/>
            </w:pPr>
            <w:r>
              <w:rPr>
                <w:rFonts w:ascii="Arial" w:hAnsi="Arial"/>
                <w:color w:val="FFFFFF"/>
                <w:sz w:val="17"/>
              </w:rPr>
              <w:t>Anglais</w:t>
            </w:r>
            <w:r>
              <w:rPr>
                <w:rFonts w:ascii="Arial" w:hAnsi="Arial"/>
                <w:color w:val="E8C040"/>
                <w:sz w:val="17"/>
              </w:rPr>
              <w:tab/>
              <w:t>Courant</w:t>
            </w:r>
          </w:p>
          <w:p>
            <w:pPr>
              <w:tabs>
                <w:tab w:pos="2891" w:val="left"/>
              </w:tabs>
              <w:spacing w:after="100"/>
            </w:pPr>
            <w:r>
              <w:rPr>
                <w:rFonts w:ascii="Arial" w:hAnsi="Arial"/>
                <w:color w:val="FFFFFF"/>
                <w:sz w:val="17"/>
              </w:rPr>
              <w:t>Espagnol</w:t>
            </w:r>
            <w:r>
              <w:rPr>
                <w:rFonts w:ascii="Arial" w:hAnsi="Arial"/>
                <w:color w:val="E8C040"/>
                <w:sz w:val="17"/>
              </w:rPr>
              <w:tab/>
              <w:t>Intermédiaire</w:t>
            </w:r>
          </w:p>
          <w:p>
            <w:pPr>
              <w:tabs>
                <w:tab w:pos="2891" w:val="left"/>
              </w:tabs>
              <w:spacing w:after="100"/>
            </w:pPr>
            <w:r>
              <w:rPr>
                <w:rFonts w:ascii="Arial" w:hAnsi="Arial"/>
                <w:color w:val="FFFFFF"/>
                <w:sz w:val="17"/>
              </w:rPr>
              <w:t>Portugais</w:t>
            </w:r>
            <w:r>
              <w:rPr>
                <w:rFonts w:ascii="Arial" w:hAnsi="Arial"/>
                <w:color w:val="E8C040"/>
                <w:sz w:val="17"/>
              </w:rPr>
              <w:tab/>
              <w:t>Intermédiaire</w:t>
            </w:r>
          </w:p>
          <w:p>
            <w:pPr>
              <w:tabs>
                <w:tab w:pos="2891" w:val="left"/>
              </w:tabs>
              <w:spacing w:after="100"/>
            </w:pPr>
            <w:r>
              <w:rPr>
                <w:rFonts w:ascii="Arial" w:hAnsi="Arial"/>
                <w:color w:val="FFFFFF"/>
                <w:sz w:val="17"/>
              </w:rPr>
              <w:t>Allemand</w:t>
            </w:r>
            <w:r>
              <w:rPr>
                <w:rFonts w:ascii="Arial" w:hAnsi="Arial"/>
                <w:color w:val="E8C040"/>
                <w:sz w:val="17"/>
              </w:rPr>
              <w:tab/>
              <w:t>Notions</w:t>
            </w:r>
          </w:p>
          <w:p>
            <w:pPr>
              <w:spacing w:after="40" w:before="200"/>
            </w:pPr>
            <w:r>
              <w:rPr>
                <w:rFonts w:ascii="Arial" w:hAnsi="Arial"/>
                <w:b/>
                <w:i w:val="0"/>
                <w:color w:val="FFFFFF"/>
                <w:sz w:val="24"/>
              </w:rPr>
              <w:t>Loisirs</w:t>
            </w:r>
          </w:p>
          <w:p>
            <w:pPr>
              <w:spacing w:after="120"/>
              <w:pBdr>
                <w:bottom w:val="single" w:sz="12" w:space="1" w:color="E8C040"/>
              </w:pBdr>
            </w:pPr>
          </w:p>
          <w:p>
            <w:pPr>
              <w:spacing w:after="60" w:before="0"/>
            </w:pPr>
            <w:r>
              <w:rPr>
                <w:rFonts w:ascii="Arial" w:hAnsi="Arial"/>
                <w:b w:val="0"/>
                <w:i w:val="0"/>
                <w:color w:val="DDDDDD"/>
                <w:sz w:val="17"/>
              </w:rPr>
              <w:t>Course à pied</w:t>
            </w:r>
          </w:p>
          <w:p>
            <w:pPr>
              <w:spacing w:after="60" w:before="0"/>
            </w:pPr>
            <w:r>
              <w:rPr>
                <w:rFonts w:ascii="Arial" w:hAnsi="Arial"/>
                <w:b w:val="0"/>
                <w:i w:val="0"/>
                <w:color w:val="DDDDDD"/>
                <w:sz w:val="17"/>
              </w:rPr>
              <w:t>Surf</w:t>
            </w:r>
          </w:p>
          <w:p>
            <w:pPr>
              <w:spacing w:after="60" w:before="0"/>
            </w:pPr>
            <w:r>
              <w:rPr>
                <w:rFonts w:ascii="Arial" w:hAnsi="Arial"/>
                <w:b w:val="0"/>
                <w:i w:val="0"/>
                <w:color w:val="DDDDDD"/>
                <w:sz w:val="17"/>
              </w:rPr>
              <w:t>Tennis</w:t>
            </w:r>
          </w:p>
          <w:p>
            <w:pPr>
              <w:spacing w:after="60" w:before="0"/>
            </w:pPr>
            <w:r>
              <w:rPr>
                <w:rFonts w:ascii="Arial" w:hAnsi="Arial"/>
                <w:b w:val="0"/>
                <w:i w:val="0"/>
                <w:color w:val="DDDDDD"/>
                <w:sz w:val="17"/>
              </w:rPr>
              <w:t>Salle de sport</w:t>
            </w:r>
          </w:p>
          <w:p>
            <w:pPr>
              <w:spacing w:after="60" w:before="0"/>
            </w:pPr>
            <w:r>
              <w:rPr>
                <w:rFonts w:ascii="Arial" w:hAnsi="Arial"/>
                <w:b w:val="0"/>
                <w:i w:val="0"/>
                <w:color w:val="DDDDDD"/>
                <w:sz w:val="17"/>
              </w:rPr>
              <w:t>Échecs</w:t>
            </w:r>
          </w:p>
          <w:p>
            <w:pPr>
              <w:spacing w:after="60" w:before="0"/>
            </w:pPr>
            <w:r>
              <w:rPr>
                <w:rFonts w:ascii="Arial" w:hAnsi="Arial"/>
                <w:b w:val="0"/>
                <w:i w:val="0"/>
                <w:color w:val="DDDDDD"/>
                <w:sz w:val="17"/>
              </w:rPr>
              <w:t>Voyages</w:t>
            </w:r>
          </w:p>
          <w:p>
            <w:pPr>
              <w:spacing w:after="60" w:before="0"/>
            </w:pPr>
            <w:r>
              <w:rPr>
                <w:rFonts w:ascii="Arial" w:hAnsi="Arial"/>
                <w:b w:val="0"/>
                <w:i w:val="0"/>
                <w:color w:val="DDDDDD"/>
                <w:sz w:val="17"/>
              </w:rPr>
              <w:t>Lecture quotidienne</w:t>
            </w:r>
          </w:p>
        </w:tc>
        <w:tc>
          <w:tcPr>
            <w:tcW w:type="dxa" w:w="8391"/>
            <w:tcMar>
              <w:top w:w="500" w:type="dxa"/>
              <w:bottom w:w="500" w:type="dxa"/>
              <w:start w:w="350" w:type="dxa"/>
              <w:end w:w="350" w:type="dxa"/>
            </w:tcMar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C2B3A"/>
                <w:sz w:val="44"/>
              </w:rPr>
              <w:t>Gaëtan FRANÇOIS</w:t>
            </w:r>
          </w:p>
          <w:p>
            <w:pPr>
              <w:spacing w:after="240" w:before="0"/>
            </w:pPr>
            <w:r>
              <w:rPr>
                <w:rFonts w:ascii="Arial" w:hAnsi="Arial"/>
                <w:b w:val="0"/>
                <w:i w:val="0"/>
                <w:color w:val="777777"/>
                <w:sz w:val="23"/>
              </w:rPr>
              <w:t>Consultant SIRH Senior - SAP HR / SuccessFactors</w:t>
            </w:r>
          </w:p>
          <w:p>
            <w:pPr>
              <w:spacing w:after="40" w:before="200"/>
            </w:pPr>
            <w:r>
              <w:rPr>
                <w:rFonts w:ascii="Arial" w:hAnsi="Arial"/>
                <w:b/>
                <w:i w:val="0"/>
                <w:color w:val="1C2B3A"/>
                <w:sz w:val="25"/>
              </w:rPr>
              <w:t>Profil</w:t>
            </w:r>
          </w:p>
          <w:p>
            <w:pPr>
              <w:spacing w:after="120"/>
              <w:pBdr>
                <w:bottom w:val="single" w:sz="10" w:space="1" w:color="1C2B3A"/>
              </w:pBdr>
            </w:pPr>
          </w:p>
          <w:p>
            <w:pPr>
              <w:spacing w:after="200" w:before="0" w:line="312" w:lineRule="auto"/>
              <w:jc w:val="both"/>
            </w:pP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Consultant SIRH freelance avec 15 ans d'expérience en déploiement, TMA et migration de solutions SAP HR sur des environnements enterprise multi-pays. Compétences fonctionnelles et techniques sur SAP HR/HCM et SuccessFactors Employee Central, avec un fort ancrage sur le compte L'Oréal mondial (40+ pays). Utilise Claude Code et l'IA générative au quotidien.</w:t>
            </w:r>
          </w:p>
          <w:p>
            <w:pPr>
              <w:spacing w:after="40" w:before="200"/>
            </w:pPr>
            <w:r>
              <w:rPr>
                <w:rFonts w:ascii="Arial" w:hAnsi="Arial"/>
                <w:b/>
                <w:i w:val="0"/>
                <w:color w:val="1C2B3A"/>
                <w:sz w:val="25"/>
              </w:rPr>
              <w:t>Expérience professionnelle</w:t>
            </w:r>
          </w:p>
          <w:p>
            <w:pPr>
              <w:spacing w:after="120"/>
              <w:pBdr>
                <w:bottom w:val="single" w:sz="10" w:space="1" w:color="1C2B3A"/>
              </w:pBdr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041"/>
              <w:gridCol w:w="5556"/>
            </w:tblGrid>
            <w:tr>
              <w:tc>
                <w:tcPr>
                  <w:tcW w:type="dxa" w:w="2041"/>
                  <w:tcMar>
                    <w:top w:w="0" w:type="dxa"/>
                    <w:bottom w:w="0" w:type="dxa"/>
                    <w:start w:w="0" w:type="dxa"/>
                    <w:end w:w="150" w:type="dxa"/>
                  </w:tcMar>
                  <w:vAlign w:val="top"/>
                </w:tcPr>
                <w:p>
                  <w:pPr>
                    <w:spacing w:after="20" w:before="0"/>
                  </w:pPr>
                  <w:r>
                    <w:rPr>
                      <w:rFonts w:ascii="Arial" w:hAnsi="Arial"/>
                      <w:b/>
                      <w:i w:val="0"/>
                      <w:color w:val="1C2B3A"/>
                      <w:sz w:val="17"/>
                    </w:rPr>
                    <w:t>2018 - 2025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hAnsi="Arial"/>
                      <w:b w:val="0"/>
                      <w:i w:val="0"/>
                      <w:color w:val="444444"/>
                      <w:sz w:val="17"/>
                    </w:rPr>
                    <w:t>L'ORÉAL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777777"/>
                      <w:sz w:val="16"/>
                    </w:rPr>
                    <w:t>Freelance - Remote</w:t>
                  </w:r>
                </w:p>
              </w:tc>
              <w:tc>
                <w:tcPr>
                  <w:tcW w:type="dxa" w:w="5556"/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hAnsi="Arial"/>
                      <w:b/>
                      <w:i w:val="0"/>
                      <w:color w:val="222222"/>
                      <w:sz w:val="19"/>
                    </w:rPr>
                    <w:t>Consultant SIRH</w:t>
                  </w:r>
                </w:p>
                <w:p>
                  <w:pPr>
                    <w:spacing w:after="60" w:line="276" w:lineRule="auto"/>
                    <w:ind w:left="200"/>
                  </w:pPr>
                  <w:r>
                    <w:rPr>
                      <w:rFonts w:ascii="Arial" w:hAnsi="Arial"/>
                      <w:color w:val="333333"/>
                      <w:sz w:val="17"/>
                    </w:rPr>
                    <w:t xml:space="preserve">• </w:t>
                  </w:r>
                  <w:r>
                    <w:rPr>
                      <w:rFonts w:ascii="Arial" w:hAnsi="Arial"/>
                      <w:color w:val="333333"/>
                      <w:sz w:val="17"/>
                    </w:rPr>
                    <w:t>Migration mondiale SAP HR vers SAP SuccessFactors Employee Central (OneProfile) : spécifications fonctionnelles, reprise de données, recette, déploiement</w:t>
                  </w:r>
                </w:p>
                <w:p>
                  <w:pPr>
                    <w:spacing w:after="60" w:line="276" w:lineRule="auto"/>
                    <w:ind w:left="200"/>
                  </w:pPr>
                  <w:r>
                    <w:rPr>
                      <w:rFonts w:ascii="Arial" w:hAnsi="Arial"/>
                      <w:color w:val="333333"/>
                      <w:sz w:val="17"/>
                    </w:rPr>
                    <w:t xml:space="preserve">• </w:t>
                  </w:r>
                  <w:r>
                    <w:rPr>
                      <w:rFonts w:ascii="Arial" w:hAnsi="Arial"/>
                      <w:color w:val="333333"/>
                      <w:sz w:val="17"/>
                    </w:rPr>
                    <w:t>Centralisation mondiale de la paie (OnePayroll) : coordination cross-fonctionnelle, migration de données, mise en production</w:t>
                  </w:r>
                </w:p>
                <w:p>
                  <w:pPr>
                    <w:spacing w:after="60" w:line="276" w:lineRule="auto"/>
                    <w:ind w:left="200"/>
                  </w:pPr>
                  <w:r>
                    <w:rPr>
                      <w:rFonts w:ascii="Arial" w:hAnsi="Arial"/>
                      <w:color w:val="333333"/>
                      <w:sz w:val="17"/>
                    </w:rPr>
                    <w:t xml:space="preserve">• </w:t>
                  </w:r>
                  <w:r>
                    <w:rPr>
                      <w:rFonts w:ascii="Arial" w:hAnsi="Arial"/>
                      <w:color w:val="333333"/>
                      <w:sz w:val="17"/>
                    </w:rPr>
                    <w:t>Déploiement Tamigo (gestion des temps) en boutiques : UAT, go-live, support post-démarrage</w:t>
                  </w:r>
                </w:p>
                <w:p>
                  <w:pPr>
                    <w:spacing w:after="60" w:line="276" w:lineRule="auto"/>
                    <w:ind w:left="200"/>
                  </w:pPr>
                  <w:r>
                    <w:rPr>
                      <w:rFonts w:ascii="Arial" w:hAnsi="Arial"/>
                      <w:color w:val="333333"/>
                      <w:sz w:val="17"/>
                    </w:rPr>
                    <w:t xml:space="preserve">• </w:t>
                  </w:r>
                  <w:r>
                    <w:rPr>
                      <w:rFonts w:ascii="Arial" w:hAnsi="Arial"/>
                      <w:color w:val="333333"/>
                      <w:sz w:val="17"/>
                    </w:rPr>
                    <w:t>Support et maintenance SAP HR - Reporting</w:t>
                  </w:r>
                </w:p>
              </w:tc>
            </w:tr>
          </w:tbl>
          <w:p/>
          <w:p>
            <w:pPr>
              <w:spacing w:after="80"/>
            </w:pPr>
          </w:p>
          <w:p/>
          <w:p>
            <w:pPr>
              <w:spacing w:after="8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041"/>
              <w:gridCol w:w="5556"/>
            </w:tblGrid>
            <w:tr>
              <w:tc>
                <w:tcPr>
                  <w:tcW w:type="dxa" w:w="2041"/>
                  <w:tcMar>
                    <w:top w:w="0" w:type="dxa"/>
                    <w:bottom w:w="0" w:type="dxa"/>
                    <w:start w:w="0" w:type="dxa"/>
                    <w:end w:w="150" w:type="dxa"/>
                  </w:tcMar>
                  <w:vAlign w:val="top"/>
                </w:tcPr>
                <w:p>
                  <w:pPr>
                    <w:spacing w:after="20" w:before="0"/>
                  </w:pPr>
                  <w:r>
                    <w:rPr>
                      <w:rFonts w:ascii="Arial" w:hAnsi="Arial"/>
                      <w:b/>
                      <w:i w:val="0"/>
                      <w:color w:val="1C2B3A"/>
                      <w:sz w:val="17"/>
                    </w:rPr>
                    <w:t>2016 - 2018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hAnsi="Arial"/>
                      <w:b w:val="0"/>
                      <w:i w:val="0"/>
                      <w:color w:val="444444"/>
                      <w:sz w:val="17"/>
                    </w:rPr>
                    <w:t>R&amp;D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777777"/>
                      <w:sz w:val="16"/>
                    </w:rPr>
                    <w:t>Bordeaux</w:t>
                  </w:r>
                </w:p>
              </w:tc>
              <w:tc>
                <w:tcPr>
                  <w:tcW w:type="dxa" w:w="5556"/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hAnsi="Arial"/>
                      <w:b/>
                      <w:i w:val="0"/>
                      <w:color w:val="222222"/>
                      <w:sz w:val="19"/>
                    </w:rPr>
                    <w:t>IA, Machine Learning &amp; Robotique</w:t>
                  </w:r>
                </w:p>
                <w:p>
                  <w:pPr>
                    <w:spacing w:after="60" w:line="276" w:lineRule="auto"/>
                    <w:ind w:left="200"/>
                  </w:pPr>
                  <w:r>
                    <w:rPr>
                      <w:rFonts w:ascii="Arial" w:hAnsi="Arial"/>
                      <w:color w:val="333333"/>
                      <w:sz w:val="17"/>
                    </w:rPr>
                    <w:t xml:space="preserve">• </w:t>
                  </w:r>
                  <w:r>
                    <w:rPr>
                      <w:rFonts w:ascii="Arial" w:hAnsi="Arial"/>
                      <w:color w:val="333333"/>
                      <w:sz w:val="17"/>
                    </w:rPr>
                    <w:t>Machine Learning (mai 2017 - avr. 2018) : formations Coursera Python, ML, Deep Learning, scraping - prédictions hippiques</w:t>
                  </w:r>
                </w:p>
                <w:p>
                  <w:pPr>
                    <w:spacing w:after="60" w:line="276" w:lineRule="auto"/>
                    <w:ind w:left="200"/>
                  </w:pPr>
                  <w:r>
                    <w:rPr>
                      <w:rFonts w:ascii="Arial" w:hAnsi="Arial"/>
                      <w:color w:val="333333"/>
                      <w:sz w:val="17"/>
                    </w:rPr>
                    <w:t xml:space="preserve">• </w:t>
                  </w:r>
                  <w:r>
                    <w:rPr>
                      <w:rFonts w:ascii="Arial" w:hAnsi="Arial"/>
                      <w:color w:val="333333"/>
                      <w:sz w:val="17"/>
                    </w:rPr>
                    <w:t>Conception drone (nov. 2016 - avr. 2017) : drone waterproof autonome GoPro, contrôleur Pixhawk / Mission Planner, robotique &amp; electronique</w:t>
                  </w:r>
                </w:p>
              </w:tc>
            </w:tr>
          </w:tbl>
          <w:p/>
          <w:p>
            <w:pPr>
              <w:spacing w:after="8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041"/>
              <w:gridCol w:w="5556"/>
            </w:tblGrid>
            <w:tr>
              <w:tc>
                <w:tcPr>
                  <w:tcW w:type="dxa" w:w="2041"/>
                  <w:tcMar>
                    <w:top w:w="0" w:type="dxa"/>
                    <w:bottom w:w="0" w:type="dxa"/>
                    <w:start w:w="0" w:type="dxa"/>
                    <w:end w:w="150" w:type="dxa"/>
                  </w:tcMar>
                  <w:vAlign w:val="top"/>
                </w:tcPr>
                <w:p>
                  <w:pPr>
                    <w:spacing w:after="20" w:before="0"/>
                  </w:pPr>
                  <w:r>
                    <w:rPr>
                      <w:rFonts w:ascii="Arial" w:hAnsi="Arial"/>
                      <w:b/>
                      <w:i w:val="0"/>
                      <w:color w:val="1C2B3A"/>
                      <w:sz w:val="17"/>
                    </w:rPr>
                    <w:t>2012 - 2016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hAnsi="Arial"/>
                      <w:b w:val="0"/>
                      <w:i w:val="0"/>
                      <w:color w:val="444444"/>
                      <w:sz w:val="17"/>
                    </w:rPr>
                    <w:t>ALTI - TCS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777777"/>
                      <w:sz w:val="16"/>
                    </w:rPr>
                    <w:t>Paris</w:t>
                  </w:r>
                </w:p>
              </w:tc>
              <w:tc>
                <w:tcPr>
                  <w:tcW w:type="dxa" w:w="5556"/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hAnsi="Arial"/>
                      <w:b/>
                      <w:i w:val="0"/>
                      <w:color w:val="222222"/>
                      <w:sz w:val="19"/>
                    </w:rPr>
                    <w:t>Consultant Technico-Fonctionnel SIRH</w:t>
                  </w:r>
                </w:p>
                <w:p>
                  <w:pPr>
                    <w:spacing w:after="60" w:line="276" w:lineRule="auto"/>
                    <w:ind w:left="200"/>
                  </w:pPr>
                  <w:r>
                    <w:rPr>
                      <w:rFonts w:ascii="Arial" w:hAnsi="Arial"/>
                      <w:color w:val="333333"/>
                      <w:sz w:val="17"/>
                    </w:rPr>
                    <w:t xml:space="preserve">• </w:t>
                  </w:r>
                  <w:r>
                    <w:rPr>
                      <w:rFonts w:ascii="Arial" w:hAnsi="Arial"/>
                      <w:color w:val="333333"/>
                      <w:sz w:val="17"/>
                    </w:rPr>
                    <w:t>L'Oréal (2014 - 2016) : TMA SAP HR 40 pays (L1/L2/L3 FR &amp; EN), gestion des évolutions, lien RH/développeurs, recette et mise en production ; RFP externalisation gagné ; transfert de connaissances et pilotage équipe Inde ; refonte application gestion des temps (spécifications, TNR, Jira)</w:t>
                  </w:r>
                </w:p>
                <w:p>
                  <w:pPr>
                    <w:spacing w:after="60" w:line="276" w:lineRule="auto"/>
                    <w:ind w:left="200"/>
                  </w:pPr>
                  <w:r>
                    <w:rPr>
                      <w:rFonts w:ascii="Arial" w:hAnsi="Arial"/>
                      <w:color w:val="333333"/>
                      <w:sz w:val="17"/>
                    </w:rPr>
                    <w:t xml:space="preserve">• </w:t>
                  </w:r>
                  <w:r>
                    <w:rPr>
                      <w:rFonts w:ascii="Arial" w:hAnsi="Arial"/>
                      <w:color w:val="333333"/>
                      <w:sz w:val="17"/>
                    </w:rPr>
                    <w:t>FMC Technologies (juil. - déc. 2013) : déploiement SAP HR 8 pays Europe - personnel &amp; structure organisation, reprise de données, business blueprint</w:t>
                  </w:r>
                </w:p>
                <w:p>
                  <w:pPr>
                    <w:spacing w:after="60" w:line="276" w:lineRule="auto"/>
                    <w:ind w:left="200"/>
                  </w:pPr>
                  <w:r>
                    <w:rPr>
                      <w:rFonts w:ascii="Arial" w:hAnsi="Arial"/>
                      <w:color w:val="333333"/>
                      <w:sz w:val="17"/>
                    </w:rPr>
                    <w:t xml:space="preserve">• </w:t>
                  </w:r>
                  <w:r>
                    <w:rPr>
                      <w:rFonts w:ascii="Arial" w:hAnsi="Arial"/>
                      <w:color w:val="333333"/>
                      <w:sz w:val="17"/>
                    </w:rPr>
                    <w:t>Air France, Generali, Degremont, Canal+, Sanofi, Cofely-Ineo : paramétrage SAP HR, support, recette, reprise de données, reporting</w:t>
                  </w:r>
                </w:p>
              </w:tc>
            </w:tr>
          </w:tbl>
          <w:p/>
          <w:p>
            <w:pPr>
              <w:spacing w:after="8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041"/>
              <w:gridCol w:w="5556"/>
            </w:tblGrid>
            <w:tr>
              <w:tc>
                <w:tcPr>
                  <w:tcW w:type="dxa" w:w="2041"/>
                  <w:tcMar>
                    <w:top w:w="0" w:type="dxa"/>
                    <w:bottom w:w="0" w:type="dxa"/>
                    <w:start w:w="0" w:type="dxa"/>
                    <w:end w:w="150" w:type="dxa"/>
                  </w:tcMar>
                  <w:vAlign w:val="top"/>
                </w:tcPr>
                <w:p>
                  <w:pPr>
                    <w:spacing w:after="20" w:before="0"/>
                  </w:pPr>
                  <w:r>
                    <w:rPr>
                      <w:rFonts w:ascii="Arial" w:hAnsi="Arial"/>
                      <w:b/>
                      <w:i w:val="0"/>
                      <w:color w:val="1C2B3A"/>
                      <w:sz w:val="17"/>
                    </w:rPr>
                    <w:t>2011 - 2012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hAnsi="Arial"/>
                      <w:b w:val="0"/>
                      <w:i w:val="0"/>
                      <w:color w:val="444444"/>
                      <w:sz w:val="17"/>
                    </w:rPr>
                    <w:t>eFront &amp; Enablon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777777"/>
                      <w:sz w:val="16"/>
                    </w:rPr>
                    <w:t>Paris</w:t>
                  </w:r>
                </w:p>
              </w:tc>
              <w:tc>
                <w:tcPr>
                  <w:tcW w:type="dxa" w:w="5556"/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hAnsi="Arial"/>
                      <w:b/>
                      <w:i w:val="0"/>
                      <w:color w:val="222222"/>
                      <w:sz w:val="19"/>
                    </w:rPr>
                    <w:t>Support &amp; Paramétrage Logiciel</w:t>
                  </w:r>
                </w:p>
                <w:p>
                  <w:pPr>
                    <w:spacing w:after="60" w:line="276" w:lineRule="auto"/>
                    <w:ind w:left="200"/>
                  </w:pPr>
                  <w:r>
                    <w:rPr>
                      <w:rFonts w:ascii="Arial" w:hAnsi="Arial"/>
                      <w:color w:val="333333"/>
                      <w:sz w:val="17"/>
                    </w:rPr>
                    <w:t xml:space="preserve">• </w:t>
                  </w:r>
                  <w:r>
                    <w:rPr>
                      <w:rFonts w:ascii="Arial" w:hAnsi="Arial"/>
                      <w:color w:val="333333"/>
                      <w:sz w:val="17"/>
                    </w:rPr>
                    <w:t>Support, maintenance et paramétrage de solutions de gestion finance et qualité</w:t>
                  </w:r>
                </w:p>
              </w:tc>
            </w:tr>
          </w:tbl>
          <w:p/>
          <w:p>
            <w:pPr>
              <w:spacing w:after="8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041"/>
              <w:gridCol w:w="5556"/>
            </w:tblGrid>
            <w:tr>
              <w:tc>
                <w:tcPr>
                  <w:tcW w:type="dxa" w:w="2041"/>
                  <w:tcMar>
                    <w:top w:w="0" w:type="dxa"/>
                    <w:bottom w:w="0" w:type="dxa"/>
                    <w:start w:w="0" w:type="dxa"/>
                    <w:end w:w="150" w:type="dxa"/>
                  </w:tcMar>
                  <w:vAlign w:val="top"/>
                </w:tcPr>
                <w:p>
                  <w:pPr>
                    <w:spacing w:after="20" w:before="0"/>
                  </w:pPr>
                  <w:r>
                    <w:rPr>
                      <w:rFonts w:ascii="Arial" w:hAnsi="Arial"/>
                      <w:b/>
                      <w:i w:val="0"/>
                      <w:color w:val="1C2B3A"/>
                      <w:sz w:val="17"/>
                    </w:rPr>
                    <w:t>Mars - Sept. 2010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hAnsi="Arial"/>
                      <w:b w:val="0"/>
                      <w:i w:val="0"/>
                      <w:color w:val="444444"/>
                      <w:sz w:val="17"/>
                    </w:rPr>
                    <w:t>Diagnostica - Stago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777777"/>
                      <w:sz w:val="16"/>
                    </w:rPr>
                    <w:t>Stage</w:t>
                  </w:r>
                </w:p>
              </w:tc>
              <w:tc>
                <w:tcPr>
                  <w:tcW w:type="dxa" w:w="5556"/>
                  <w:tcMar>
                    <w:top w:w="0" w:type="dxa"/>
                    <w:bottom w:w="0" w:type="dxa"/>
                    <w:start w:w="0" w:type="dxa"/>
                    <w:end w:w="0" w:type="dxa"/>
                  </w:tcMar>
                  <w:vAlign w:val="top"/>
                </w:tcPr>
                <w:p>
                  <w:pPr>
                    <w:spacing w:after="60" w:before="0"/>
                  </w:pPr>
                  <w:r>
                    <w:rPr>
                      <w:rFonts w:ascii="Arial" w:hAnsi="Arial"/>
                      <w:b/>
                      <w:i w:val="0"/>
                      <w:color w:val="222222"/>
                      <w:sz w:val="19"/>
                    </w:rPr>
                    <w:t>Développeur C++ / OpenGL</w:t>
                  </w:r>
                </w:p>
                <w:p>
                  <w:pPr>
                    <w:spacing w:after="60" w:line="276" w:lineRule="auto"/>
                    <w:ind w:left="200"/>
                  </w:pPr>
                  <w:r>
                    <w:rPr>
                      <w:rFonts w:ascii="Arial" w:hAnsi="Arial"/>
                      <w:color w:val="333333"/>
                      <w:sz w:val="17"/>
                    </w:rPr>
                    <w:t xml:space="preserve">• </w:t>
                  </w:r>
                  <w:r>
                    <w:rPr>
                      <w:rFonts w:ascii="Arial" w:hAnsi="Arial"/>
                      <w:color w:val="333333"/>
                      <w:sz w:val="17"/>
                    </w:rPr>
                    <w:t>Développement C++ d'une simulation d'usine en 3D avec bibliothèques OpenGL</w:t>
                  </w:r>
                </w:p>
              </w:tc>
            </w:tr>
          </w:tbl>
          <w:p/>
          <w:p>
            <w:pPr>
              <w:spacing w:after="80"/>
            </w:pPr>
          </w:p>
          <w:p>
            <w:pPr>
              <w:spacing w:after="40" w:before="200"/>
            </w:pPr>
            <w:r>
              <w:rPr>
                <w:rFonts w:ascii="Arial" w:hAnsi="Arial"/>
                <w:b/>
                <w:i w:val="0"/>
                <w:color w:val="1C2B3A"/>
                <w:sz w:val="25"/>
              </w:rPr>
              <w:t>Formation</w:t>
            </w:r>
          </w:p>
          <w:p>
            <w:pPr>
              <w:spacing w:after="120"/>
              <w:pBdr>
                <w:bottom w:val="single" w:sz="10" w:space="1" w:color="1C2B3A"/>
              </w:pBdr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041"/>
              <w:gridCol w:w="5556"/>
            </w:tblGrid>
            <w:tr>
              <w:tc>
                <w:tcPr>
                  <w:tcW w:type="dxa" w:w="2041"/>
                  <w:tcMar>
                    <w:top w:w="0" w:type="dxa"/>
                    <w:bottom w:w="0" w:type="dxa"/>
                    <w:start w:w="0" w:type="dxa"/>
                    <w:end w:w="150" w:type="dxa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C2B3A"/>
                      <w:sz w:val="17"/>
                    </w:rPr>
                    <w:t>ESILV</w:t>
                  </w:r>
                </w:p>
              </w:tc>
              <w:tc>
                <w:tcPr>
                  <w:tcW w:type="dxa" w:w="5556"/>
                  <w:vAlign w:val="top"/>
                </w:tcPr>
                <w:p>
                  <w:pPr>
                    <w:spacing w:after="20" w:before="0"/>
                  </w:pPr>
                  <w:r>
                    <w:rPr>
                      <w:rFonts w:ascii="Arial" w:hAnsi="Arial"/>
                      <w:b w:val="0"/>
                      <w:i w:val="0"/>
                      <w:color w:val="333333"/>
                      <w:sz w:val="17"/>
                    </w:rPr>
                    <w:t>Diplôme d'Ingénieur en Calcul Scientifique, 2010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hAnsi="Arial"/>
                      <w:b w:val="0"/>
                      <w:i w:val="0"/>
                      <w:color w:val="777777"/>
                      <w:sz w:val="16"/>
                    </w:rPr>
                    <w:t>Léonard de Vinci - Courbevoie La Défense, France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041"/>
              <w:gridCol w:w="5556"/>
            </w:tblGrid>
            <w:tr>
              <w:tc>
                <w:tcPr>
                  <w:tcW w:type="dxa" w:w="2041"/>
                  <w:tcMar>
                    <w:top w:w="0" w:type="dxa"/>
                    <w:bottom w:w="0" w:type="dxa"/>
                    <w:start w:w="0" w:type="dxa"/>
                    <w:end w:w="150" w:type="dxa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C2B3A"/>
                      <w:sz w:val="17"/>
                    </w:rPr>
                    <w:t>Univ. de Konkuk</w:t>
                  </w:r>
                </w:p>
              </w:tc>
              <w:tc>
                <w:tcPr>
                  <w:tcW w:type="dxa" w:w="5556"/>
                  <w:vAlign w:val="top"/>
                </w:tcPr>
                <w:p>
                  <w:pPr>
                    <w:spacing w:after="20" w:before="0"/>
                  </w:pPr>
                  <w:r>
                    <w:rPr>
                      <w:rFonts w:ascii="Arial" w:hAnsi="Arial"/>
                      <w:b w:val="0"/>
                      <w:i w:val="0"/>
                      <w:color w:val="333333"/>
                      <w:sz w:val="17"/>
                    </w:rPr>
                    <w:t>Semestre d'échange - cours scientifiques en anglais, 2008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hAnsi="Arial"/>
                      <w:b w:val="0"/>
                      <w:i w:val="0"/>
                      <w:color w:val="777777"/>
                      <w:sz w:val="16"/>
                    </w:rPr>
                    <w:t>Séoul, Corée du Sud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041"/>
              <w:gridCol w:w="5556"/>
            </w:tblGrid>
            <w:tr>
              <w:tc>
                <w:tcPr>
                  <w:tcW w:type="dxa" w:w="2041"/>
                  <w:tcMar>
                    <w:top w:w="0" w:type="dxa"/>
                    <w:bottom w:w="0" w:type="dxa"/>
                    <w:start w:w="0" w:type="dxa"/>
                    <w:end w:w="150" w:type="dxa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C2B3A"/>
                      <w:sz w:val="17"/>
                    </w:rPr>
                    <w:t>CPGE Pasteur</w:t>
                  </w:r>
                </w:p>
              </w:tc>
              <w:tc>
                <w:tcPr>
                  <w:tcW w:type="dxa" w:w="5556"/>
                  <w:vAlign w:val="top"/>
                </w:tcPr>
                <w:p>
                  <w:pPr>
                    <w:spacing w:after="20" w:before="0"/>
                  </w:pPr>
                  <w:r>
                    <w:rPr>
                      <w:rFonts w:ascii="Arial" w:hAnsi="Arial"/>
                      <w:b w:val="0"/>
                      <w:i w:val="0"/>
                      <w:color w:val="333333"/>
                      <w:sz w:val="17"/>
                    </w:rPr>
                    <w:t>Classe Préparatoire MPSI - Mathématiques, Physique, Sciences de l'Ingénieur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hAnsi="Arial"/>
                      <w:b w:val="0"/>
                      <w:i w:val="0"/>
                      <w:color w:val="777777"/>
                      <w:sz w:val="16"/>
                    </w:rPr>
                    <w:t>Neuilly-sur-Seine, France</w:t>
                  </w:r>
                </w:p>
              </w:tc>
            </w:tr>
          </w:tbl>
          <w:p/>
        </w:tc>
      </w:tr>
    </w:tbl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