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BF" w:rsidRDefault="000D35BF" w:rsidP="000D35BF">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Calculs en boucle</w:t>
      </w:r>
    </w:p>
    <w:p w:rsid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Bienvenue dans ce second TP.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Maitriser les boucles, c’est primordial. Il vous faut donc vous entrainer pour être bien sûr d’avoir tout compris. C’est justement l’objectif de ce TP où nous allons manipuler un peu les boucles.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Le but de ce TP va être de créer 3 méthodes.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La première va servir à calculer la somme d'entiers consécutifs. Si par exemple je veux calculer la somme des entiers de 1 à 10, c'est à dire 1 + 2 + 3 + 4 + 5 + 6 + 7 + 8 + 9 + 10, je vais appeler cette méthode en lui passant en paramètres 1 et 10, c'est-à-dire les bornes des entiers dont il faut faire la somme.</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Quelque chose du genre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5" w:history="1">
        <w:r w:rsidRPr="000D35BF">
          <w:rPr>
            <w:rFonts w:ascii="Trebuchet MS" w:eastAsia="Times New Roman" w:hAnsi="Trebuchet MS" w:cs="Times New Roman"/>
            <w:b/>
            <w:bCs/>
            <w:color w:val="2677C9"/>
            <w:sz w:val="20"/>
            <w:szCs w:val="20"/>
            <w:u w:val="single"/>
            <w:lang w:eastAsia="fr-FR"/>
          </w:rPr>
          <w:t>Sélectionner</w:t>
        </w:r>
      </w:hyperlink>
    </w:p>
    <w:tbl>
      <w:tblPr>
        <w:tblW w:w="8625" w:type="dxa"/>
        <w:tblCellMar>
          <w:left w:w="150" w:type="dxa"/>
          <w:right w:w="0" w:type="dxa"/>
        </w:tblCellMar>
        <w:tblLook w:val="04A0" w:firstRow="1" w:lastRow="0" w:firstColumn="1" w:lastColumn="0" w:noHBand="0" w:noVBand="1"/>
      </w:tblPr>
      <w:tblGrid>
        <w:gridCol w:w="450"/>
        <w:gridCol w:w="817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CalculSommeEntiers</w:t>
            </w:r>
            <w:proofErr w:type="spellEnd"/>
            <w:r w:rsidRPr="000D35BF">
              <w:rPr>
                <w:rFonts w:ascii="Lucida Console" w:eastAsia="Times New Roman" w:hAnsi="Lucida Console" w:cs="Courier New"/>
                <w:sz w:val="24"/>
                <w:szCs w:val="24"/>
                <w:lang w:eastAsia="fr-FR"/>
              </w:rPr>
              <w:t>(</w:t>
            </w:r>
            <w:r w:rsidRPr="000D35BF">
              <w:rPr>
                <w:rFonts w:ascii="Lucida Console" w:eastAsia="Times New Roman" w:hAnsi="Lucida Console" w:cs="Courier New"/>
                <w:color w:val="666666"/>
                <w:sz w:val="24"/>
                <w:szCs w:val="24"/>
                <w:lang w:eastAsia="fr-FR"/>
              </w:rPr>
              <w:t>1</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CalculSommeEntiers</w:t>
            </w:r>
            <w:proofErr w:type="spellEnd"/>
            <w:r w:rsidRPr="000D35BF">
              <w:rPr>
                <w:rFonts w:ascii="Lucida Console" w:eastAsia="Times New Roman" w:hAnsi="Lucida Console" w:cs="Courier New"/>
                <w:sz w:val="24"/>
                <w:szCs w:val="24"/>
                <w:lang w:eastAsia="fr-FR"/>
              </w:rPr>
              <w:t>(</w:t>
            </w:r>
            <w:r w:rsidRPr="000D35BF">
              <w:rPr>
                <w:rFonts w:ascii="Lucida Console" w:eastAsia="Times New Roman" w:hAnsi="Lucida Console" w:cs="Courier New"/>
                <w:color w:val="666666"/>
                <w:sz w:val="24"/>
                <w:szCs w:val="24"/>
                <w:lang w:eastAsia="fr-FR"/>
              </w:rPr>
              <w:t>1</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100</w:t>
            </w: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t>Sachant que le premier résultat de cet exemple vaut 55 (1 + 2 + 3 + 4 + 5 + 6 + 7 + 8 + 9 + 10 = 55) et le deuxième 5050.</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La deuxième méthode acceptera une liste de double en paramètres et devra renvoyer la moyenne des doubles de la liste. Par exemple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6" w:history="1">
        <w:r w:rsidRPr="000D35BF">
          <w:rPr>
            <w:rFonts w:ascii="Trebuchet MS" w:eastAsia="Times New Roman" w:hAnsi="Trebuchet MS" w:cs="Times New Roman"/>
            <w:b/>
            <w:bCs/>
            <w:color w:val="2677C9"/>
            <w:sz w:val="20"/>
            <w:szCs w:val="20"/>
            <w:u w:val="single"/>
            <w:lang w:eastAsia="fr-FR"/>
          </w:rPr>
          <w:t>Sélectionner</w:t>
        </w:r>
      </w:hyperlink>
    </w:p>
    <w:tbl>
      <w:tblPr>
        <w:tblW w:w="8625" w:type="dxa"/>
        <w:tblCellMar>
          <w:left w:w="150" w:type="dxa"/>
          <w:right w:w="0" w:type="dxa"/>
        </w:tblCellMar>
        <w:tblLook w:val="04A0" w:firstRow="1" w:lastRow="0" w:firstColumn="1" w:lastColumn="0" w:noHBand="0" w:noVBand="1"/>
      </w:tblPr>
      <w:tblGrid>
        <w:gridCol w:w="450"/>
        <w:gridCol w:w="817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List</w:t>
            </w:r>
            <w:bookmarkStart w:id="0" w:name="_GoBack"/>
            <w:bookmarkEnd w:id="0"/>
            <w:r w:rsidRPr="000D35BF">
              <w:rPr>
                <w:rFonts w:ascii="Lucida Console" w:eastAsia="Times New Roman" w:hAnsi="Lucida Console" w:cs="Courier New"/>
                <w:sz w:val="24"/>
                <w:szCs w:val="24"/>
                <w:lang w:eastAsia="fr-FR"/>
              </w:rPr>
              <w: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&gt; liste = </w:t>
            </w:r>
            <w:r w:rsidRPr="000D35BF">
              <w:rPr>
                <w:rFonts w:ascii="Lucida Console" w:eastAsia="Times New Roman" w:hAnsi="Lucida Console" w:cs="Courier New"/>
                <w:b/>
                <w:bCs/>
                <w:color w:val="008000"/>
                <w:sz w:val="24"/>
                <w:szCs w:val="24"/>
                <w:lang w:eastAsia="fr-FR"/>
              </w:rPr>
              <w:t>new</w:t>
            </w:r>
            <w:r w:rsidRPr="000D35BF">
              <w:rPr>
                <w:rFonts w:ascii="Lucida Console" w:eastAsia="Times New Roman" w:hAnsi="Lucida Console" w:cs="Courier New"/>
                <w:sz w:val="24"/>
                <w:szCs w:val="24"/>
                <w:lang w:eastAsia="fr-FR"/>
              </w:rPr>
              <w:t xml:space="preserve"> 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&gt; </w:t>
            </w:r>
            <w:proofErr w:type="gramStart"/>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w:t>
            </w:r>
            <w:proofErr w:type="gram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5.5</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9.9</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2.8</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9.6</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CalculMoyenne</w:t>
            </w:r>
            <w:proofErr w:type="spellEnd"/>
            <w:r w:rsidRPr="000D35BF">
              <w:rPr>
                <w:rFonts w:ascii="Lucida Console" w:eastAsia="Times New Roman" w:hAnsi="Lucida Console" w:cs="Courier New"/>
                <w:sz w:val="24"/>
                <w:szCs w:val="24"/>
                <w:lang w:eastAsia="fr-FR"/>
              </w:rPr>
              <w:t>(liste));</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t>Le résultat de cet exemple vaut 5.76.</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Enfin, la dernière méthode devra dans un premier temps construire une liste d’entiers de 1 à 100 qui sont des multiples de 3 (3, 6, 9, 12, …). Dans un second temps, construire une autre liste d’entiers de 1 à 100 qui sont des multiples de 5 (5, 10, 15, 20, …). Et dans un dernier temps, il faudra calculer la somme des entiers qui sont communs aux deux listes … vous devez bien sur trouver 315 comme résultat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Voilà, c’est à vous de jouer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Bon, allez, je vais quand même vous donner quelques conseils pour démarrer. Vous n’êtes pas obligé de les lire si vous vous sentez capables de réaliser cet exercice tout seul.</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Vous l’aurez évidemment compris, il va falloir utiliser des boucles.</w:t>
      </w:r>
      <w:r w:rsidRPr="000D35BF">
        <w:rPr>
          <w:rFonts w:ascii="Trebuchet MS" w:eastAsia="Times New Roman" w:hAnsi="Trebuchet MS" w:cs="Times New Roman"/>
          <w:color w:val="1F1F1F"/>
          <w:sz w:val="20"/>
          <w:szCs w:val="20"/>
          <w:lang w:eastAsia="fr-FR"/>
        </w:rPr>
        <w:br/>
        <w:t xml:space="preserve">Je ne donnerai pas de conseils pour la première méthode, c’est juste pour vous </w:t>
      </w:r>
      <w:proofErr w:type="gramStart"/>
      <w:r w:rsidRPr="000D35BF">
        <w:rPr>
          <w:rFonts w:ascii="Trebuchet MS" w:eastAsia="Times New Roman" w:hAnsi="Trebuchet MS" w:cs="Times New Roman"/>
          <w:color w:val="1F1F1F"/>
          <w:sz w:val="20"/>
          <w:szCs w:val="20"/>
          <w:lang w:eastAsia="fr-FR"/>
        </w:rPr>
        <w:t>échauffer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Pour la deuxième méthode, vous allez avoir besoin de diviser la somme de tous les doubles par la taille de la liste. Vous ne savez sans doute pas comment obtenir cette taille. Le principe est le même que pour la taille d’un tableau et vous l’aurez sans doute trouvé si vous fouillez un peu dans les méthodes de la liste. Toujours est-il que pour obtenir la taille d’une liste, on va utiliser </w:t>
      </w:r>
      <w:proofErr w:type="spellStart"/>
      <w:r w:rsidRPr="000D35BF">
        <w:rPr>
          <w:rFonts w:ascii="Trebuchet MS" w:eastAsia="Times New Roman" w:hAnsi="Trebuchet MS" w:cs="Times New Roman"/>
          <w:color w:val="1F1F1F"/>
          <w:sz w:val="20"/>
          <w:szCs w:val="20"/>
          <w:lang w:eastAsia="fr-FR"/>
        </w:rPr>
        <w:t>liste.Count</w:t>
      </w:r>
      <w:proofErr w:type="spellEnd"/>
      <w:r w:rsidRPr="000D35BF">
        <w:rPr>
          <w:rFonts w:ascii="Trebuchet MS" w:eastAsia="Times New Roman" w:hAnsi="Trebuchet MS" w:cs="Times New Roman"/>
          <w:color w:val="1F1F1F"/>
          <w:sz w:val="20"/>
          <w:szCs w:val="20"/>
          <w:lang w:eastAsia="fr-FR"/>
        </w:rPr>
        <w:t xml:space="preserve">, avec par exemple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8"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taille = </w:t>
            </w:r>
            <w:proofErr w:type="spellStart"/>
            <w:r w:rsidRPr="000D35BF">
              <w:rPr>
                <w:rFonts w:ascii="Lucida Console" w:eastAsia="Times New Roman" w:hAnsi="Lucida Console" w:cs="Courier New"/>
                <w:sz w:val="24"/>
                <w:szCs w:val="24"/>
                <w:lang w:eastAsia="fr-FR"/>
              </w:rPr>
              <w:t>liste.Count</w:t>
            </w:r>
            <w:proofErr w:type="spellEnd"/>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Enfin, pour la dernière méthode, vous allez devoir trouver tous les multiples de 3 et de 5. Le plus simple, à mon avis, pour calculer tous les multiples de 3, est de faire une boucle qui démarre à 3 et d’avancer de 3 en 3 jusqu’à la valeur souhaitée. Et pareil pour les multiples de 5.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Ensuite, il sera nécessaire de faire deux boucles imbriquées afin de déterminer les intersections. C’est-à-dire parcourir la liste de multiple de 3 et à l’intérieur de cette boucle, parcourir la liste des multiples de 5. On compare les deux éléments, s’ils sont égaux, c’est qu’ils sont communs aux deux listes.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Voilà, vous devriez avoir tous les éléments en main pour réussir ce TP, c'est à vous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sectPr w:rsidR="000D35BF" w:rsidRPr="000D35BF"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103"/>
    <w:multiLevelType w:val="multilevel"/>
    <w:tmpl w:val="992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A6DFC"/>
    <w:multiLevelType w:val="multilevel"/>
    <w:tmpl w:val="3D0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B075C"/>
    <w:multiLevelType w:val="multilevel"/>
    <w:tmpl w:val="233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17B9B"/>
    <w:multiLevelType w:val="multilevel"/>
    <w:tmpl w:val="6D2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BF"/>
    <w:rsid w:val="000D35BF"/>
    <w:rsid w:val="00564F8E"/>
    <w:rsid w:val="006659F7"/>
    <w:rsid w:val="006F11E7"/>
    <w:rsid w:val="007C3900"/>
    <w:rsid w:val="00940F1D"/>
    <w:rsid w:val="00CA2E0E"/>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42D08-697A-484B-9630-63F0604A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3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0D35B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35BF"/>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0D35BF"/>
  </w:style>
  <w:style w:type="character" w:customStyle="1" w:styleId="code">
    <w:name w:val="code"/>
    <w:basedOn w:val="Policepardfaut"/>
    <w:rsid w:val="000D35BF"/>
  </w:style>
  <w:style w:type="character" w:styleId="Lienhypertexte">
    <w:name w:val="Hyperlink"/>
    <w:basedOn w:val="Policepardfaut"/>
    <w:uiPriority w:val="99"/>
    <w:semiHidden/>
    <w:unhideWhenUsed/>
    <w:rsid w:val="000D35BF"/>
    <w:rPr>
      <w:color w:val="0000FF"/>
      <w:u w:val="single"/>
    </w:rPr>
  </w:style>
  <w:style w:type="paragraph" w:styleId="PrformatHTML">
    <w:name w:val="HTML Preformatted"/>
    <w:basedOn w:val="Normal"/>
    <w:link w:val="PrformatHTMLCar"/>
    <w:uiPriority w:val="99"/>
    <w:unhideWhenUsed/>
    <w:rsid w:val="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D35BF"/>
    <w:rPr>
      <w:rFonts w:ascii="Courier New" w:eastAsia="Times New Roman" w:hAnsi="Courier New" w:cs="Courier New"/>
      <w:sz w:val="20"/>
      <w:szCs w:val="20"/>
      <w:lang w:eastAsia="fr-FR"/>
    </w:rPr>
  </w:style>
  <w:style w:type="character" w:customStyle="1" w:styleId="n">
    <w:name w:val="n"/>
    <w:basedOn w:val="Policepardfaut"/>
    <w:rsid w:val="000D35BF"/>
  </w:style>
  <w:style w:type="character" w:customStyle="1" w:styleId="p">
    <w:name w:val="p"/>
    <w:basedOn w:val="Policepardfaut"/>
    <w:rsid w:val="000D35BF"/>
  </w:style>
  <w:style w:type="character" w:customStyle="1" w:styleId="m">
    <w:name w:val="m"/>
    <w:basedOn w:val="Policepardfaut"/>
    <w:rsid w:val="000D35BF"/>
  </w:style>
  <w:style w:type="character" w:customStyle="1" w:styleId="kt">
    <w:name w:val="kt"/>
    <w:basedOn w:val="Policepardfaut"/>
    <w:rsid w:val="000D35BF"/>
  </w:style>
  <w:style w:type="character" w:customStyle="1" w:styleId="k">
    <w:name w:val="k"/>
    <w:basedOn w:val="Policepardfaut"/>
    <w:rsid w:val="000D35BF"/>
  </w:style>
  <w:style w:type="character" w:customStyle="1" w:styleId="nf">
    <w:name w:val="nf"/>
    <w:basedOn w:val="Policepardfaut"/>
    <w:rsid w:val="000D35BF"/>
  </w:style>
  <w:style w:type="character" w:customStyle="1" w:styleId="code2">
    <w:name w:val="code2"/>
    <w:basedOn w:val="Policepardfaut"/>
    <w:rsid w:val="000D35BF"/>
  </w:style>
  <w:style w:type="paragraph" w:styleId="Textedebulles">
    <w:name w:val="Balloon Text"/>
    <w:basedOn w:val="Normal"/>
    <w:link w:val="TextedebullesCar"/>
    <w:uiPriority w:val="99"/>
    <w:semiHidden/>
    <w:unhideWhenUsed/>
    <w:rsid w:val="000D35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35BF"/>
    <w:rPr>
      <w:rFonts w:ascii="Tahoma" w:hAnsi="Tahoma" w:cs="Tahoma"/>
      <w:sz w:val="16"/>
      <w:szCs w:val="16"/>
    </w:rPr>
  </w:style>
  <w:style w:type="character" w:customStyle="1" w:styleId="Titre1Car">
    <w:name w:val="Titre 1 Car"/>
    <w:basedOn w:val="Policepardfaut"/>
    <w:link w:val="Titre1"/>
    <w:uiPriority w:val="9"/>
    <w:rsid w:val="000D35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37085">
      <w:bodyDiv w:val="1"/>
      <w:marLeft w:val="0"/>
      <w:marRight w:val="0"/>
      <w:marTop w:val="0"/>
      <w:marBottom w:val="0"/>
      <w:divBdr>
        <w:top w:val="none" w:sz="0" w:space="0" w:color="auto"/>
        <w:left w:val="none" w:sz="0" w:space="0" w:color="auto"/>
        <w:bottom w:val="none" w:sz="0" w:space="0" w:color="auto"/>
        <w:right w:val="none" w:sz="0" w:space="0" w:color="auto"/>
      </w:divBdr>
    </w:div>
    <w:div w:id="1040134676">
      <w:bodyDiv w:val="1"/>
      <w:marLeft w:val="0"/>
      <w:marRight w:val="0"/>
      <w:marTop w:val="0"/>
      <w:marBottom w:val="0"/>
      <w:divBdr>
        <w:top w:val="none" w:sz="0" w:space="0" w:color="auto"/>
        <w:left w:val="none" w:sz="0" w:space="0" w:color="auto"/>
        <w:bottom w:val="none" w:sz="0" w:space="0" w:color="auto"/>
        <w:right w:val="none" w:sz="0" w:space="0" w:color="auto"/>
      </w:divBdr>
      <w:divsChild>
        <w:div w:id="1438674088">
          <w:marLeft w:val="0"/>
          <w:marRight w:val="0"/>
          <w:marTop w:val="0"/>
          <w:marBottom w:val="0"/>
          <w:divBdr>
            <w:top w:val="none" w:sz="0" w:space="0" w:color="auto"/>
            <w:left w:val="none" w:sz="0" w:space="0" w:color="auto"/>
            <w:bottom w:val="none" w:sz="0" w:space="0" w:color="auto"/>
            <w:right w:val="none" w:sz="0" w:space="0" w:color="auto"/>
          </w:divBdr>
          <w:divsChild>
            <w:div w:id="442110545">
              <w:marLeft w:val="0"/>
              <w:marRight w:val="0"/>
              <w:marTop w:val="0"/>
              <w:marBottom w:val="0"/>
              <w:divBdr>
                <w:top w:val="single" w:sz="12" w:space="6" w:color="DEE5F0"/>
                <w:left w:val="single" w:sz="12" w:space="6" w:color="DEE5F0"/>
                <w:bottom w:val="single" w:sz="12" w:space="6" w:color="DEE5F0"/>
                <w:right w:val="single" w:sz="12" w:space="6" w:color="DEE5F0"/>
              </w:divBdr>
              <w:divsChild>
                <w:div w:id="1989551404">
                  <w:marLeft w:val="0"/>
                  <w:marRight w:val="0"/>
                  <w:marTop w:val="0"/>
                  <w:marBottom w:val="0"/>
                  <w:divBdr>
                    <w:top w:val="none" w:sz="0" w:space="0" w:color="auto"/>
                    <w:left w:val="none" w:sz="0" w:space="0" w:color="auto"/>
                    <w:bottom w:val="none" w:sz="0" w:space="0" w:color="auto"/>
                    <w:right w:val="none" w:sz="0" w:space="0" w:color="auto"/>
                  </w:divBdr>
                </w:div>
                <w:div w:id="192614479">
                  <w:marLeft w:val="0"/>
                  <w:marRight w:val="0"/>
                  <w:marTop w:val="0"/>
                  <w:marBottom w:val="0"/>
                  <w:divBdr>
                    <w:top w:val="none" w:sz="0" w:space="0" w:color="auto"/>
                    <w:left w:val="none" w:sz="0" w:space="0" w:color="auto"/>
                    <w:bottom w:val="none" w:sz="0" w:space="0" w:color="auto"/>
                    <w:right w:val="none" w:sz="0" w:space="0" w:color="auto"/>
                  </w:divBdr>
                </w:div>
              </w:divsChild>
            </w:div>
            <w:div w:id="600184432">
              <w:marLeft w:val="0"/>
              <w:marRight w:val="0"/>
              <w:marTop w:val="0"/>
              <w:marBottom w:val="0"/>
              <w:divBdr>
                <w:top w:val="single" w:sz="12" w:space="6" w:color="DEE5F0"/>
                <w:left w:val="single" w:sz="12" w:space="6" w:color="DEE5F0"/>
                <w:bottom w:val="single" w:sz="12" w:space="6" w:color="DEE5F0"/>
                <w:right w:val="single" w:sz="12" w:space="6" w:color="DEE5F0"/>
              </w:divBdr>
              <w:divsChild>
                <w:div w:id="1294941818">
                  <w:marLeft w:val="0"/>
                  <w:marRight w:val="0"/>
                  <w:marTop w:val="0"/>
                  <w:marBottom w:val="0"/>
                  <w:divBdr>
                    <w:top w:val="none" w:sz="0" w:space="0" w:color="auto"/>
                    <w:left w:val="none" w:sz="0" w:space="0" w:color="auto"/>
                    <w:bottom w:val="none" w:sz="0" w:space="0" w:color="auto"/>
                    <w:right w:val="none" w:sz="0" w:space="0" w:color="auto"/>
                  </w:divBdr>
                </w:div>
                <w:div w:id="1930577898">
                  <w:marLeft w:val="0"/>
                  <w:marRight w:val="0"/>
                  <w:marTop w:val="0"/>
                  <w:marBottom w:val="0"/>
                  <w:divBdr>
                    <w:top w:val="none" w:sz="0" w:space="0" w:color="auto"/>
                    <w:left w:val="none" w:sz="0" w:space="0" w:color="auto"/>
                    <w:bottom w:val="none" w:sz="0" w:space="0" w:color="auto"/>
                    <w:right w:val="none" w:sz="0" w:space="0" w:color="auto"/>
                  </w:divBdr>
                </w:div>
              </w:divsChild>
            </w:div>
            <w:div w:id="446318249">
              <w:marLeft w:val="0"/>
              <w:marRight w:val="0"/>
              <w:marTop w:val="0"/>
              <w:marBottom w:val="0"/>
              <w:divBdr>
                <w:top w:val="single" w:sz="12" w:space="6" w:color="DEE5F0"/>
                <w:left w:val="single" w:sz="12" w:space="6" w:color="DEE5F0"/>
                <w:bottom w:val="single" w:sz="12" w:space="6" w:color="DEE5F0"/>
                <w:right w:val="single" w:sz="12" w:space="6" w:color="DEE5F0"/>
              </w:divBdr>
              <w:divsChild>
                <w:div w:id="1726367615">
                  <w:marLeft w:val="0"/>
                  <w:marRight w:val="0"/>
                  <w:marTop w:val="0"/>
                  <w:marBottom w:val="0"/>
                  <w:divBdr>
                    <w:top w:val="none" w:sz="0" w:space="0" w:color="auto"/>
                    <w:left w:val="none" w:sz="0" w:space="0" w:color="auto"/>
                    <w:bottom w:val="none" w:sz="0" w:space="0" w:color="auto"/>
                    <w:right w:val="none" w:sz="0" w:space="0" w:color="auto"/>
                  </w:divBdr>
                </w:div>
                <w:div w:id="18957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4477">
          <w:marLeft w:val="0"/>
          <w:marRight w:val="0"/>
          <w:marTop w:val="0"/>
          <w:marBottom w:val="0"/>
          <w:divBdr>
            <w:top w:val="none" w:sz="0" w:space="0" w:color="auto"/>
            <w:left w:val="none" w:sz="0" w:space="0" w:color="auto"/>
            <w:bottom w:val="none" w:sz="0" w:space="0" w:color="auto"/>
            <w:right w:val="none" w:sz="0" w:space="0" w:color="auto"/>
          </w:divBdr>
          <w:divsChild>
            <w:div w:id="1501314753">
              <w:marLeft w:val="0"/>
              <w:marRight w:val="0"/>
              <w:marTop w:val="0"/>
              <w:marBottom w:val="0"/>
              <w:divBdr>
                <w:top w:val="single" w:sz="12" w:space="6" w:color="DEE5F0"/>
                <w:left w:val="single" w:sz="12" w:space="6" w:color="DEE5F0"/>
                <w:bottom w:val="single" w:sz="12" w:space="6" w:color="DEE5F0"/>
                <w:right w:val="single" w:sz="12" w:space="6" w:color="DEE5F0"/>
              </w:divBdr>
              <w:divsChild>
                <w:div w:id="1950355805">
                  <w:marLeft w:val="0"/>
                  <w:marRight w:val="0"/>
                  <w:marTop w:val="0"/>
                  <w:marBottom w:val="0"/>
                  <w:divBdr>
                    <w:top w:val="none" w:sz="0" w:space="0" w:color="auto"/>
                    <w:left w:val="none" w:sz="0" w:space="0" w:color="auto"/>
                    <w:bottom w:val="none" w:sz="0" w:space="0" w:color="auto"/>
                    <w:right w:val="none" w:sz="0" w:space="0" w:color="auto"/>
                  </w:divBdr>
                </w:div>
                <w:div w:id="746537878">
                  <w:marLeft w:val="0"/>
                  <w:marRight w:val="0"/>
                  <w:marTop w:val="0"/>
                  <w:marBottom w:val="0"/>
                  <w:divBdr>
                    <w:top w:val="none" w:sz="0" w:space="0" w:color="auto"/>
                    <w:left w:val="none" w:sz="0" w:space="0" w:color="auto"/>
                    <w:bottom w:val="none" w:sz="0" w:space="0" w:color="auto"/>
                    <w:right w:val="none" w:sz="0" w:space="0" w:color="auto"/>
                  </w:divBdr>
                </w:div>
              </w:divsChild>
            </w:div>
            <w:div w:id="1294870386">
              <w:marLeft w:val="0"/>
              <w:marRight w:val="0"/>
              <w:marTop w:val="0"/>
              <w:marBottom w:val="0"/>
              <w:divBdr>
                <w:top w:val="single" w:sz="12" w:space="6" w:color="DEE5F0"/>
                <w:left w:val="single" w:sz="12" w:space="6" w:color="DEE5F0"/>
                <w:bottom w:val="single" w:sz="12" w:space="6" w:color="DEE5F0"/>
                <w:right w:val="single" w:sz="12" w:space="6" w:color="DEE5F0"/>
              </w:divBdr>
              <w:divsChild>
                <w:div w:id="8991300">
                  <w:marLeft w:val="0"/>
                  <w:marRight w:val="0"/>
                  <w:marTop w:val="0"/>
                  <w:marBottom w:val="0"/>
                  <w:divBdr>
                    <w:top w:val="none" w:sz="0" w:space="0" w:color="auto"/>
                    <w:left w:val="none" w:sz="0" w:space="0" w:color="auto"/>
                    <w:bottom w:val="none" w:sz="0" w:space="0" w:color="auto"/>
                    <w:right w:val="none" w:sz="0" w:space="0" w:color="auto"/>
                  </w:divBdr>
                </w:div>
                <w:div w:id="20784694">
                  <w:marLeft w:val="0"/>
                  <w:marRight w:val="0"/>
                  <w:marTop w:val="0"/>
                  <w:marBottom w:val="0"/>
                  <w:divBdr>
                    <w:top w:val="none" w:sz="0" w:space="0" w:color="auto"/>
                    <w:left w:val="none" w:sz="0" w:space="0" w:color="auto"/>
                    <w:bottom w:val="none" w:sz="0" w:space="0" w:color="auto"/>
                    <w:right w:val="none" w:sz="0" w:space="0" w:color="auto"/>
                  </w:divBdr>
                </w:div>
              </w:divsChild>
            </w:div>
            <w:div w:id="246158656">
              <w:marLeft w:val="0"/>
              <w:marRight w:val="0"/>
              <w:marTop w:val="0"/>
              <w:marBottom w:val="0"/>
              <w:divBdr>
                <w:top w:val="single" w:sz="12" w:space="6" w:color="DEE5F0"/>
                <w:left w:val="single" w:sz="12" w:space="6" w:color="DEE5F0"/>
                <w:bottom w:val="single" w:sz="12" w:space="6" w:color="DEE5F0"/>
                <w:right w:val="single" w:sz="12" w:space="6" w:color="DEE5F0"/>
              </w:divBdr>
              <w:divsChild>
                <w:div w:id="1641155015">
                  <w:marLeft w:val="0"/>
                  <w:marRight w:val="0"/>
                  <w:marTop w:val="0"/>
                  <w:marBottom w:val="0"/>
                  <w:divBdr>
                    <w:top w:val="none" w:sz="0" w:space="0" w:color="auto"/>
                    <w:left w:val="none" w:sz="0" w:space="0" w:color="auto"/>
                    <w:bottom w:val="none" w:sz="0" w:space="0" w:color="auto"/>
                    <w:right w:val="none" w:sz="0" w:space="0" w:color="auto"/>
                  </w:divBdr>
                </w:div>
                <w:div w:id="8372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992">
          <w:marLeft w:val="0"/>
          <w:marRight w:val="0"/>
          <w:marTop w:val="0"/>
          <w:marBottom w:val="0"/>
          <w:divBdr>
            <w:top w:val="none" w:sz="0" w:space="0" w:color="auto"/>
            <w:left w:val="none" w:sz="0" w:space="0" w:color="auto"/>
            <w:bottom w:val="none" w:sz="0" w:space="0" w:color="auto"/>
            <w:right w:val="none" w:sz="0" w:space="0" w:color="auto"/>
          </w:divBdr>
          <w:divsChild>
            <w:div w:id="1921253978">
              <w:marLeft w:val="0"/>
              <w:marRight w:val="0"/>
              <w:marTop w:val="0"/>
              <w:marBottom w:val="0"/>
              <w:divBdr>
                <w:top w:val="single" w:sz="12" w:space="6" w:color="DEE5F0"/>
                <w:left w:val="single" w:sz="12" w:space="6" w:color="DEE5F0"/>
                <w:bottom w:val="single" w:sz="12" w:space="6" w:color="DEE5F0"/>
                <w:right w:val="single" w:sz="12" w:space="6" w:color="DEE5F0"/>
              </w:divBdr>
              <w:divsChild>
                <w:div w:id="1615164255">
                  <w:marLeft w:val="0"/>
                  <w:marRight w:val="0"/>
                  <w:marTop w:val="0"/>
                  <w:marBottom w:val="0"/>
                  <w:divBdr>
                    <w:top w:val="none" w:sz="0" w:space="0" w:color="auto"/>
                    <w:left w:val="none" w:sz="0" w:space="0" w:color="auto"/>
                    <w:bottom w:val="none" w:sz="0" w:space="0" w:color="auto"/>
                    <w:right w:val="none" w:sz="0" w:space="0" w:color="auto"/>
                  </w:divBdr>
                </w:div>
                <w:div w:id="647783843">
                  <w:marLeft w:val="0"/>
                  <w:marRight w:val="0"/>
                  <w:marTop w:val="0"/>
                  <w:marBottom w:val="0"/>
                  <w:divBdr>
                    <w:top w:val="none" w:sz="0" w:space="0" w:color="auto"/>
                    <w:left w:val="none" w:sz="0" w:space="0" w:color="auto"/>
                    <w:bottom w:val="none" w:sz="0" w:space="0" w:color="auto"/>
                    <w:right w:val="none" w:sz="0" w:space="0" w:color="auto"/>
                  </w:divBdr>
                </w:div>
              </w:divsChild>
            </w:div>
            <w:div w:id="1992253850">
              <w:marLeft w:val="0"/>
              <w:marRight w:val="0"/>
              <w:marTop w:val="0"/>
              <w:marBottom w:val="0"/>
              <w:divBdr>
                <w:top w:val="single" w:sz="12" w:space="6" w:color="DEE5F0"/>
                <w:left w:val="single" w:sz="12" w:space="6" w:color="DEE5F0"/>
                <w:bottom w:val="single" w:sz="12" w:space="6" w:color="DEE5F0"/>
                <w:right w:val="single" w:sz="12" w:space="6" w:color="DEE5F0"/>
              </w:divBdr>
              <w:divsChild>
                <w:div w:id="832797741">
                  <w:marLeft w:val="0"/>
                  <w:marRight w:val="0"/>
                  <w:marTop w:val="0"/>
                  <w:marBottom w:val="0"/>
                  <w:divBdr>
                    <w:top w:val="none" w:sz="0" w:space="0" w:color="auto"/>
                    <w:left w:val="none" w:sz="0" w:space="0" w:color="auto"/>
                    <w:bottom w:val="none" w:sz="0" w:space="0" w:color="auto"/>
                    <w:right w:val="none" w:sz="0" w:space="0" w:color="auto"/>
                  </w:divBdr>
                </w:div>
                <w:div w:id="2051032944">
                  <w:marLeft w:val="0"/>
                  <w:marRight w:val="0"/>
                  <w:marTop w:val="0"/>
                  <w:marBottom w:val="0"/>
                  <w:divBdr>
                    <w:top w:val="none" w:sz="0" w:space="0" w:color="auto"/>
                    <w:left w:val="none" w:sz="0" w:space="0" w:color="auto"/>
                    <w:bottom w:val="none" w:sz="0" w:space="0" w:color="auto"/>
                    <w:right w:val="none" w:sz="0" w:space="0" w:color="auto"/>
                  </w:divBdr>
                </w:div>
              </w:divsChild>
            </w:div>
            <w:div w:id="1048647282">
              <w:marLeft w:val="0"/>
              <w:marRight w:val="0"/>
              <w:marTop w:val="0"/>
              <w:marBottom w:val="0"/>
              <w:divBdr>
                <w:top w:val="single" w:sz="12" w:space="6" w:color="DEE5F0"/>
                <w:left w:val="single" w:sz="12" w:space="6" w:color="DEE5F0"/>
                <w:bottom w:val="single" w:sz="12" w:space="6" w:color="DEE5F0"/>
                <w:right w:val="single" w:sz="12" w:space="6" w:color="DEE5F0"/>
              </w:divBdr>
              <w:divsChild>
                <w:div w:id="2055931705">
                  <w:marLeft w:val="0"/>
                  <w:marRight w:val="0"/>
                  <w:marTop w:val="0"/>
                  <w:marBottom w:val="0"/>
                  <w:divBdr>
                    <w:top w:val="none" w:sz="0" w:space="0" w:color="auto"/>
                    <w:left w:val="none" w:sz="0" w:space="0" w:color="auto"/>
                    <w:bottom w:val="none" w:sz="0" w:space="0" w:color="auto"/>
                    <w:right w:val="none" w:sz="0" w:space="0" w:color="auto"/>
                  </w:divBdr>
                </w:div>
                <w:div w:id="252707887">
                  <w:marLeft w:val="0"/>
                  <w:marRight w:val="0"/>
                  <w:marTop w:val="0"/>
                  <w:marBottom w:val="0"/>
                  <w:divBdr>
                    <w:top w:val="none" w:sz="0" w:space="0" w:color="auto"/>
                    <w:left w:val="none" w:sz="0" w:space="0" w:color="auto"/>
                    <w:bottom w:val="none" w:sz="0" w:space="0" w:color="auto"/>
                    <w:right w:val="none" w:sz="0" w:space="0" w:color="auto"/>
                  </w:divBdr>
                </w:div>
              </w:divsChild>
            </w:div>
            <w:div w:id="400448287">
              <w:marLeft w:val="0"/>
              <w:marRight w:val="0"/>
              <w:marTop w:val="0"/>
              <w:marBottom w:val="0"/>
              <w:divBdr>
                <w:top w:val="single" w:sz="12" w:space="6" w:color="DEE5F0"/>
                <w:left w:val="single" w:sz="12" w:space="6" w:color="DEE5F0"/>
                <w:bottom w:val="single" w:sz="12" w:space="6" w:color="DEE5F0"/>
                <w:right w:val="single" w:sz="12" w:space="6" w:color="DEE5F0"/>
              </w:divBdr>
              <w:divsChild>
                <w:div w:id="260914991">
                  <w:marLeft w:val="0"/>
                  <w:marRight w:val="0"/>
                  <w:marTop w:val="0"/>
                  <w:marBottom w:val="0"/>
                  <w:divBdr>
                    <w:top w:val="none" w:sz="0" w:space="0" w:color="auto"/>
                    <w:left w:val="none" w:sz="0" w:space="0" w:color="auto"/>
                    <w:bottom w:val="none" w:sz="0" w:space="0" w:color="auto"/>
                    <w:right w:val="none" w:sz="0" w:space="0" w:color="auto"/>
                  </w:divBdr>
                </w:div>
                <w:div w:id="20102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545046-tp-calculs-en-boucl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duzero.com/tutoriel-3-545046-tp-calculs-en-boucle.html" TargetMode="External"/><Relationship Id="rId11" Type="http://schemas.openxmlformats.org/officeDocument/2006/relationships/theme" Target="theme/theme1.xml"/><Relationship Id="rId5" Type="http://schemas.openxmlformats.org/officeDocument/2006/relationships/hyperlink" Target="http://www.siteduzero.com/tutoriel-3-545046-tp-calculs-en-bouc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524</Words>
  <Characters>2885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FORMATEUR</cp:lastModifiedBy>
  <cp:revision>3</cp:revision>
  <dcterms:created xsi:type="dcterms:W3CDTF">2018-02-26T13:05:00Z</dcterms:created>
  <dcterms:modified xsi:type="dcterms:W3CDTF">2018-02-26T13:12:00Z</dcterms:modified>
</cp:coreProperties>
</file>