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Revised Example</w:t>
      </w:r>
    </w:p>
    <w:p>
      <w:r>
        <w:t>555-019-8273 | john.doe@example.com</w:t>
      </w:r>
    </w:p>
    <w:p>
      <w:r>
        <w:rPr>
          <w:b/>
          <w:sz w:val="22"/>
        </w:rPr>
        <w:t>PROFESSIONAL SUMMARY</w:t>
      </w:r>
    </w:p>
    <w:p>
      <w:r>
        <w:t>Results-driven professional with extensive experience in fictional industries and synergistic management. Proven track record of optimizing temporal workflows and engineering high-quality widgets. Adept at blending theoretical quantum mechanics with practical business solutions to drive revenue and operational efficiency.</w:t>
      </w:r>
    </w:p>
    <w:p>
      <w:r>
        <w:rPr>
          <w:b/>
          <w:sz w:val="22"/>
        </w:rPr>
        <w:t>WORK EXPERIENCE</w:t>
      </w:r>
    </w:p>
    <w:p>
      <w:r>
        <w:rPr>
          <w:b/>
        </w:rPr>
        <w:t>Lead Widget Engineer | Acme Corp | Metropolis, NY | 2020 - Present</w:t>
      </w:r>
    </w:p>
    <w:p>
      <w:pPr>
        <w:pStyle w:val="ListBullet"/>
      </w:pPr>
      <w:r>
        <w:t>Increased widget production efficiency by 20% as measured by quarterly output reports, by implementing the new XYZ manufacturing protocol.</w:t>
      </w:r>
    </w:p>
    <w:p>
      <w:pPr>
        <w:pStyle w:val="ListBullet"/>
      </w:pPr>
      <w:r>
        <w:t>Achieved a $2.5M increase in annual revenue as measured by fiscal year-end reports, by directing a team of 15 junior engineers in the development of next-generation gadgets.</w:t>
      </w:r>
    </w:p>
    <w:p>
      <w:pPr>
        <w:pStyle w:val="ListBullet"/>
      </w:pPr>
      <w:r>
        <w:t>Reduced material waste by 15% as measured by quarterly supply audits, by redesigning the inventory tracking system to optimize supply chain logistics.</w:t>
      </w:r>
    </w:p>
    <w:p>
      <w:r>
        <w:rPr>
          <w:b/>
        </w:rPr>
        <w:t>Spacetime Coordinator | Globex Corporation | Star City, CA | 2016 - 2020</w:t>
      </w:r>
    </w:p>
    <w:p>
      <w:pPr>
        <w:pStyle w:val="ListBullet"/>
      </w:pPr>
      <w:r>
        <w:t>Reduced timeline paradoxes by 20% as measured by dimensional stability metrics, by establishing strict monitoring protocols across multiple dimensional branches.</w:t>
      </w:r>
    </w:p>
    <w:p>
      <w:pPr>
        <w:pStyle w:val="ListBullet"/>
      </w:pPr>
      <w:r>
        <w:t>Improved project delivery times by 30% as measured by project completion tracking, by facilitating cross-dimensional communication between 4 distinct branch offices.</w:t>
      </w:r>
    </w:p>
    <w:p>
      <w:pPr>
        <w:pStyle w:val="ListBullet"/>
      </w:pPr>
      <w:r>
        <w:t>Managed a $5M departmental budget, successfully reallocating funds to critical temporal stabilization projects to ensure zero timeline breaches.</w:t>
      </w:r>
    </w:p>
    <w:p>
      <w:r>
        <w:rPr>
          <w:b/>
          <w:sz w:val="22"/>
        </w:rPr>
        <w:t>EDUCATION</w:t>
      </w:r>
    </w:p>
    <w:p>
      <w:r>
        <w:rPr>
          <w:b/>
        </w:rPr>
        <w:t>Bachelor of Science in Applied Phlebotinum | University of Fictional Sciences | Springfield, IL | 2012 - 2016</w:t>
      </w:r>
    </w:p>
    <w:p>
      <w:r>
        <w:t>Graduated Summa Cum Laude; President of the Fictional Debate Society</w:t>
      </w:r>
    </w:p>
    <w:p>
      <w:r>
        <w:rPr>
          <w:b/>
          <w:sz w:val="22"/>
        </w:rPr>
        <w:t>SKILLS</w:t>
      </w:r>
    </w:p>
    <w:p>
      <w:r>
        <w:t>Widget Engineering, Temporal Management, Synergy Optimization, Quantum Computing, Cross-dimensional Communication, Budget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