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Solar Calculator Requirements</w:t>
      </w:r>
    </w:p>
    <w:p>
      <w:r>
        <w:rPr>
          <w:b/>
        </w:rPr>
        <w:t>Tasks 3 to 6   Project definition and requirements</w:t>
      </w:r>
    </w:p>
    <w:p>
      <w:r>
        <w:rPr>
          <w:b w:val="0"/>
        </w:rPr>
        <w:t>Our web calculator helps homeowners and engineers estimate solar panel needs, annual generation, installation cost and savings. The first release excludes batteries, public user accounts, installer booking and live monitoring.</w:t>
      </w:r>
    </w:p>
    <w:p>
      <w:pPr>
        <w:pStyle w:val="Heading1"/>
      </w:pPr>
      <w:r>
        <w:t>Task 3 User stories and acceptance criteria</w:t>
      </w:r>
    </w:p>
    <w:p>
      <w:r>
        <w:rPr>
          <w:b w:val="0"/>
        </w:rPr>
        <w:t>All US items are functional requirements. Sources identify needs in the supplied worksheet; priorities and estimates are proposed for team agreement.</w:t>
      </w:r>
    </w:p>
    <w:p>
      <w:pPr>
        <w:pStyle w:val="Heading2"/>
      </w:pPr>
      <w:r>
        <w:t>US-01  Enter electricity usage  Must</w:t>
      </w:r>
    </w:p>
    <w:p>
      <w:r>
        <w:rPr>
          <w:b w:val="0"/>
        </w:rPr>
        <w:t>As a homeowner, I want to enter my monthly electricity use or bill, so that I can estimate my energy needs.</w:t>
      </w:r>
    </w:p>
    <w:p>
      <w:r>
        <w:rPr>
          <w:b w:val="0"/>
        </w:rPr>
        <w:t>AC1: Given 600 kWh monthly usage, when I submit it, then the system shall use 7,200 kWh as annual demand. A bill of 120 currency units at 0.20 per kWh shall give the same demand.</w:t>
      </w:r>
    </w:p>
    <w:p>
      <w:r>
        <w:rPr>
          <w:b w:val="0"/>
        </w:rPr>
        <w:t>AC2 exception: Given blank or negative usage, or a bill with a zero tariff, when I submit, then the system shall identify the invalid field and prevent calculation.</w:t>
      </w:r>
    </w:p>
    <w:p>
      <w:r>
        <w:rPr>
          <w:b w:val="0"/>
        </w:rPr>
        <w:t>Rationale and source: Homeowner; Task 1 input scope. Establishes demand.</w:t>
      </w:r>
    </w:p>
    <w:p>
      <w:pPr>
        <w:pStyle w:val="Heading2"/>
      </w:pPr>
      <w:r>
        <w:t>US-02  Enter site details  Must</w:t>
      </w:r>
    </w:p>
    <w:p>
      <w:r>
        <w:rPr>
          <w:b w:val="0"/>
        </w:rPr>
        <w:t>As a engineer, I want to enter location, usable roof area, direction and tilt, so that the estimate reflects the proposed site.</w:t>
      </w:r>
    </w:p>
    <w:p>
      <w:r>
        <w:rPr>
          <w:b w:val="0"/>
        </w:rPr>
        <w:t>AC1: Given a supported location, 40 m², south direction and 30° tilt, when I submit, then the system shall retain those values for the estimate.</w:t>
      </w:r>
    </w:p>
    <w:p>
      <w:r>
        <w:rPr>
          <w:b w:val="0"/>
        </w:rPr>
        <w:t>AC2 exception: Given an unsupported location, area at or below 0 m², or tilt outside 0–90°, when I submit, then the system shall explain the error and prevent calculation.</w:t>
      </w:r>
    </w:p>
    <w:p>
      <w:r>
        <w:rPr>
          <w:b w:val="0"/>
        </w:rPr>
        <w:t>Rationale and source: Engineer; Task 1 project purpose and site input scope.</w:t>
      </w:r>
    </w:p>
    <w:p>
      <w:pPr>
        <w:pStyle w:val="Heading2"/>
      </w:pPr>
      <w:r>
        <w:t>US-03  Estimate panels and system size  Must</w:t>
      </w:r>
    </w:p>
    <w:p>
      <w:r>
        <w:rPr>
          <w:b w:val="0"/>
        </w:rPr>
        <w:t>As a engineer, I want to calculate panel count and system capacity, so that I can judge the required installation size.</w:t>
      </w:r>
    </w:p>
    <w:p>
      <w:r>
        <w:rPr>
          <w:b w:val="0"/>
        </w:rPr>
        <w:t>AC1: Given 7,200 kWh annual demand, 1,500 kWh per kW annual yield, 0.4 kW panels and 2 m² per panel, when I calculate, then the system shall return 12 panels and 4.8 kW.</w:t>
      </w:r>
    </w:p>
    <w:p>
      <w:r>
        <w:rPr>
          <w:b w:val="0"/>
        </w:rPr>
        <w:t>AC2 exception: Given only 20 m² usable area for the same case, when I calculate, then the system shall report a 10-panel limit and warn that the 12-panel target does not fit.</w:t>
      </w:r>
    </w:p>
    <w:p>
      <w:r>
        <w:rPr>
          <w:b w:val="0"/>
        </w:rPr>
        <w:t>Rationale and source: Engineer and installer; Task 1 panel sizing and installation needs.</w:t>
      </w:r>
    </w:p>
    <w:p>
      <w:r>
        <w:br w:type="page"/>
      </w:r>
    </w:p>
    <w:p>
      <w:pPr>
        <w:pStyle w:val="Heading1"/>
      </w:pPr>
      <w:r>
        <w:t>Task 3 User stories continued</w:t>
      </w:r>
    </w:p>
    <w:p>
      <w:pPr>
        <w:pStyle w:val="Heading2"/>
      </w:pPr>
      <w:r>
        <w:t>US-04  Estimate annual energy  Must</w:t>
      </w:r>
    </w:p>
    <w:p>
      <w:r>
        <w:rPr>
          <w:b w:val="0"/>
        </w:rPr>
        <w:t>As a homeowner, I want to see estimated yearly solar generation, so that I can compare output with my consumption.</w:t>
      </w:r>
    </w:p>
    <w:p>
      <w:r>
        <w:rPr>
          <w:b w:val="0"/>
        </w:rPr>
        <w:t>AC1: Given 4.8 kW capacity and an adjusted local annual yield of 1,500 kWh per kW, when I calculate, then the system shall show 7,200 kWh per year and identify the yield source.</w:t>
      </w:r>
    </w:p>
    <w:p>
      <w:r>
        <w:rPr>
          <w:b w:val="0"/>
        </w:rPr>
        <w:t>AC2 exception: Given no sunlight data for the location, when I calculate, then the system shall explain that generation cannot be estimated and shall not substitute zero.</w:t>
      </w:r>
    </w:p>
    <w:p>
      <w:r>
        <w:rPr>
          <w:b w:val="0"/>
        </w:rPr>
        <w:t>Rationale and source: Homeowner; Task 1 yearly production scope.</w:t>
      </w:r>
    </w:p>
    <w:p>
      <w:pPr>
        <w:pStyle w:val="Heading2"/>
      </w:pPr>
      <w:r>
        <w:t>US-05  Estimate cost and savings  Should</w:t>
      </w:r>
    </w:p>
    <w:p>
      <w:r>
        <w:rPr>
          <w:b w:val="0"/>
        </w:rPr>
        <w:t>As a homeowner, I want to see system cost and annual bill savings, so that I can compare installation options.</w:t>
      </w:r>
    </w:p>
    <w:p>
      <w:r>
        <w:rPr>
          <w:b w:val="0"/>
        </w:rPr>
        <w:t>AC1: Given 4.8 kW at 1,000 currency units per kW, 7,200 kWh output, 80% self-consumption and a 0.20 tariff, when I calculate, then the system should show cost 4,800 and annual savings 1,152.</w:t>
      </w:r>
    </w:p>
    <w:p>
      <w:r>
        <w:rPr>
          <w:b w:val="0"/>
        </w:rPr>
        <w:t>AC2 exception: Given a missing installation price, when results appear, then the system should mark cost unavailable while keeping valid energy results. It should not display a zero cost.</w:t>
      </w:r>
    </w:p>
    <w:p>
      <w:r>
        <w:rPr>
          <w:b w:val="0"/>
        </w:rPr>
        <w:t>Rationale and source: Homeowner and solar seller; Task 1 cost and yearly savings objective.</w:t>
      </w:r>
    </w:p>
    <w:p>
      <w:pPr>
        <w:pStyle w:val="Heading2"/>
      </w:pPr>
      <w:r>
        <w:t>US-06  Adjust calculation assumptions  Should</w:t>
      </w:r>
    </w:p>
    <w:p>
      <w:r>
        <w:rPr>
          <w:b w:val="0"/>
        </w:rPr>
        <w:t>As a engineer, I want to change tariff, panel rating and loss assumptions, so that I can compare realistic scenarios.</w:t>
      </w:r>
    </w:p>
    <w:p>
      <w:r>
        <w:rPr>
          <w:b w:val="0"/>
        </w:rPr>
        <w:t>AC1: Given fixed demand and generation, when I change tariff from 0.20 to 0.25, then the system should increase estimated savings by 25% and preserve the other inputs.</w:t>
      </w:r>
    </w:p>
    <w:p>
      <w:r>
        <w:rPr>
          <w:b w:val="0"/>
        </w:rPr>
        <w:t>AC2 exception: Given panel rating at or below 0 kW or system loss outside 0–50%, when I recalculate, then the system should explain the invalid assumption and withhold updated results.</w:t>
      </w:r>
    </w:p>
    <w:p>
      <w:r>
        <w:rPr>
          <w:b w:val="0"/>
        </w:rPr>
        <w:t>Rationale and source: Engineer; Task 1 adjustable assumptions scope.</w:t>
      </w:r>
    </w:p>
    <w:p>
      <w:r>
        <w:br w:type="page"/>
      </w:r>
    </w:p>
    <w:p>
      <w:pPr>
        <w:pStyle w:val="Heading1"/>
      </w:pPr>
      <w:r>
        <w:t>Task 3 User stories continued</w:t>
      </w:r>
    </w:p>
    <w:p>
      <w:pPr>
        <w:pStyle w:val="Heading2"/>
      </w:pPr>
      <w:r>
        <w:t>US-07  Compare demand and generation visually  Could</w:t>
      </w:r>
    </w:p>
    <w:p>
      <w:r>
        <w:rPr>
          <w:b w:val="0"/>
        </w:rPr>
        <w:t>As a homeowner, I want to view a simple demand and generation chart, so that I can understand the estimate quickly.</w:t>
      </w:r>
    </w:p>
    <w:p>
      <w:r>
        <w:rPr>
          <w:b w:val="0"/>
        </w:rPr>
        <w:t>AC1: Given annual demand of 9,000 kWh and generation of 7,200 kWh, when I view results, then the chart should display both labelled values in kWh per year with equivalent text values.</w:t>
      </w:r>
    </w:p>
    <w:p>
      <w:r>
        <w:rPr>
          <w:b w:val="0"/>
        </w:rPr>
        <w:t>AC2 exception: Given generation is unavailable, when I view results, then the chart should label it unavailable rather than draw a zero-generation value.</w:t>
      </w:r>
    </w:p>
    <w:p>
      <w:r>
        <w:rPr>
          <w:b w:val="0"/>
        </w:rPr>
        <w:t>Rationale and source: Homeowner; Task 1 results chart scope.</w:t>
      </w:r>
    </w:p>
    <w:p>
      <w:pPr>
        <w:pStyle w:val="Heading2"/>
      </w:pPr>
      <w:r>
        <w:t>US-08  Maintain reference data  Should</w:t>
      </w:r>
    </w:p>
    <w:p>
      <w:r>
        <w:rPr>
          <w:b w:val="0"/>
        </w:rPr>
        <w:t>As a IT staff member, I want to update tariffs and local sunlight values, so that estimates use maintained reference data.</w:t>
      </w:r>
    </w:p>
    <w:p>
      <w:r>
        <w:rPr>
          <w:b w:val="0"/>
        </w:rPr>
        <w:t>AC1: Given an authorized maintainer and valid positive reference values, when an update is saved, then subsequent calculations should use the new values and show their effective date.</w:t>
      </w:r>
    </w:p>
    <w:p>
      <w:r>
        <w:rPr>
          <w:b w:val="0"/>
        </w:rPr>
        <w:t>AC2 exception: Given an unauthorized update attempt or invalid negative value, when an update is submitted, then it should be rejected and the previous values should remain active.</w:t>
      </w:r>
    </w:p>
    <w:p>
      <w:r>
        <w:rPr>
          <w:b w:val="0"/>
        </w:rPr>
        <w:t>Rationale and source: IT staff; Task 1 reference-data maintenance need. Public user accounts remain excluded.</w:t>
      </w:r>
    </w:p>
    <w:p>
      <w:pPr>
        <w:pStyle w:val="Heading1"/>
      </w:pPr>
      <w:r>
        <w:t>Task 4 Classification and conflicts</w:t>
      </w:r>
    </w:p>
    <w:p>
      <w:r>
        <w:rPr>
          <w:b w:val="0"/>
        </w:rPr>
        <w:t>US-01 to US-08 are functional because they define services or observable responses. NFR-01 to NFR-05 constrain performance, usability, accuracy, process or ethical presentation; their categories appear below.</w:t>
      </w:r>
    </w:p>
    <w:p>
      <w:r>
        <w:rPr>
          <w:b w:val="0"/>
        </w:rPr>
        <w:t>Performance versus accuracy: NFR-01 could encourage simpler calculations that weaken NFR-03. Use a validated local reference dataset and tested formulas; measure both on the same test build. If either target fails, improve data loading and calculation speed before reducing model accuracy.</w:t>
      </w:r>
    </w:p>
    <w:p>
      <w:r>
        <w:rPr>
          <w:b w:val="0"/>
        </w:rPr>
        <w:t>Scope conflict: Task 1 mentions batteries but its feasibility answer excludes them. For this release, battery sizing is Won’t. Basic panel sizing remains Must; batteries need a separate future requirement and feasibility review.</w:t>
      </w:r>
    </w:p>
    <w:p>
      <w:r>
        <w:rPr>
          <w:b w:val="0"/>
        </w:rPr>
        <w:t>Model rules: annual demand = monthly kWh × 12; required kW = annual demand ÷ adjusted annual yield; panels = round up(required kW ÷ panel kW). Roof limit = round down(usable area ÷ panel area). Annual generation = installed kW × adjusted annual yield. Adjusted yield includes location, orientation, tilt and losses. These tests verify formula implementation, not actual future energy output.</w:t>
      </w:r>
    </w:p>
    <w:p>
      <w:r>
        <w:rPr>
          <w:b w:val="0"/>
        </w:rPr>
        <w:t>Savings model: generation × self-consumption fraction × tariff; exported energy has zero value in this release. Cost = installed kW × price per kW. Use one stated currency throughout; no tax, financing or return-on-investment advice.</w:t>
      </w:r>
    </w:p>
    <w:p>
      <w:r>
        <w:br w:type="page"/>
      </w:r>
    </w:p>
    <w:p>
      <w:pPr>
        <w:pStyle w:val="Heading1"/>
      </w:pPr>
      <w:r>
        <w:t>Task 3 Measurable non functional requirements</w:t>
      </w:r>
    </w:p>
    <w:p>
      <w:pPr>
        <w:pStyle w:val="Heading2"/>
      </w:pPr>
      <w:r>
        <w:t>NFR-01  Product performance  Must</w:t>
      </w:r>
    </w:p>
    <w:p>
      <w:r>
        <w:rPr>
          <w:b w:val="0"/>
        </w:rPr>
        <w:t>Results shall appear within 2 seconds for at least 95% of 100 calculation requests with 20 concurrent users.</w:t>
      </w:r>
    </w:p>
    <w:p>
      <w:r>
        <w:rPr>
          <w:b w:val="0"/>
        </w:rPr>
        <w:t>Measurement: Measure end-to-end response times on the agreed test device and network; at least 95 of 100 shall meet 2 seconds.</w:t>
      </w:r>
    </w:p>
    <w:p>
      <w:r>
        <w:rPr>
          <w:b w:val="0"/>
        </w:rPr>
        <w:t>Source: Homeowner; Task 1 quick-estimate objective.</w:t>
      </w:r>
    </w:p>
    <w:p>
      <w:pPr>
        <w:pStyle w:val="Heading2"/>
      </w:pPr>
      <w:r>
        <w:t>NFR-02  Product usability  Should</w:t>
      </w:r>
    </w:p>
    <w:p>
      <w:r>
        <w:rPr>
          <w:b w:val="0"/>
        </w:rPr>
        <w:t>At least 9 of 10 first-time users should complete a valid calculation within 30 seconds without help, with a test bill and site details provided.</w:t>
      </w:r>
    </w:p>
    <w:p>
      <w:r>
        <w:rPr>
          <w:b w:val="0"/>
        </w:rPr>
        <w:t>Measurement: Observe 10 first-time users from starting the form to viewing results; record time and assistance.</w:t>
      </w:r>
    </w:p>
    <w:p>
      <w:r>
        <w:rPr>
          <w:b w:val="0"/>
        </w:rPr>
        <w:t>Source: Homeowner; Task 1 speed and 90% completion objectives.</w:t>
      </w:r>
    </w:p>
    <w:p>
      <w:pPr>
        <w:pStyle w:val="Heading2"/>
      </w:pPr>
      <w:r>
        <w:t>NFR-03  Product accuracy  Must</w:t>
      </w:r>
    </w:p>
    <w:p>
      <w:r>
        <w:rPr>
          <w:b w:val="0"/>
        </w:rPr>
        <w:t>Calculated numeric outputs shall differ by no more than 1% from agreed reference-formula outputs in 20 valid test cases; integer panel counts shall match exactly.</w:t>
      </w:r>
    </w:p>
    <w:p>
      <w:r>
        <w:rPr>
          <w:b w:val="0"/>
        </w:rPr>
        <w:t>Measurement: Compare capacity, generation, cost and savings with independently worked examples. Check unrounded values and final rounding separately.</w:t>
      </w:r>
    </w:p>
    <w:p>
      <w:r>
        <w:rPr>
          <w:b w:val="0"/>
        </w:rPr>
        <w:t>Source: Engineer; reliable sizing need in Task 1.</w:t>
      </w:r>
    </w:p>
    <w:p>
      <w:pPr>
        <w:pStyle w:val="Heading2"/>
      </w:pPr>
      <w:r>
        <w:t>NFR-04  Organisational development process  Should</w:t>
      </w:r>
    </w:p>
    <w:p>
      <w:r>
        <w:rPr>
          <w:b w:val="0"/>
        </w:rPr>
        <w:t>Every change to a calculation formula should pass 100% of the 20 reference cases before team acceptance.</w:t>
      </w:r>
    </w:p>
    <w:p>
      <w:r>
        <w:rPr>
          <w:b w:val="0"/>
        </w:rPr>
        <w:t>Measurement: Inspect the recorded test results for each formula change; reject a change with any failed case.</w:t>
      </w:r>
    </w:p>
    <w:p>
      <w:r>
        <w:rPr>
          <w:b w:val="0"/>
        </w:rPr>
        <w:t>Source: Proposed team quality rule supporting the engineering objective.</w:t>
      </w:r>
    </w:p>
    <w:p>
      <w:pPr>
        <w:pStyle w:val="Heading2"/>
      </w:pPr>
      <w:r>
        <w:t>NFR-05  External ethical transparency  Must</w:t>
      </w:r>
    </w:p>
    <w:p>
      <w:r>
        <w:rPr>
          <w:b w:val="0"/>
        </w:rPr>
        <w:t>100% of result pages shall label values as estimates and show the sunlight source, data date and calculation assumptions.</w:t>
      </w:r>
    </w:p>
    <w:p>
      <w:r>
        <w:rPr>
          <w:b w:val="0"/>
        </w:rPr>
        <w:t>Measurement: Inspect each supported result state, including unavailable-data states; check all required labels and available source metadata.</w:t>
      </w:r>
    </w:p>
    <w:p>
      <w:r>
        <w:rPr>
          <w:b w:val="0"/>
        </w:rPr>
        <w:t>Source: Homeowner trust need; Task 2 question about trusting estimates.</w:t>
      </w:r>
    </w:p>
    <w:p>
      <w:r>
        <w:br w:type="page"/>
      </w:r>
    </w:p>
    <w:p>
      <w:pPr>
        <w:pStyle w:val="Heading1"/>
      </w:pPr>
      <w:r>
        <w:t>Task 5 Prioritized product backlog</w:t>
      </w:r>
    </w:p>
    <w:p>
      <w:r>
        <w:rPr>
          <w:b w:val="0"/>
        </w:rPr>
        <w:t>Proposed MoSCoW order and story-point estimates, ready for Product Owner and team review. Points express relative effort, not hours. The 13 active items contain 7 Must items (53.8%), below the worksheet’s 60% warning.</w:t>
      </w:r>
    </w:p>
    <w:tbl>
      <w:tblPr>
        <w:tblW w:type="auto" w:w="0"/>
        <w:tblLayout w:type="fixed"/>
        <w:tblLook w:firstColumn="1" w:firstRow="1" w:lastColumn="0" w:lastRow="0" w:noHBand="0" w:noVBand="1" w:val="04A0"/>
      </w:tblPr>
      <w:tblGrid>
        <w:gridCol w:w="936"/>
        <w:gridCol w:w="2160"/>
        <w:gridCol w:w="1800"/>
        <w:gridCol w:w="864"/>
        <w:gridCol w:w="864"/>
        <w:gridCol w:w="2506"/>
      </w:tblGrid>
      <w:tr>
        <w:trPr>
          <w:tblHeader/>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before="0"/>
            </w:pPr>
            <w:r>
              <w:rPr>
                <w:b/>
                <w:sz w:val="20"/>
              </w:rPr>
              <w:t>ID</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before="0"/>
            </w:pPr>
            <w:r>
              <w:rPr>
                <w:b/>
                <w:sz w:val="20"/>
              </w:rPr>
              <w:t>Item</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before="0"/>
            </w:pPr>
            <w:r>
              <w:rPr>
                <w:b/>
                <w:sz w:val="20"/>
              </w:rPr>
              <w:t>Type</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before="0"/>
            </w:pPr>
            <w:r>
              <w:rPr>
                <w:b/>
                <w:sz w:val="20"/>
              </w:rPr>
              <w:t>Priority</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before="0"/>
            </w:pPr>
            <w:r>
              <w:rPr>
                <w:b/>
                <w:sz w:val="20"/>
              </w:rPr>
              <w:t>Points</w:t>
            </w:r>
          </w:p>
        </w:tc>
        <w:tc>
          <w:tcPr>
            <w:tcW w:type="dxa" w:w="2506"/>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before="0"/>
            </w:pPr>
            <w:r>
              <w:rPr>
                <w:b/>
                <w:sz w:val="20"/>
              </w:rPr>
              <w:t>Source</w:t>
            </w:r>
          </w:p>
        </w:tc>
      </w:tr>
      <w:tr>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US-01</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Enter electricity usage</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Functional</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Must</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3</w:t>
            </w:r>
          </w:p>
        </w:tc>
        <w:tc>
          <w:tcPr>
            <w:tcW w:type="dxa" w:w="250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Homeowner</w:t>
            </w:r>
          </w:p>
        </w:tc>
      </w:tr>
      <w:tr>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US-02</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Enter site details</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Functional</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Must</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3</w:t>
            </w:r>
          </w:p>
        </w:tc>
        <w:tc>
          <w:tcPr>
            <w:tcW w:type="dxa" w:w="250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Engineer</w:t>
            </w:r>
          </w:p>
        </w:tc>
      </w:tr>
      <w:tr>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US-03</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Estimate panels and system size</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Functional</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Must</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5</w:t>
            </w:r>
          </w:p>
        </w:tc>
        <w:tc>
          <w:tcPr>
            <w:tcW w:type="dxa" w:w="250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Engineer / installer</w:t>
            </w:r>
          </w:p>
        </w:tc>
      </w:tr>
      <w:tr>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US-04</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Estimate annual energy</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Functional</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Must</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5</w:t>
            </w:r>
          </w:p>
        </w:tc>
        <w:tc>
          <w:tcPr>
            <w:tcW w:type="dxa" w:w="250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Homeowner</w:t>
            </w:r>
          </w:p>
        </w:tc>
      </w:tr>
      <w:tr>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NFR-03</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Formula accuracy</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Product accuracy</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Must</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3</w:t>
            </w:r>
          </w:p>
        </w:tc>
        <w:tc>
          <w:tcPr>
            <w:tcW w:type="dxa" w:w="250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Engineer</w:t>
            </w:r>
          </w:p>
        </w:tc>
      </w:tr>
      <w:tr>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NFR-05</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Estimate transparency</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External ethical transparency</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Must</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2</w:t>
            </w:r>
          </w:p>
        </w:tc>
        <w:tc>
          <w:tcPr>
            <w:tcW w:type="dxa" w:w="250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Homeowner trust need</w:t>
            </w:r>
          </w:p>
        </w:tc>
      </w:tr>
      <w:tr>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NFR-01</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Response time</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Product performance</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Must</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3</w:t>
            </w:r>
          </w:p>
        </w:tc>
        <w:tc>
          <w:tcPr>
            <w:tcW w:type="dxa" w:w="250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Homeowner</w:t>
            </w:r>
          </w:p>
        </w:tc>
      </w:tr>
      <w:tr>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US-05</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Estimate cost and savings</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Functional</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Should</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5</w:t>
            </w:r>
          </w:p>
        </w:tc>
        <w:tc>
          <w:tcPr>
            <w:tcW w:type="dxa" w:w="250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Homeowner / seller</w:t>
            </w:r>
          </w:p>
        </w:tc>
      </w:tr>
      <w:tr>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US-06</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Adjust calculation assumptions</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Functional</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Should</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3</w:t>
            </w:r>
          </w:p>
        </w:tc>
        <w:tc>
          <w:tcPr>
            <w:tcW w:type="dxa" w:w="250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Engineer</w:t>
            </w:r>
          </w:p>
        </w:tc>
      </w:tr>
      <w:tr>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US-08</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Maintain reference data</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Functional</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Should</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5</w:t>
            </w:r>
          </w:p>
        </w:tc>
        <w:tc>
          <w:tcPr>
            <w:tcW w:type="dxa" w:w="250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IT staff</w:t>
            </w:r>
          </w:p>
        </w:tc>
      </w:tr>
      <w:tr>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NFR-02</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First use completion</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Product usability</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Should</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3</w:t>
            </w:r>
          </w:p>
        </w:tc>
        <w:tc>
          <w:tcPr>
            <w:tcW w:type="dxa" w:w="250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Homeowner</w:t>
            </w:r>
          </w:p>
        </w:tc>
      </w:tr>
      <w:tr>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NFR-04</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Formula change checks</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Organisational development process</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Should</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2</w:t>
            </w:r>
          </w:p>
        </w:tc>
        <w:tc>
          <w:tcPr>
            <w:tcW w:type="dxa" w:w="250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Proposed team quality rule</w:t>
            </w:r>
          </w:p>
        </w:tc>
      </w:tr>
      <w:tr>
        <w:trPr/>
        <w:tc>
          <w:tcPr>
            <w:tcW w:type="dxa" w:w="9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US-07</w:t>
            </w:r>
          </w:p>
        </w:tc>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Compare demand and generation visually</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Functional</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Could</w:t>
            </w:r>
          </w:p>
        </w:tc>
        <w:tc>
          <w:tcPr>
            <w:tcW w:type="dxa" w:w="8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2</w:t>
            </w:r>
          </w:p>
        </w:tc>
        <w:tc>
          <w:tcPr>
            <w:tcW w:type="dxa" w:w="250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Homeowner</w:t>
            </w:r>
          </w:p>
        </w:tc>
      </w:tr>
    </w:tbl>
    <w:p>
      <w:pPr>
        <w:spacing w:before="120"/>
      </w:pPr>
      <w:r>
        <w:rPr>
          <w:b w:val="0"/>
        </w:rPr>
        <w:t>Total proposed effort: 44 points. Must: 24 points; Should: 18 points; Could: 2 points. Estimates include implementation and verification; NFR effort covers shared work beyond individual story tests.</w:t>
      </w:r>
    </w:p>
    <w:p>
      <w:r>
        <w:rPr>
          <w:b w:val="0"/>
        </w:rPr>
        <w:t>Won’t this release: battery sizing, public accounts and saved calculations, installer booking, installed-panel monitoring, and sales/customer reporting. These are recorded scope exclusions rather than active estimated stories.</w:t>
      </w:r>
    </w:p>
    <w:p>
      <w:r>
        <w:rPr>
          <w:b w:val="0"/>
        </w:rPr>
        <w:t>Scrum board setup: place all 13 IDs in To Do in the order above. Use In Progress, Review and Done as the remaining columns. Move an item to Done only after its acceptance criteria or measurement checks pass. Sprint selection depends on the team’s measured capacity.</w:t>
      </w:r>
    </w:p>
    <w:p>
      <w:r>
        <w:br w:type="page"/>
      </w:r>
    </w:p>
    <w:p>
      <w:pPr>
        <w:pStyle w:val="Heading1"/>
      </w:pPr>
      <w:r>
        <w:t>Task 5 Traceability</w:t>
      </w:r>
    </w:p>
    <w:tbl>
      <w:tblPr>
        <w:tblW w:type="auto" w:w="0"/>
        <w:tblLayout w:type="fixed"/>
        <w:tblLook w:firstColumn="1" w:firstRow="1" w:lastColumn="0" w:lastRow="0" w:noHBand="0" w:noVBand="1" w:val="04A0"/>
      </w:tblPr>
      <w:tblGrid>
        <w:gridCol w:w="2592"/>
        <w:gridCol w:w="1512"/>
        <w:gridCol w:w="2520"/>
        <w:gridCol w:w="2448"/>
      </w:tblGrid>
      <w:tr>
        <w:trPr>
          <w:tblHeader/>
        </w:trPr>
        <w:tc>
          <w:tcPr>
            <w:tcW w:type="dxa" w:w="2592"/>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before="0"/>
            </w:pPr>
            <w:r>
              <w:rPr>
                <w:b/>
                <w:sz w:val="20"/>
              </w:rPr>
              <w:t>Stakeholder need</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before="0"/>
            </w:pPr>
            <w:r>
              <w:rPr>
                <w:b/>
                <w:sz w:val="20"/>
              </w:rPr>
              <w:t>Requirements</w:t>
            </w:r>
          </w:p>
        </w:tc>
        <w:tc>
          <w:tcPr>
            <w:tcW w:type="dxa" w:w="2520"/>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before="0"/>
            </w:pPr>
            <w:r>
              <w:rPr>
                <w:b/>
                <w:sz w:val="20"/>
              </w:rPr>
              <w:t>Acceptance tests</w:t>
            </w:r>
          </w:p>
        </w:tc>
        <w:tc>
          <w:tcPr>
            <w:tcW w:type="dxa" w:w="2448"/>
            <w:tcBorders>
              <w:top w:val="single" w:sz="4" w:color="D9D9D9"/>
              <w:left w:val="single" w:sz="4" w:color="D9D9D9"/>
              <w:bottom w:val="single" w:sz="4" w:color="D9D9D9"/>
              <w:right w:val="single" w:sz="4" w:color="D9D9D9"/>
            </w:tcBorders>
            <w:tcMar>
              <w:top w:w="75" w:type="dxa"/>
              <w:left w:w="75" w:type="dxa"/>
              <w:bottom w:w="75" w:type="dxa"/>
              <w:right w:w="75" w:type="dxa"/>
            </w:tcMar>
            <w:shd w:fill="E7E6E6"/>
          </w:tcPr>
          <w:p>
            <w:pPr>
              <w:spacing w:after="40" w:before="0"/>
            </w:pPr>
            <w:r>
              <w:rPr>
                <w:b/>
                <w:sz w:val="20"/>
              </w:rPr>
              <w:t>Later design and tests</w:t>
            </w:r>
          </w:p>
        </w:tc>
      </w:tr>
      <w:tr>
        <w:trPr/>
        <w:tc>
          <w:tcPr>
            <w:tcW w:type="dxa" w:w="259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N1 Homeowners need a quick estimate from their bill.</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US-01, NFR-01, NFR-02</w:t>
            </w:r>
          </w:p>
        </w:tc>
        <w:tc>
          <w:tcPr>
            <w:tcW w:type="dxa" w:w="25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US-01 AC1–AC2; response-time and 10-user checks</w:t>
            </w:r>
          </w:p>
        </w:tc>
        <w:tc>
          <w:tcPr>
            <w:tcW w:type="dxa" w:w="24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Input use case; validation and usability tests</w:t>
            </w:r>
          </w:p>
        </w:tc>
      </w:tr>
      <w:tr>
        <w:trPr/>
        <w:tc>
          <w:tcPr>
            <w:tcW w:type="dxa" w:w="259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N2 Engineers and installers need suitable panel quantities.</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US-02, US-03, US-06, NFR-03</w:t>
            </w:r>
          </w:p>
        </w:tc>
        <w:tc>
          <w:tcPr>
            <w:tcW w:type="dxa" w:w="25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US-02, US-03 and US-06 AC1–AC2; 20 reference cases</w:t>
            </w:r>
          </w:p>
        </w:tc>
        <w:tc>
          <w:tcPr>
            <w:tcW w:type="dxa" w:w="24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Sizing activity diagram; formula and roof-limit tests</w:t>
            </w:r>
          </w:p>
        </w:tc>
      </w:tr>
      <w:tr>
        <w:trPr/>
        <w:tc>
          <w:tcPr>
            <w:tcW w:type="dxa" w:w="259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N3 Homeowners and sellers need understandable cost and savings estimates.</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US-04, US-05, US-07, NFR-05</w:t>
            </w:r>
          </w:p>
        </w:tc>
        <w:tc>
          <w:tcPr>
            <w:tcW w:type="dxa" w:w="25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US-04, US-05 and US-07 AC1–AC2; transparency check</w:t>
            </w:r>
          </w:p>
        </w:tc>
        <w:tc>
          <w:tcPr>
            <w:tcW w:type="dxa" w:w="24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Results use case; missing-data and presentation tests</w:t>
            </w:r>
          </w:p>
        </w:tc>
      </w:tr>
      <w:tr>
        <w:trPr/>
        <w:tc>
          <w:tcPr>
            <w:tcW w:type="dxa" w:w="259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N4 IT staff need controlled reference-data maintenance.</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US-08, NFR-04</w:t>
            </w:r>
          </w:p>
        </w:tc>
        <w:tc>
          <w:tcPr>
            <w:tcW w:type="dxa" w:w="25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US-08 AC1–AC2; formula-change test records</w:t>
            </w:r>
          </w:p>
        </w:tc>
        <w:tc>
          <w:tcPr>
            <w:tcW w:type="dxa" w:w="24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0"/>
            </w:pPr>
            <w:r>
              <w:rPr>
                <w:b w:val="0"/>
                <w:sz w:val="20"/>
              </w:rPr>
              <w:t>Maintenance use case; authorization and regression tests</w:t>
            </w:r>
          </w:p>
        </w:tc>
      </w:tr>
    </w:tbl>
    <w:p>
      <w:pPr>
        <w:spacing w:before="120"/>
      </w:pPr>
      <w:r>
        <w:rPr>
          <w:b w:val="0"/>
        </w:rPr>
        <w:t>N1–N4 label stakeholder needs. US identifies functional user stories; NFR identifies non-functional requirements. AC identifies an acceptance criterion. Each criterion and measurement above is a planned test, not a recorded passing result.</w:t>
      </w:r>
    </w:p>
    <w:p>
      <w:pPr>
        <w:pStyle w:val="Heading1"/>
        <w:pageBreakBefore/>
      </w:pPr>
      <w:r>
        <w:t>Task 6 Review and validation</w:t>
      </w:r>
    </w:p>
    <w:p>
      <w:r>
        <w:rPr>
          <w:b w:val="0"/>
        </w:rPr>
        <w:t>Prepared self-review comments for discussion with another team. An independent peer review has not yet taken place.</w:t>
      </w:r>
    </w:p>
    <w:p>
      <w:pPr>
        <w:pStyle w:val="Heading2"/>
      </w:pPr>
      <w:r>
        <w:t>Validity</w:t>
      </w:r>
    </w:p>
    <w:p>
      <w:r>
        <w:rPr>
          <w:b w:val="0"/>
        </w:rPr>
        <w:t>US-03 directly addresses the engineers’ panel-sizing need. Task 1 also mentions business sales reporting, but that does not support the current calculator objective. Keep it outside this release and confirm that choice with the project owner.</w:t>
      </w:r>
    </w:p>
    <w:p>
      <w:pPr>
        <w:pStyle w:val="Heading2"/>
      </w:pPr>
      <w:r>
        <w:t>Consistency</w:t>
      </w:r>
    </w:p>
    <w:p>
      <w:r>
        <w:rPr>
          <w:b w:val="0"/>
        </w:rPr>
        <w:t>Task 1 both requests and excludes batteries. The release scope now explicitly excludes battery sizing. US-08 permits maintainer authorization while continuing to exclude public user accounts.</w:t>
      </w:r>
    </w:p>
    <w:p>
      <w:pPr>
        <w:pStyle w:val="Heading2"/>
      </w:pPr>
      <w:r>
        <w:t>Completeness</w:t>
      </w:r>
    </w:p>
    <w:p>
      <w:r>
        <w:rPr>
          <w:b w:val="0"/>
        </w:rPr>
        <w:t>Missing sunlight data, invalid tariffs, insufficient roof area and unauthorized updates need explicit outcomes. These are now covered by US-01 to US-04 and US-08 exception criteria.</w:t>
      </w:r>
    </w:p>
    <w:p>
      <w:pPr>
        <w:pStyle w:val="Heading2"/>
      </w:pPr>
      <w:r>
        <w:t>Realism</w:t>
      </w:r>
    </w:p>
    <w:p>
      <w:r>
        <w:rPr>
          <w:b w:val="0"/>
        </w:rPr>
        <w:t>Automatic address lookup, live monitoring and battery design would increase dependencies. Use a supported-location dataset and manual site inputs. Review the 44-point estimate against actual team capacity before committing to a sprint.</w:t>
      </w:r>
    </w:p>
    <w:p>
      <w:pPr>
        <w:pStyle w:val="Heading2"/>
      </w:pPr>
      <w:r>
        <w:t>Verifiability</w:t>
      </w:r>
    </w:p>
    <w:p>
      <w:r>
        <w:rPr>
          <w:b w:val="0"/>
        </w:rPr>
        <w:t>“Quick” and “accurate” are too vague. NFR-01 now defines 2 seconds under a stated load, NFR-02 defines 9 of 10 users within 30 seconds, and NFR-03 defines a 1% tolerance with exact panel counts.</w:t>
      </w:r>
    </w:p>
    <w:p>
      <w:r>
        <w:rPr>
          <w:b w:val="0"/>
        </w:rPr>
        <w:t>Review outcome: wording and scope corrections are incorporated above. Next, obtain another team’s comments, confirm priorities and estimates, choose the reference dataset and test environment, then add the approved requirements to docs/requirements/ and update the Scrum board.</w:t>
      </w:r>
    </w:p>
    <w:sectPr w:rsidR="00D47887" w:rsidRPr="00F471EB" w:rsidSect="00205851">
      <w:footerReference w:type="default" r:id="rId8"/>
      <w:pgSz w:w="12240" w:h="15840"/>
      <w:pgMar w:top="1411" w:right="1411"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66991" w14:textId="77777777" w:rsidR="00A21F2D" w:rsidRDefault="00A21F2D" w:rsidP="0015768B">
      <w:pPr>
        <w:spacing w:line="240" w:lineRule="auto"/>
      </w:pPr>
      <w:r>
        <w:separator/>
      </w:r>
    </w:p>
  </w:endnote>
  <w:endnote w:type="continuationSeparator" w:id="0">
    <w:p w14:paraId="50FAECA1" w14:textId="77777777" w:rsidR="00A21F2D" w:rsidRDefault="00A21F2D" w:rsidP="001576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095122"/>
      <w:docPartObj>
        <w:docPartGallery w:val="Page Numbers (Bottom of Page)"/>
        <w:docPartUnique/>
      </w:docPartObj>
    </w:sdtPr>
    <w:sdtEndPr>
      <w:rPr>
        <w:noProof/>
      </w:rPr>
    </w:sdtEndPr>
    <w:sdtContent>
      <w:p w14:paraId="22FB1B97" w14:textId="45F8AF54" w:rsidR="0015768B" w:rsidRDefault="001576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5AAC1A" w14:textId="77777777" w:rsidR="0015768B" w:rsidRDefault="001576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AF1FF" w14:textId="77777777" w:rsidR="00A21F2D" w:rsidRDefault="00A21F2D" w:rsidP="0015768B">
      <w:pPr>
        <w:spacing w:line="240" w:lineRule="auto"/>
      </w:pPr>
      <w:r>
        <w:separator/>
      </w:r>
    </w:p>
  </w:footnote>
  <w:footnote w:type="continuationSeparator" w:id="0">
    <w:p w14:paraId="7DDF70B2" w14:textId="77777777" w:rsidR="00A21F2D" w:rsidRDefault="00A21F2D" w:rsidP="001576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17A8B"/>
    <w:multiLevelType w:val="hybridMultilevel"/>
    <w:tmpl w:val="986AB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984F23"/>
    <w:multiLevelType w:val="multilevel"/>
    <w:tmpl w:val="548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47A2B"/>
    <w:multiLevelType w:val="multilevel"/>
    <w:tmpl w:val="9E82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F2530B"/>
    <w:multiLevelType w:val="hybridMultilevel"/>
    <w:tmpl w:val="1ADCCA7C"/>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A1405FF"/>
    <w:multiLevelType w:val="multilevel"/>
    <w:tmpl w:val="6F84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548DB"/>
    <w:multiLevelType w:val="multilevel"/>
    <w:tmpl w:val="5E6E1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0A05B1"/>
    <w:multiLevelType w:val="multilevel"/>
    <w:tmpl w:val="0E1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31246"/>
    <w:multiLevelType w:val="multilevel"/>
    <w:tmpl w:val="7904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26204"/>
    <w:multiLevelType w:val="hybridMultilevel"/>
    <w:tmpl w:val="DCB48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627058"/>
    <w:multiLevelType w:val="hybridMultilevel"/>
    <w:tmpl w:val="4776C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7C6E99"/>
    <w:multiLevelType w:val="hybridMultilevel"/>
    <w:tmpl w:val="01880F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C062EC"/>
    <w:multiLevelType w:val="hybridMultilevel"/>
    <w:tmpl w:val="86284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CD24BE"/>
    <w:multiLevelType w:val="hybridMultilevel"/>
    <w:tmpl w:val="799E1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D377C9"/>
    <w:multiLevelType w:val="multilevel"/>
    <w:tmpl w:val="65CC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2D60A8"/>
    <w:multiLevelType w:val="hybridMultilevel"/>
    <w:tmpl w:val="C972D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267D98"/>
    <w:multiLevelType w:val="multilevel"/>
    <w:tmpl w:val="119E6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430078">
    <w:abstractNumId w:val="2"/>
  </w:num>
  <w:num w:numId="2" w16cid:durableId="133379074">
    <w:abstractNumId w:val="6"/>
  </w:num>
  <w:num w:numId="3" w16cid:durableId="1830438151">
    <w:abstractNumId w:val="7"/>
  </w:num>
  <w:num w:numId="4" w16cid:durableId="1251892885">
    <w:abstractNumId w:val="4"/>
  </w:num>
  <w:num w:numId="5" w16cid:durableId="294068370">
    <w:abstractNumId w:val="5"/>
  </w:num>
  <w:num w:numId="6" w16cid:durableId="237060266">
    <w:abstractNumId w:val="13"/>
  </w:num>
  <w:num w:numId="7" w16cid:durableId="1137602957">
    <w:abstractNumId w:val="15"/>
  </w:num>
  <w:num w:numId="8" w16cid:durableId="873350301">
    <w:abstractNumId w:val="1"/>
  </w:num>
  <w:num w:numId="9" w16cid:durableId="1842504555">
    <w:abstractNumId w:val="0"/>
  </w:num>
  <w:num w:numId="10" w16cid:durableId="2090076780">
    <w:abstractNumId w:val="10"/>
  </w:num>
  <w:num w:numId="11" w16cid:durableId="1028212794">
    <w:abstractNumId w:val="3"/>
  </w:num>
  <w:num w:numId="12" w16cid:durableId="532767369">
    <w:abstractNumId w:val="14"/>
  </w:num>
  <w:num w:numId="13" w16cid:durableId="1204562418">
    <w:abstractNumId w:val="11"/>
  </w:num>
  <w:num w:numId="14" w16cid:durableId="1220753377">
    <w:abstractNumId w:val="12"/>
  </w:num>
  <w:num w:numId="15" w16cid:durableId="148248639">
    <w:abstractNumId w:val="9"/>
  </w:num>
  <w:num w:numId="16" w16cid:durableId="14300052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60"/>
    <w:rsid w:val="00072BF8"/>
    <w:rsid w:val="0015768B"/>
    <w:rsid w:val="001741FA"/>
    <w:rsid w:val="00176F8C"/>
    <w:rsid w:val="00191C50"/>
    <w:rsid w:val="00205851"/>
    <w:rsid w:val="00297D50"/>
    <w:rsid w:val="002A2151"/>
    <w:rsid w:val="00356C83"/>
    <w:rsid w:val="00391A96"/>
    <w:rsid w:val="0040178A"/>
    <w:rsid w:val="00427362"/>
    <w:rsid w:val="004315B0"/>
    <w:rsid w:val="005378AF"/>
    <w:rsid w:val="005D7B34"/>
    <w:rsid w:val="00634E7D"/>
    <w:rsid w:val="00667EF4"/>
    <w:rsid w:val="006A6D7B"/>
    <w:rsid w:val="006B2F2F"/>
    <w:rsid w:val="00707AAC"/>
    <w:rsid w:val="00772F05"/>
    <w:rsid w:val="007A0115"/>
    <w:rsid w:val="007B30D2"/>
    <w:rsid w:val="00834A74"/>
    <w:rsid w:val="0085571D"/>
    <w:rsid w:val="008721B7"/>
    <w:rsid w:val="008C1FDE"/>
    <w:rsid w:val="00911D0E"/>
    <w:rsid w:val="00922AC6"/>
    <w:rsid w:val="00A21F2D"/>
    <w:rsid w:val="00A46C5D"/>
    <w:rsid w:val="00B07D66"/>
    <w:rsid w:val="00B562CD"/>
    <w:rsid w:val="00B63793"/>
    <w:rsid w:val="00B73DF3"/>
    <w:rsid w:val="00CC64BF"/>
    <w:rsid w:val="00D278B6"/>
    <w:rsid w:val="00D47887"/>
    <w:rsid w:val="00DC6C43"/>
    <w:rsid w:val="00DD45CF"/>
    <w:rsid w:val="00DF3F4E"/>
    <w:rsid w:val="00E10C1A"/>
    <w:rsid w:val="00E5387F"/>
    <w:rsid w:val="00E62A96"/>
    <w:rsid w:val="00E80028"/>
    <w:rsid w:val="00EC3E60"/>
    <w:rsid w:val="00F471EB"/>
    <w:rsid w:val="00F50669"/>
    <w:rsid w:val="00F845A2"/>
    <w:rsid w:val="00FB09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DAB50"/>
  <w15:chartTrackingRefBased/>
  <w15:docId w15:val="{65A2EBA6-4BEC-4951-99A8-EC6683055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40" w:lineRule="auto"/>
    </w:pPr>
    <w:rPr>
      <w:rFonts w:ascii="Calibri" w:hAnsi="Calibri"/>
      <w:color w:val="000000"/>
      <w:sz w:val="22"/>
    </w:rPr>
  </w:style>
  <w:style w:type="paragraph" w:styleId="Heading1">
    <w:name w:val="heading 1"/>
    <w:basedOn w:val="Normal"/>
    <w:next w:val="Normal"/>
    <w:link w:val="Heading1Char"/>
    <w:uiPriority w:val="9"/>
    <w:qFormat/>
    <w:rsid w:val="00EC3E60"/>
    <w:pPr>
      <w:keepNext/>
      <w:keepLines/>
      <w:spacing w:before="180" w:after="100"/>
      <w:outlineLvl w:val="0"/>
    </w:pPr>
    <w:rPr>
      <w:rFonts w:ascii="Calibri" w:hAnsi="Calibri"/>
      <w:b/>
      <w:color w:val="000000"/>
      <w:sz w:val="28"/>
      <w:szCs w:val="40"/>
    </w:rPr>
  </w:style>
  <w:style w:type="paragraph" w:styleId="Heading2">
    <w:name w:val="heading 2"/>
    <w:basedOn w:val="Normal"/>
    <w:next w:val="Normal"/>
    <w:link w:val="Heading2Char"/>
    <w:uiPriority w:val="9"/>
    <w:unhideWhenUsed/>
    <w:qFormat/>
    <w:rsid w:val="00EC3E60"/>
    <w:pPr>
      <w:keepNext/>
      <w:keepLines/>
      <w:spacing w:before="180" w:after="100"/>
      <w:outlineLvl w:val="1"/>
    </w:pPr>
    <w:rPr>
      <w:rFonts w:ascii="Calibri" w:hAnsi="Calibri"/>
      <w:b/>
      <w:color w:val="000000"/>
      <w:sz w:val="22"/>
      <w:szCs w:val="32"/>
    </w:rPr>
  </w:style>
  <w:style w:type="paragraph" w:styleId="Heading3">
    <w:name w:val="heading 3"/>
    <w:basedOn w:val="Normal"/>
    <w:next w:val="Normal"/>
    <w:link w:val="Heading3Char"/>
    <w:uiPriority w:val="9"/>
    <w:unhideWhenUsed/>
    <w:qFormat/>
    <w:rsid w:val="00EC3E60"/>
    <w:pPr>
      <w:keepNext/>
      <w:keepLines/>
      <w:spacing w:before="160" w:after="80"/>
      <w:outlineLvl w:val="2"/>
    </w:pPr>
    <w:rPr>
      <w:rFonts w:eastAsiaTheme="majorEastAsia" w:cstheme="majorBidi" w:ascii="Calibri" w:hAnsi="Calibri"/>
      <w:color w:val="000000"/>
      <w:sz w:val="28"/>
      <w:szCs w:val="28"/>
    </w:rPr>
  </w:style>
  <w:style w:type="paragraph" w:styleId="Heading4">
    <w:name w:val="heading 4"/>
    <w:basedOn w:val="Normal"/>
    <w:next w:val="Normal"/>
    <w:link w:val="Heading4Char"/>
    <w:uiPriority w:val="9"/>
    <w:semiHidden/>
    <w:unhideWhenUsed/>
    <w:qFormat/>
    <w:rsid w:val="00EC3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link w:val="chapterheadingChar"/>
    <w:qFormat/>
    <w:rsid w:val="00DC6C43"/>
    <w:pPr>
      <w:jc w:val="center"/>
    </w:pPr>
    <w:rPr>
      <w:rFonts w:ascii="Calibri" w:eastAsiaTheme="majorEastAsia" w:hAnsi="Calibri" w:cstheme="majorBidi"/>
      <w:b/>
      <w:iCs/>
      <w:color w:val="000000" w:themeColor="text1"/>
      <w:sz w:val="28"/>
      <w:szCs w:val="21"/>
    </w:rPr>
  </w:style>
  <w:style w:type="character" w:customStyle="1" w:styleId="chapterheadingChar">
    <w:name w:val="chapter heading Char"/>
    <w:basedOn w:val="DefaultParagraphFont"/>
    <w:link w:val="chapterheading"/>
    <w:rsid w:val="00DC6C43"/>
    <w:rPr>
      <w:rFonts w:ascii="Calibri" w:eastAsiaTheme="majorEastAsia" w:hAnsi="Calibri" w:cstheme="majorBidi"/>
      <w:b/>
      <w:iCs/>
      <w:color w:val="000000" w:themeColor="text1"/>
      <w:sz w:val="28"/>
      <w:szCs w:val="21"/>
    </w:rPr>
  </w:style>
  <w:style w:type="paragraph" w:customStyle="1" w:styleId="heading">
    <w:name w:val="heading"/>
    <w:basedOn w:val="chapterheading"/>
    <w:link w:val="headingChar"/>
    <w:qFormat/>
    <w:rsid w:val="007A0115"/>
    <w:pPr>
      <w:jc w:val="left"/>
    </w:pPr>
    <w:rPr>
      <w:sz w:val="24"/>
    </w:rPr>
  </w:style>
  <w:style w:type="character" w:customStyle="1" w:styleId="headingChar">
    <w:name w:val="heading Char"/>
    <w:basedOn w:val="chapterheadingChar"/>
    <w:link w:val="heading"/>
    <w:rsid w:val="007A0115"/>
    <w:rPr>
      <w:rFonts w:ascii="Times New Roman" w:eastAsiaTheme="majorEastAsia" w:hAnsi="Times New Roman" w:cstheme="majorBidi"/>
      <w:b/>
      <w:iCs/>
      <w:color w:val="000000" w:themeColor="text1"/>
      <w:sz w:val="24"/>
      <w:szCs w:val="21"/>
    </w:rPr>
  </w:style>
  <w:style w:type="paragraph" w:customStyle="1" w:styleId="text">
    <w:name w:val="text"/>
    <w:basedOn w:val="heading"/>
    <w:link w:val="textChar"/>
    <w:qFormat/>
    <w:rsid w:val="007A0115"/>
    <w:rPr>
      <w:b w:val="0"/>
    </w:rPr>
  </w:style>
  <w:style w:type="character" w:customStyle="1" w:styleId="textChar">
    <w:name w:val="text Char"/>
    <w:basedOn w:val="headingChar"/>
    <w:link w:val="text"/>
    <w:rsid w:val="007A0115"/>
    <w:rPr>
      <w:rFonts w:ascii="Times New Roman" w:eastAsiaTheme="majorEastAsia" w:hAnsi="Times New Roman" w:cstheme="majorBidi"/>
      <w:b w:val="0"/>
      <w:iCs/>
      <w:color w:val="000000" w:themeColor="text1"/>
      <w:sz w:val="24"/>
      <w:szCs w:val="21"/>
    </w:rPr>
  </w:style>
  <w:style w:type="character" w:customStyle="1" w:styleId="Heading1Char">
    <w:name w:val="Heading 1 Char"/>
    <w:basedOn w:val="DefaultParagraphFont"/>
    <w:link w:val="Heading1"/>
    <w:uiPriority w:val="9"/>
    <w:rsid w:val="00EC3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3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3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E60"/>
    <w:rPr>
      <w:rFonts w:eastAsiaTheme="majorEastAsia" w:cstheme="majorBidi"/>
      <w:color w:val="272727" w:themeColor="text1" w:themeTint="D8"/>
    </w:rPr>
  </w:style>
  <w:style w:type="paragraph" w:styleId="Title">
    <w:name w:val="Title"/>
    <w:basedOn w:val="Normal"/>
    <w:next w:val="Normal"/>
    <w:link w:val="TitleChar"/>
    <w:uiPriority w:val="10"/>
    <w:qFormat/>
    <w:rsid w:val="00EC3E60"/>
    <w:pPr>
      <w:spacing w:after="80" w:line="240" w:lineRule="auto"/>
      <w:contextualSpacing/>
    </w:pPr>
    <w:rPr>
      <w:rFonts w:ascii="Calibri" w:hAnsi="Calibri"/>
      <w:color w:val="000000"/>
      <w:spacing w:val="-10"/>
      <w:kern w:val="28"/>
      <w:sz w:val="48"/>
      <w:szCs w:val="56"/>
    </w:rPr>
  </w:style>
  <w:style w:type="character" w:customStyle="1" w:styleId="TitleChar">
    <w:name w:val="Title Char"/>
    <w:basedOn w:val="DefaultParagraphFont"/>
    <w:link w:val="Title"/>
    <w:uiPriority w:val="10"/>
    <w:rsid w:val="00EC3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E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E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3E60"/>
    <w:rPr>
      <w:i/>
      <w:iCs/>
      <w:color w:val="404040" w:themeColor="text1" w:themeTint="BF"/>
    </w:rPr>
  </w:style>
  <w:style w:type="paragraph" w:styleId="ListParagraph">
    <w:name w:val="List Paragraph"/>
    <w:basedOn w:val="Normal"/>
    <w:uiPriority w:val="34"/>
    <w:qFormat/>
    <w:rsid w:val="00EC3E60"/>
    <w:pPr>
      <w:ind w:left="720"/>
      <w:contextualSpacing/>
    </w:pPr>
    <w:rPr>
      <w:rFonts w:ascii="Calibri" w:hAnsi="Calibri"/>
      <w:color w:val="000000"/>
    </w:rPr>
  </w:style>
  <w:style w:type="character" w:styleId="IntenseEmphasis">
    <w:name w:val="Intense Emphasis"/>
    <w:basedOn w:val="DefaultParagraphFont"/>
    <w:uiPriority w:val="21"/>
    <w:qFormat/>
    <w:rsid w:val="00EC3E60"/>
    <w:rPr>
      <w:i/>
      <w:iCs/>
      <w:color w:val="0F4761" w:themeColor="accent1" w:themeShade="BF"/>
    </w:rPr>
  </w:style>
  <w:style w:type="paragraph" w:styleId="IntenseQuote">
    <w:name w:val="Intense Quote"/>
    <w:basedOn w:val="Normal"/>
    <w:next w:val="Normal"/>
    <w:link w:val="IntenseQuoteChar"/>
    <w:uiPriority w:val="30"/>
    <w:qFormat/>
    <w:rsid w:val="00EC3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E60"/>
    <w:rPr>
      <w:i/>
      <w:iCs/>
      <w:color w:val="0F4761" w:themeColor="accent1" w:themeShade="BF"/>
    </w:rPr>
  </w:style>
  <w:style w:type="character" w:styleId="IntenseReference">
    <w:name w:val="Intense Reference"/>
    <w:basedOn w:val="DefaultParagraphFont"/>
    <w:uiPriority w:val="32"/>
    <w:qFormat/>
    <w:rsid w:val="00EC3E60"/>
    <w:rPr>
      <w:b/>
      <w:bCs/>
      <w:smallCaps/>
      <w:color w:val="0F4761" w:themeColor="accent1" w:themeShade="BF"/>
      <w:spacing w:val="5"/>
    </w:rPr>
  </w:style>
  <w:style w:type="paragraph" w:styleId="NormalWeb">
    <w:name w:val="Normal (Web)"/>
    <w:basedOn w:val="Normal"/>
    <w:uiPriority w:val="99"/>
    <w:semiHidden/>
    <w:unhideWhenUsed/>
    <w:rsid w:val="00911D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11D0E"/>
    <w:rPr>
      <w:b/>
      <w:bCs/>
    </w:rPr>
  </w:style>
  <w:style w:type="character" w:styleId="Emphasis">
    <w:name w:val="Emphasis"/>
    <w:basedOn w:val="DefaultParagraphFont"/>
    <w:uiPriority w:val="20"/>
    <w:qFormat/>
    <w:rsid w:val="00911D0E"/>
    <w:rPr>
      <w:i/>
      <w:iCs/>
    </w:rPr>
  </w:style>
  <w:style w:type="table" w:styleId="TableGrid">
    <w:name w:val="Table Grid"/>
    <w:basedOn w:val="TableNormal"/>
    <w:uiPriority w:val="39"/>
    <w:rsid w:val="002A215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A215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A2151"/>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2A2151"/>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A2151"/>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5768B"/>
    <w:pPr>
      <w:tabs>
        <w:tab w:val="center" w:pos="4680"/>
        <w:tab w:val="right" w:pos="9360"/>
      </w:tabs>
      <w:spacing w:line="240" w:lineRule="auto"/>
    </w:pPr>
  </w:style>
  <w:style w:type="character" w:customStyle="1" w:styleId="HeaderChar">
    <w:name w:val="Header Char"/>
    <w:basedOn w:val="DefaultParagraphFont"/>
    <w:link w:val="Header"/>
    <w:uiPriority w:val="99"/>
    <w:rsid w:val="0015768B"/>
  </w:style>
  <w:style w:type="paragraph" w:styleId="Footer">
    <w:name w:val="footer"/>
    <w:basedOn w:val="Normal"/>
    <w:link w:val="FooterChar"/>
    <w:uiPriority w:val="99"/>
    <w:unhideWhenUsed/>
    <w:rsid w:val="0015768B"/>
    <w:pPr>
      <w:tabs>
        <w:tab w:val="center" w:pos="4680"/>
        <w:tab w:val="right" w:pos="9360"/>
      </w:tabs>
      <w:spacing w:line="240" w:lineRule="auto"/>
    </w:pPr>
  </w:style>
  <w:style w:type="character" w:customStyle="1" w:styleId="FooterChar">
    <w:name w:val="Footer Char"/>
    <w:basedOn w:val="DefaultParagraphFont"/>
    <w:link w:val="Footer"/>
    <w:uiPriority w:val="99"/>
    <w:rsid w:val="0015768B"/>
  </w:style>
  <w:style w:type="character" w:styleId="SubtleEmphasis">
    <w:name w:val="Subtle Emphasis"/>
    <w:basedOn w:val="DefaultParagraphFont"/>
    <w:uiPriority w:val="19"/>
    <w:qFormat/>
    <w:rsid w:val="00391A9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1</Pages>
  <Words>1868</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 Kameran Jalil</dc:creator>
  <cp:keywords/>
  <dc:description/>
  <cp:lastModifiedBy>Naz Kameran Jalil</cp:lastModifiedBy>
  <cp:revision>15</cp:revision>
  <dcterms:created xsi:type="dcterms:W3CDTF">2026-10-18T09:18:00Z</dcterms:created>
  <dcterms:modified xsi:type="dcterms:W3CDTF">2026-10-18T15:29:00Z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1f3d0a336a9fc9683ead9a82aea91dbaffa439131056e4459061074013aa2155</vt:lpwstr>
  </property>
</Properties>
</file>