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7365D"/>
          <w:sz w:val="52"/>
          <w:szCs w:val="52"/>
        </w:rPr>
        <w:t xml:space="preserve">TENDER SUBMISSION</w:t>
      </w:r>
    </w:p>
    <w:p>
      <w:pPr>
        <w:spacing w:after="20"/>
      </w:pPr>
      <w:r>
        <w:rPr>
          <w:b/>
          <w:bCs/>
          <w:color w:val="1E1E1E"/>
          <w:sz w:val="28"/>
          <w:szCs w:val="28"/>
        </w:rPr>
        <w:t xml:space="preserve">Rockhampton Sports Precinct — Stage 1</w:t>
      </w:r>
    </w:p>
    <w:p>
      <w:pPr>
        <w:spacing w:after="20"/>
      </w:pPr>
      <w:r>
        <w:rPr>
          <w:color w:val="1E1E1E"/>
          <w:sz w:val="21"/>
          <w:szCs w:val="21"/>
        </w:rPr>
        <w:t xml:space="preserve">Stage 1A "A Home for Netball"  &amp;  Stage 1B "Recreational Park and Public Amenities"</w:t>
      </w:r>
    </w:p>
    <w:p>
      <w:pPr>
        <w:spacing w:after="160"/>
      </w:pPr>
      <w:r>
        <w:rPr>
          <w:b/>
          <w:bCs/>
          <w:color w:val="1F4E79"/>
          <w:sz w:val="26"/>
          <w:szCs w:val="26"/>
        </w:rPr>
        <w:t xml:space="preserve">Hydraulic Services</w:t>
      </w:r>
    </w:p>
    <w:tbl>
      <w:tblPr>
        <w:tblW w:type="dxa" w:w="10368"/>
        <w:tblBorders>
          <w:top w:val="single" w:color="BFBFBF" w:sz="4"/>
          <w:left w:val="single" w:color="BFBFBF" w:sz="4"/>
          <w:bottom w:val="single" w:color="BFBFBF" w:sz="4"/>
          <w:right w:val="single" w:color="BFBFBF" w:sz="4"/>
          <w:insideH w:val="single" w:color="BFBFBF" w:sz="4"/>
          <w:insideV w:val="single" w:color="BFBFBF" w:sz="4"/>
        </w:tblBorders>
      </w:tblPr>
      <w:tblGrid>
        <w:gridCol w:w="1450"/>
        <w:gridCol w:w="3734"/>
        <w:gridCol w:w="1450"/>
        <w:gridCol w:w="3734"/>
      </w:tblGrid>
      <w:tr>
        <w:trPr>
          <w:cantSplit/>
          <w:tblHeader/>
        </w:trPr>
        <w:tc>
          <w:tcPr>
            <w:tcW w:type="dxa" w:w="1450"/>
            <w:shd w:fill="DEEAF6" w:color="auto" w:val="clear"/>
            <w:tcMar>
              <w:top w:type="dxa" w:w="50"/>
              <w:left w:type="dxa" w:w="90"/>
              <w:bottom w:type="dxa" w:w="50"/>
              <w:right w:type="dxa" w:w="90"/>
            </w:tcMar>
            <w:vAlign w:val="top"/>
          </w:tcPr>
          <w:p>
            <w:pPr>
              <w:spacing w:after="20"/>
            </w:pPr>
            <w:r>
              <w:rPr>
                <w:b/>
                <w:bCs/>
                <w:color w:val="1F4E79"/>
              </w:rPr>
              <w:t xml:space="preserve">Date</w:t>
            </w:r>
          </w:p>
        </w:tc>
        <w:tc>
          <w:tcPr>
            <w:tcW w:type="dxa" w:w="3734"/>
            <w:tcMar>
              <w:top w:type="dxa" w:w="50"/>
              <w:left w:type="dxa" w:w="90"/>
              <w:bottom w:type="dxa" w:w="50"/>
              <w:right w:type="dxa" w:w="90"/>
            </w:tcMar>
            <w:vAlign w:val="top"/>
          </w:tcPr>
          <w:p>
            <w:pPr>
              <w:spacing w:after="20"/>
            </w:pPr>
            <w:r>
              <w:t xml:space="preserve">Friday 24 July, 2026</w:t>
            </w:r>
          </w:p>
        </w:tc>
        <w:tc>
          <w:tcPr>
            <w:tcW w:type="dxa" w:w="1450"/>
            <w:shd w:fill="DEEAF6" w:color="auto" w:val="clear"/>
            <w:tcMar>
              <w:top w:type="dxa" w:w="50"/>
              <w:left w:type="dxa" w:w="90"/>
              <w:bottom w:type="dxa" w:w="50"/>
              <w:right w:type="dxa" w:w="90"/>
            </w:tcMar>
            <w:vAlign w:val="top"/>
          </w:tcPr>
          <w:p>
            <w:pPr>
              <w:spacing w:after="20"/>
            </w:pPr>
            <w:r>
              <w:rPr>
                <w:b/>
                <w:bCs/>
                <w:color w:val="1F4E79"/>
              </w:rPr>
              <w:t xml:space="preserve">Reference</w:t>
            </w:r>
          </w:p>
        </w:tc>
        <w:tc>
          <w:tcPr>
            <w:tcW w:type="dxa" w:w="3734"/>
            <w:tcMar>
              <w:top w:type="dxa" w:w="50"/>
              <w:left w:type="dxa" w:w="90"/>
              <w:bottom w:type="dxa" w:w="50"/>
              <w:right w:type="dxa" w:w="90"/>
            </w:tcMar>
            <w:vAlign w:val="top"/>
          </w:tcPr>
          <w:p>
            <w:pPr>
              <w:spacing w:after="20"/>
            </w:pPr>
            <w:r>
              <w:t xml:space="preserve">TPS-TEN16699</w:t>
            </w:r>
          </w:p>
        </w:tc>
      </w:tr>
      <w:tr>
        <w:trPr>
          <w:cantSplit/>
          <w:tblHeader w:val="false"/>
        </w:trPr>
        <w:tc>
          <w:tcPr>
            <w:tcW w:type="dxa" w:w="1450"/>
            <w:shd w:fill="DEEAF6" w:color="auto" w:val="clear"/>
            <w:tcMar>
              <w:top w:type="dxa" w:w="50"/>
              <w:left w:type="dxa" w:w="90"/>
              <w:bottom w:type="dxa" w:w="50"/>
              <w:right w:type="dxa" w:w="90"/>
            </w:tcMar>
            <w:vAlign w:val="top"/>
          </w:tcPr>
          <w:p>
            <w:pPr>
              <w:spacing w:after="20"/>
            </w:pPr>
            <w:r>
              <w:rPr>
                <w:b/>
                <w:bCs/>
                <w:color w:val="1F4E79"/>
              </w:rPr>
              <w:t xml:space="preserve">Prepared For</w:t>
            </w:r>
          </w:p>
        </w:tc>
        <w:tc>
          <w:tcPr>
            <w:tcW w:type="dxa" w:w="3734"/>
            <w:tcMar>
              <w:top w:type="dxa" w:w="50"/>
              <w:left w:type="dxa" w:w="90"/>
              <w:bottom w:type="dxa" w:w="50"/>
              <w:right w:type="dxa" w:w="90"/>
            </w:tcMar>
            <w:vAlign w:val="top"/>
          </w:tcPr>
          <w:p>
            <w:pPr>
              <w:spacing w:after="20"/>
            </w:pPr>
            <w:r>
              <w:t xml:space="preserve">Tenderer</w:t>
            </w:r>
          </w:p>
        </w:tc>
        <w:tc>
          <w:tcPr>
            <w:tcW w:type="dxa" w:w="1450"/>
            <w:shd w:fill="DEEAF6" w:color="auto" w:val="clear"/>
            <w:tcMar>
              <w:top w:type="dxa" w:w="50"/>
              <w:left w:type="dxa" w:w="90"/>
              <w:bottom w:type="dxa" w:w="50"/>
              <w:right w:type="dxa" w:w="90"/>
            </w:tcMar>
            <w:vAlign w:val="top"/>
          </w:tcPr>
          <w:p>
            <w:pPr>
              <w:spacing w:after="20"/>
            </w:pPr>
            <w:r>
              <w:rPr>
                <w:b/>
                <w:bCs/>
                <w:color w:val="1F4E79"/>
              </w:rPr>
              <w:t xml:space="preserve">Attention</w:t>
            </w:r>
          </w:p>
        </w:tc>
        <w:tc>
          <w:tcPr>
            <w:tcW w:type="dxa" w:w="3734"/>
            <w:tcMar>
              <w:top w:type="dxa" w:w="50"/>
              <w:left w:type="dxa" w:w="90"/>
              <w:bottom w:type="dxa" w:w="50"/>
              <w:right w:type="dxa" w:w="90"/>
            </w:tcMar>
            <w:vAlign w:val="top"/>
          </w:tcPr>
          <w:p>
            <w:pPr>
              <w:spacing w:after="20"/>
            </w:pPr>
            <w:r>
              <w:t xml:space="preserve">Estimator</w:t>
            </w:r>
          </w:p>
        </w:tc>
      </w:tr>
      <w:tr>
        <w:trPr>
          <w:cantSplit/>
          <w:tblHeader w:val="false"/>
        </w:trPr>
        <w:tc>
          <w:tcPr>
            <w:tcW w:type="dxa" w:w="1450"/>
            <w:shd w:fill="DEEAF6" w:color="auto" w:val="clear"/>
            <w:tcMar>
              <w:top w:type="dxa" w:w="50"/>
              <w:left w:type="dxa" w:w="90"/>
              <w:bottom w:type="dxa" w:w="50"/>
              <w:right w:type="dxa" w:w="90"/>
            </w:tcMar>
            <w:vAlign w:val="top"/>
          </w:tcPr>
          <w:p>
            <w:pPr>
              <w:spacing w:after="20"/>
            </w:pPr>
            <w:r>
              <w:rPr>
                <w:b/>
                <w:bCs/>
                <w:color w:val="1F4E79"/>
              </w:rPr>
              <w:t xml:space="preserve">Project</w:t>
            </w:r>
          </w:p>
        </w:tc>
        <w:tc>
          <w:tcPr>
            <w:tcW w:type="dxa" w:w="3734"/>
            <w:tcMar>
              <w:top w:type="dxa" w:w="50"/>
              <w:left w:type="dxa" w:w="90"/>
              <w:bottom w:type="dxa" w:w="50"/>
              <w:right w:type="dxa" w:w="90"/>
            </w:tcMar>
            <w:vAlign w:val="top"/>
          </w:tcPr>
          <w:p>
            <w:pPr>
              <w:spacing w:after="20"/>
            </w:pPr>
            <w:r>
              <w:t xml:space="preserve">Rockhampton Sports Precinct Stage 1A "A Home for Netball" &amp; Stage 1B "Recreational Park and Public Amenities" — Tender TEN16699. Principal: Rockhampton Regional Council.</w:t>
            </w:r>
          </w:p>
        </w:tc>
        <w:tc>
          <w:tcPr>
            <w:tcW w:type="dxa" w:w="1450"/>
            <w:shd w:fill="DEEAF6" w:color="auto" w:val="clear"/>
            <w:tcMar>
              <w:top w:type="dxa" w:w="50"/>
              <w:left w:type="dxa" w:w="90"/>
              <w:bottom w:type="dxa" w:w="50"/>
              <w:right w:type="dxa" w:w="90"/>
            </w:tcMar>
            <w:vAlign w:val="top"/>
          </w:tcPr>
          <w:p>
            <w:pPr>
              <w:spacing w:after="20"/>
            </w:pPr>
            <w:r>
              <w:rPr>
                <w:b/>
                <w:bCs/>
                <w:color w:val="1F4E79"/>
              </w:rPr>
              <w:t xml:space="preserve">Site Address</w:t>
            </w:r>
          </w:p>
        </w:tc>
        <w:tc>
          <w:tcPr>
            <w:tcW w:type="dxa" w:w="3734"/>
            <w:tcMar>
              <w:top w:type="dxa" w:w="50"/>
              <w:left w:type="dxa" w:w="90"/>
              <w:bottom w:type="dxa" w:w="50"/>
              <w:right w:type="dxa" w:w="90"/>
            </w:tcMar>
            <w:vAlign w:val="top"/>
          </w:tcPr>
          <w:p>
            <w:pPr>
              <w:spacing w:after="20"/>
            </w:pPr>
            <w:r>
              <w:t xml:space="preserve">554-700 Yaamba Road, Norman Gardens QLD 4701</w:t>
            </w:r>
          </w:p>
        </w:tc>
      </w:tr>
      <w:tr>
        <w:trPr>
          <w:cantSplit/>
          <w:tblHeader w:val="false"/>
        </w:trPr>
        <w:tc>
          <w:tcPr>
            <w:tcW w:type="dxa" w:w="1450"/>
            <w:shd w:fill="DEEAF6" w:color="auto" w:val="clear"/>
            <w:tcMar>
              <w:top w:type="dxa" w:w="50"/>
              <w:left w:type="dxa" w:w="90"/>
              <w:bottom w:type="dxa" w:w="50"/>
              <w:right w:type="dxa" w:w="90"/>
            </w:tcMar>
            <w:vAlign w:val="top"/>
          </w:tcPr>
          <w:p>
            <w:pPr>
              <w:spacing w:after="20"/>
            </w:pPr>
            <w:r>
              <w:rPr>
                <w:b/>
                <w:bCs/>
                <w:color w:val="1F4E79"/>
              </w:rPr>
              <w:t xml:space="preserve">Tender Basis</w:t>
            </w:r>
          </w:p>
        </w:tc>
        <w:tc>
          <w:tcPr>
            <w:tcW w:type="dxa" w:w="3734"/>
            <w:tcMar>
              <w:top w:type="dxa" w:w="50"/>
              <w:left w:type="dxa" w:w="90"/>
              <w:bottom w:type="dxa" w:w="50"/>
              <w:right w:type="dxa" w:w="90"/>
            </w:tcMar>
            <w:vAlign w:val="top"/>
          </w:tcPr>
          <w:p>
            <w:pPr>
              <w:spacing w:after="20"/>
            </w:pPr>
            <w:r>
              <w:t xml:space="preserve">Lump Sum construct-only — subject to clarifications herein</w:t>
            </w:r>
          </w:p>
        </w:tc>
        <w:tc>
          <w:tcPr>
            <w:tcW w:type="dxa" w:w="1450"/>
            <w:shd w:fill="DEEAF6" w:color="auto" w:val="clear"/>
            <w:tcMar>
              <w:top w:type="dxa" w:w="50"/>
              <w:left w:type="dxa" w:w="90"/>
              <w:bottom w:type="dxa" w:w="50"/>
              <w:right w:type="dxa" w:w="90"/>
            </w:tcMar>
            <w:vAlign w:val="top"/>
          </w:tcPr>
          <w:p>
            <w:pPr>
              <w:spacing w:after="20"/>
            </w:pPr>
            <w:r>
              <w:rPr>
                <w:b/>
                <w:bCs/>
                <w:color w:val="1F4E79"/>
              </w:rPr>
              <w:t xml:space="preserve">Validity</w:t>
            </w:r>
          </w:p>
        </w:tc>
        <w:tc>
          <w:tcPr>
            <w:tcW w:type="dxa" w:w="3734"/>
            <w:tcMar>
              <w:top w:type="dxa" w:w="50"/>
              <w:left w:type="dxa" w:w="90"/>
              <w:bottom w:type="dxa" w:w="50"/>
              <w:right w:type="dxa" w:w="90"/>
            </w:tcMar>
            <w:vAlign w:val="top"/>
          </w:tcPr>
          <w:p>
            <w:pPr>
              <w:spacing w:after="20"/>
            </w:pPr>
            <w:r>
              <w:t xml:space="preserve">60 days from submission date</w:t>
            </w:r>
          </w:p>
        </w:tc>
      </w:tr>
      <w:tr>
        <w:trPr>
          <w:cantSplit/>
          <w:tblHeader w:val="false"/>
        </w:trPr>
        <w:tc>
          <w:tcPr>
            <w:tcW w:type="dxa" w:w="1450"/>
            <w:shd w:fill="DEEAF6" w:color="auto" w:val="clear"/>
            <w:tcMar>
              <w:top w:type="dxa" w:w="50"/>
              <w:left w:type="dxa" w:w="90"/>
              <w:bottom w:type="dxa" w:w="50"/>
              <w:right w:type="dxa" w:w="90"/>
            </w:tcMar>
            <w:vAlign w:val="top"/>
          </w:tcPr>
          <w:p>
            <w:pPr>
              <w:spacing w:after="20"/>
            </w:pPr>
            <w:r>
              <w:rPr>
                <w:b/>
                <w:bCs/>
                <w:color w:val="1F4E79"/>
              </w:rPr>
              <w:t xml:space="preserve">Submission Type</w:t>
            </w:r>
          </w:p>
        </w:tc>
        <w:tc>
          <w:tcPr>
            <w:tcW w:type="dxa" w:w="3734"/>
            <w:tcMar>
              <w:top w:type="dxa" w:w="50"/>
              <w:left w:type="dxa" w:w="90"/>
              <w:bottom w:type="dxa" w:w="50"/>
              <w:right w:type="dxa" w:w="90"/>
            </w:tcMar>
            <w:vAlign w:val="top"/>
          </w:tcPr>
          <w:p>
            <w:pPr>
              <w:spacing w:after="20"/>
            </w:pPr>
            <w:r>
              <w:t xml:space="preserve">Hydraulic Services Tender Submission — Stages 1A &amp; 1B</w:t>
            </w:r>
          </w:p>
        </w:tc>
        <w:tc>
          <w:tcPr>
            <w:tcW w:type="dxa" w:w="1450"/>
            <w:shd w:fill="DEEAF6" w:color="auto" w:val="clear"/>
            <w:tcMar>
              <w:top w:type="dxa" w:w="50"/>
              <w:left w:type="dxa" w:w="90"/>
              <w:bottom w:type="dxa" w:w="50"/>
              <w:right w:type="dxa" w:w="90"/>
            </w:tcMar>
            <w:vAlign w:val="top"/>
          </w:tcPr>
          <w:p>
            <w:pPr>
              <w:spacing w:after="20"/>
            </w:pPr>
            <w:r>
              <w:rPr>
                <w:b/>
                <w:bCs/>
                <w:color w:val="1F4E79"/>
              </w:rPr>
              <w:t xml:space="preserve">Submitted By</w:t>
            </w:r>
          </w:p>
        </w:tc>
        <w:tc>
          <w:tcPr>
            <w:tcW w:type="dxa" w:w="3734"/>
            <w:tcMar>
              <w:top w:type="dxa" w:w="50"/>
              <w:left w:type="dxa" w:w="90"/>
              <w:bottom w:type="dxa" w:w="50"/>
              <w:right w:type="dxa" w:w="90"/>
            </w:tcMar>
            <w:vAlign w:val="top"/>
          </w:tcPr>
          <w:p>
            <w:pPr>
              <w:spacing w:after="20"/>
            </w:pPr>
            <w:r>
              <w:t xml:space="preserve">TriCore Plumbing Services Pty Ltd — ABN 91 620 147 935 · QBCC 15100514</w:t>
            </w:r>
          </w:p>
        </w:tc>
      </w:tr>
    </w:tbl>
    <w:p>
      <w:pPr>
        <w:spacing w:after="60"/>
      </w:pPr>
      <w:r>
        <w:t xml:space="preserve"/>
      </w:r>
    </w:p>
    <w:p>
      <w:pPr>
        <w:spacing w:after="100"/>
      </w:pPr>
      <w:r>
        <w:t xml:space="preserve">Dear Tenderer,</w:t>
      </w:r>
    </w:p>
    <w:p>
      <w:pPr>
        <w:spacing w:after="100"/>
      </w:pPr>
      <w:r>
        <w:t xml:space="preserve">Please find enclosed our tender submission for the hydraulic services package for the above project. This submission is made by </w:t>
      </w:r>
      <w:r>
        <w:rPr>
          <w:b/>
          <w:bCs/>
        </w:rPr>
        <w:t xml:space="preserve">TriCore Plumbing Services Pty Ltd (ABN 91 620 147 935 · QBCC 15100514)</w:t>
      </w:r>
      <w:r>
        <w:t xml:space="preserve">, PO Box 103 Rockhampton QLD 4700, with Brisbane support office at Hemmant QLD 4174. It is based on receipt and review of the issued tender documentation for TEN16699 listed herein, and works are priced strictly in accordance with the current design details and measurable documentation. Stage 1A and Stage 1B are priced as standalone tenders; each remains viable and capable of award alone.</w:t>
      </w:r>
    </w:p>
    <w:p>
      <w:pPr>
        <w:pStyle w:val="Heading1"/>
        <w:keepNext/>
      </w:pPr>
      <w:r>
        <w:t xml:space="preserve">Tender Value</w:t>
      </w:r>
    </w:p>
    <w:tbl>
      <w:tblPr>
        <w:tblW w:type="dxa" w:w="10368"/>
        <w:tblBorders>
          <w:top w:val="single" w:color="BFBFBF" w:sz="4"/>
          <w:left w:val="single" w:color="BFBFBF" w:sz="4"/>
          <w:bottom w:val="single" w:color="BFBFBF" w:sz="4"/>
          <w:right w:val="single" w:color="BFBFBF" w:sz="4"/>
          <w:insideH w:val="single" w:color="BFBFBF" w:sz="4"/>
          <w:insideV w:val="single" w:color="BFBFBF" w:sz="4"/>
        </w:tblBorders>
      </w:tblPr>
      <w:tblGrid>
        <w:gridCol w:w="5568"/>
        <w:gridCol w:w="2300"/>
        <w:gridCol w:w="2500"/>
      </w:tblGrid>
      <w:tr>
        <w:trPr>
          <w:cantSplit/>
          <w:tblHeader/>
        </w:trPr>
        <w:tc>
          <w:tcPr>
            <w:tcW w:type="dxa" w:w="5568"/>
            <w:shd w:fill="DEEAF6" w:color="auto" w:val="clear"/>
            <w:tcMar>
              <w:top w:type="dxa" w:w="50"/>
              <w:left w:type="dxa" w:w="90"/>
              <w:bottom w:type="dxa" w:w="50"/>
              <w:right w:type="dxa" w:w="90"/>
            </w:tcMar>
            <w:vAlign w:val="top"/>
          </w:tcPr>
          <w:p>
            <w:pPr>
              <w:spacing w:after="20"/>
            </w:pPr>
            <w:r>
              <w:rPr>
                <w:b/>
                <w:bCs/>
                <w:color w:val="1F4E79"/>
              </w:rPr>
              <w:t xml:space="preserve">Description</w:t>
            </w:r>
          </w:p>
        </w:tc>
        <w:tc>
          <w:tcPr>
            <w:tcW w:type="dxa" w:w="2300"/>
            <w:shd w:fill="DEEAF6" w:color="auto" w:val="clear"/>
            <w:tcMar>
              <w:top w:type="dxa" w:w="50"/>
              <w:left w:type="dxa" w:w="90"/>
              <w:bottom w:type="dxa" w:w="50"/>
              <w:right w:type="dxa" w:w="90"/>
            </w:tcMar>
            <w:vAlign w:val="top"/>
          </w:tcPr>
          <w:p>
            <w:pPr>
              <w:spacing w:after="20"/>
            </w:pPr>
            <w:r>
              <w:rPr>
                <w:b/>
                <w:bCs/>
                <w:color w:val="1F4E79"/>
              </w:rPr>
              <w:t xml:space="preserve">Basis</w:t>
            </w:r>
          </w:p>
        </w:tc>
        <w:tc>
          <w:tcPr>
            <w:tcW w:type="dxa" w:w="2500"/>
            <w:shd w:fill="DEEAF6" w:color="auto" w:val="clear"/>
            <w:tcMar>
              <w:top w:type="dxa" w:w="50"/>
              <w:left w:type="dxa" w:w="90"/>
              <w:bottom w:type="dxa" w:w="50"/>
              <w:right w:type="dxa" w:w="90"/>
            </w:tcMar>
            <w:vAlign w:val="top"/>
          </w:tcPr>
          <w:p>
            <w:pPr>
              <w:spacing w:after="20"/>
            </w:pPr>
            <w:r>
              <w:rPr>
                <w:b/>
                <w:bCs/>
                <w:color w:val="1F4E79"/>
              </w:rPr>
              <w:t xml:space="preserve">Amount</w:t>
            </w:r>
          </w:p>
        </w:tc>
      </w:tr>
      <w:tr>
        <w:trPr>
          <w:cantSplit/>
          <w:tblHeader w:val="false"/>
        </w:trPr>
        <w:tc>
          <w:tcPr>
            <w:tcW w:type="dxa" w:w="5568"/>
            <w:tcMar>
              <w:top w:type="dxa" w:w="50"/>
              <w:left w:type="dxa" w:w="90"/>
              <w:bottom w:type="dxa" w:w="50"/>
              <w:right w:type="dxa" w:w="90"/>
            </w:tcMar>
            <w:vAlign w:val="top"/>
          </w:tcPr>
          <w:p>
            <w:pPr>
              <w:spacing w:after="20"/>
            </w:pPr>
            <w:r>
              <w:t xml:space="preserve">Stage 1A "A Home for Netball" — hydraulic services works</w:t>
            </w:r>
          </w:p>
        </w:tc>
        <w:tc>
          <w:tcPr>
            <w:tcW w:type="dxa" w:w="2300"/>
            <w:tcMar>
              <w:top w:type="dxa" w:w="50"/>
              <w:left w:type="dxa" w:w="90"/>
              <w:bottom w:type="dxa" w:w="50"/>
              <w:right w:type="dxa" w:w="90"/>
            </w:tcMar>
            <w:vAlign w:val="top"/>
          </w:tcPr>
          <w:p>
            <w:pPr>
              <w:spacing w:after="20"/>
            </w:pPr>
            <w:r>
              <w:t xml:space="preserve">Lump sum ex GST</w:t>
            </w:r>
          </w:p>
        </w:tc>
        <w:tc>
          <w:tcPr>
            <w:tcW w:type="dxa" w:w="2500"/>
            <w:tcMar>
              <w:top w:type="dxa" w:w="50"/>
              <w:left w:type="dxa" w:w="90"/>
              <w:bottom w:type="dxa" w:w="50"/>
              <w:right w:type="dxa" w:w="90"/>
            </w:tcMar>
            <w:vAlign w:val="top"/>
          </w:tcPr>
          <w:p>
            <w:pPr>
              <w:spacing w:after="20"/>
            </w:pPr>
            <w:r>
              <w:rPr>
                <w:b w:val="false"/>
                <w:bCs w:val="false"/>
              </w:rPr>
              <w:t xml:space="preserve">$1,490,620.98</w:t>
            </w:r>
          </w:p>
        </w:tc>
      </w:tr>
      <w:tr>
        <w:trPr>
          <w:cantSplit/>
          <w:tblHeader w:val="false"/>
        </w:trPr>
        <w:tc>
          <w:tcPr>
            <w:tcW w:type="dxa" w:w="5568"/>
            <w:tcMar>
              <w:top w:type="dxa" w:w="50"/>
              <w:left w:type="dxa" w:w="90"/>
              <w:bottom w:type="dxa" w:w="50"/>
              <w:right w:type="dxa" w:w="90"/>
            </w:tcMar>
            <w:vAlign w:val="top"/>
          </w:tcPr>
          <w:p>
            <w:pPr>
              <w:spacing w:after="20"/>
            </w:pPr>
            <w:r>
              <w:t xml:space="preserve">Stage 1A — PC Sums and provisional allowance (separately identified herein)</w:t>
            </w:r>
          </w:p>
        </w:tc>
        <w:tc>
          <w:tcPr>
            <w:tcW w:type="dxa" w:w="2300"/>
            <w:tcMar>
              <w:top w:type="dxa" w:w="50"/>
              <w:left w:type="dxa" w:w="90"/>
              <w:bottom w:type="dxa" w:w="50"/>
              <w:right w:type="dxa" w:w="90"/>
            </w:tcMar>
            <w:vAlign w:val="top"/>
          </w:tcPr>
          <w:p>
            <w:pPr>
              <w:spacing w:after="20"/>
            </w:pPr>
            <w:r>
              <w:t xml:space="preserve">Ex GST</w:t>
            </w:r>
          </w:p>
        </w:tc>
        <w:tc>
          <w:tcPr>
            <w:tcW w:type="dxa" w:w="2500"/>
            <w:tcMar>
              <w:top w:type="dxa" w:w="50"/>
              <w:left w:type="dxa" w:w="90"/>
              <w:bottom w:type="dxa" w:w="50"/>
              <w:right w:type="dxa" w:w="90"/>
            </w:tcMar>
            <w:vAlign w:val="top"/>
          </w:tcPr>
          <w:p>
            <w:pPr>
              <w:spacing w:after="20"/>
            </w:pPr>
            <w:r>
              <w:rPr>
                <w:b w:val="false"/>
                <w:bCs w:val="false"/>
              </w:rPr>
              <w:t xml:space="preserve">$252,683.84</w:t>
            </w:r>
          </w:p>
        </w:tc>
      </w:tr>
      <w:tr>
        <w:trPr>
          <w:cantSplit/>
          <w:tblHeader w:val="false"/>
        </w:trPr>
        <w:tc>
          <w:tcPr>
            <w:tcW w:type="dxa" w:w="5568"/>
            <w:shd w:fill="F2F7FC" w:color="auto" w:val="clear"/>
            <w:tcMar>
              <w:top w:type="dxa" w:w="50"/>
              <w:left w:type="dxa" w:w="90"/>
              <w:bottom w:type="dxa" w:w="50"/>
              <w:right w:type="dxa" w:w="90"/>
            </w:tcMar>
            <w:vAlign w:val="top"/>
          </w:tcPr>
          <w:p>
            <w:pPr>
              <w:spacing w:after="20"/>
            </w:pPr>
            <w:r>
              <w:rPr>
                <w:b/>
                <w:bCs/>
              </w:rPr>
              <w:t xml:space="preserve">Stage 1A Total</w:t>
            </w:r>
          </w:p>
        </w:tc>
        <w:tc>
          <w:tcPr>
            <w:tcW w:type="dxa" w:w="2300"/>
            <w:shd w:fill="F2F7FC" w:color="auto" w:val="clear"/>
            <w:tcMar>
              <w:top w:type="dxa" w:w="50"/>
              <w:left w:type="dxa" w:w="90"/>
              <w:bottom w:type="dxa" w:w="50"/>
              <w:right w:type="dxa" w:w="90"/>
            </w:tcMar>
            <w:vAlign w:val="top"/>
          </w:tcPr>
          <w:p>
            <w:pPr>
              <w:spacing w:after="20"/>
            </w:pPr>
            <w:r>
              <w:rPr>
                <w:b/>
                <w:bCs/>
              </w:rPr>
              <w:t xml:space="preserve">Ex GST</w:t>
            </w:r>
          </w:p>
        </w:tc>
        <w:tc>
          <w:tcPr>
            <w:tcW w:type="dxa" w:w="2500"/>
            <w:shd w:fill="F2F7FC" w:color="auto" w:val="clear"/>
            <w:tcMar>
              <w:top w:type="dxa" w:w="50"/>
              <w:left w:type="dxa" w:w="90"/>
              <w:bottom w:type="dxa" w:w="50"/>
              <w:right w:type="dxa" w:w="90"/>
            </w:tcMar>
            <w:vAlign w:val="top"/>
          </w:tcPr>
          <w:p>
            <w:pPr>
              <w:spacing w:after="20"/>
            </w:pPr>
            <w:r>
              <w:rPr>
                <w:b/>
                <w:bCs/>
              </w:rPr>
              <w:t xml:space="preserve">$1,743,304.82</w:t>
            </w:r>
          </w:p>
        </w:tc>
      </w:tr>
      <w:tr>
        <w:trPr>
          <w:cantSplit/>
          <w:tblHeader w:val="false"/>
        </w:trPr>
        <w:tc>
          <w:tcPr>
            <w:tcW w:type="dxa" w:w="5568"/>
            <w:tcMar>
              <w:top w:type="dxa" w:w="50"/>
              <w:left w:type="dxa" w:w="90"/>
              <w:bottom w:type="dxa" w:w="50"/>
              <w:right w:type="dxa" w:w="90"/>
            </w:tcMar>
            <w:vAlign w:val="top"/>
          </w:tcPr>
          <w:p>
            <w:pPr>
              <w:spacing w:after="20"/>
            </w:pPr>
            <w:r>
              <w:t xml:space="preserve">Stage 1B "Recreational Park and Public Amenities" — hydraulic services works</w:t>
            </w:r>
          </w:p>
        </w:tc>
        <w:tc>
          <w:tcPr>
            <w:tcW w:type="dxa" w:w="2300"/>
            <w:tcMar>
              <w:top w:type="dxa" w:w="50"/>
              <w:left w:type="dxa" w:w="90"/>
              <w:bottom w:type="dxa" w:w="50"/>
              <w:right w:type="dxa" w:w="90"/>
            </w:tcMar>
            <w:vAlign w:val="top"/>
          </w:tcPr>
          <w:p>
            <w:pPr>
              <w:spacing w:after="20"/>
            </w:pPr>
            <w:r>
              <w:t xml:space="preserve">Lump sum ex GST</w:t>
            </w:r>
          </w:p>
        </w:tc>
        <w:tc>
          <w:tcPr>
            <w:tcW w:type="dxa" w:w="2500"/>
            <w:tcMar>
              <w:top w:type="dxa" w:w="50"/>
              <w:left w:type="dxa" w:w="90"/>
              <w:bottom w:type="dxa" w:w="50"/>
              <w:right w:type="dxa" w:w="90"/>
            </w:tcMar>
            <w:vAlign w:val="top"/>
          </w:tcPr>
          <w:p>
            <w:pPr>
              <w:spacing w:after="20"/>
            </w:pPr>
            <w:r>
              <w:rPr>
                <w:b w:val="false"/>
                <w:bCs w:val="false"/>
              </w:rPr>
              <w:t xml:space="preserve">$179,559.36</w:t>
            </w:r>
          </w:p>
        </w:tc>
      </w:tr>
      <w:tr>
        <w:trPr>
          <w:cantSplit/>
          <w:tblHeader w:val="false"/>
        </w:trPr>
        <w:tc>
          <w:tcPr>
            <w:tcW w:type="dxa" w:w="5568"/>
            <w:tcMar>
              <w:top w:type="dxa" w:w="50"/>
              <w:left w:type="dxa" w:w="90"/>
              <w:bottom w:type="dxa" w:w="50"/>
              <w:right w:type="dxa" w:w="90"/>
            </w:tcMar>
            <w:vAlign w:val="top"/>
          </w:tcPr>
          <w:p>
            <w:pPr>
              <w:spacing w:after="20"/>
            </w:pPr>
            <w:r>
              <w:t xml:space="preserve">Stage 1B — PC Sums and provisional allowance (separately identified herein)</w:t>
            </w:r>
          </w:p>
        </w:tc>
        <w:tc>
          <w:tcPr>
            <w:tcW w:type="dxa" w:w="2300"/>
            <w:tcMar>
              <w:top w:type="dxa" w:w="50"/>
              <w:left w:type="dxa" w:w="90"/>
              <w:bottom w:type="dxa" w:w="50"/>
              <w:right w:type="dxa" w:w="90"/>
            </w:tcMar>
            <w:vAlign w:val="top"/>
          </w:tcPr>
          <w:p>
            <w:pPr>
              <w:spacing w:after="20"/>
            </w:pPr>
            <w:r>
              <w:t xml:space="preserve">Ex GST</w:t>
            </w:r>
          </w:p>
        </w:tc>
        <w:tc>
          <w:tcPr>
            <w:tcW w:type="dxa" w:w="2500"/>
            <w:tcMar>
              <w:top w:type="dxa" w:w="50"/>
              <w:left w:type="dxa" w:w="90"/>
              <w:bottom w:type="dxa" w:w="50"/>
              <w:right w:type="dxa" w:w="90"/>
            </w:tcMar>
            <w:vAlign w:val="top"/>
          </w:tcPr>
          <w:p>
            <w:pPr>
              <w:spacing w:after="20"/>
            </w:pPr>
            <w:r>
              <w:rPr>
                <w:b w:val="false"/>
                <w:bCs w:val="false"/>
              </w:rPr>
              <w:t xml:space="preserve">$86,930.00</w:t>
            </w:r>
          </w:p>
        </w:tc>
      </w:tr>
      <w:tr>
        <w:trPr>
          <w:cantSplit/>
          <w:tblHeader w:val="false"/>
        </w:trPr>
        <w:tc>
          <w:tcPr>
            <w:tcW w:type="dxa" w:w="5568"/>
            <w:shd w:fill="F2F7FC" w:color="auto" w:val="clear"/>
            <w:tcMar>
              <w:top w:type="dxa" w:w="50"/>
              <w:left w:type="dxa" w:w="90"/>
              <w:bottom w:type="dxa" w:w="50"/>
              <w:right w:type="dxa" w:w="90"/>
            </w:tcMar>
            <w:vAlign w:val="top"/>
          </w:tcPr>
          <w:p>
            <w:pPr>
              <w:spacing w:after="20"/>
            </w:pPr>
            <w:r>
              <w:rPr>
                <w:b/>
                <w:bCs/>
              </w:rPr>
              <w:t xml:space="preserve">Stage 1B Total</w:t>
            </w:r>
          </w:p>
        </w:tc>
        <w:tc>
          <w:tcPr>
            <w:tcW w:type="dxa" w:w="2300"/>
            <w:shd w:fill="F2F7FC" w:color="auto" w:val="clear"/>
            <w:tcMar>
              <w:top w:type="dxa" w:w="50"/>
              <w:left w:type="dxa" w:w="90"/>
              <w:bottom w:type="dxa" w:w="50"/>
              <w:right w:type="dxa" w:w="90"/>
            </w:tcMar>
            <w:vAlign w:val="top"/>
          </w:tcPr>
          <w:p>
            <w:pPr>
              <w:spacing w:after="20"/>
            </w:pPr>
            <w:r>
              <w:rPr>
                <w:b/>
                <w:bCs/>
              </w:rPr>
              <w:t xml:space="preserve">Ex GST</w:t>
            </w:r>
          </w:p>
        </w:tc>
        <w:tc>
          <w:tcPr>
            <w:tcW w:type="dxa" w:w="2500"/>
            <w:shd w:fill="F2F7FC" w:color="auto" w:val="clear"/>
            <w:tcMar>
              <w:top w:type="dxa" w:w="50"/>
              <w:left w:type="dxa" w:w="90"/>
              <w:bottom w:type="dxa" w:w="50"/>
              <w:right w:type="dxa" w:w="90"/>
            </w:tcMar>
            <w:vAlign w:val="top"/>
          </w:tcPr>
          <w:p>
            <w:pPr>
              <w:spacing w:after="20"/>
            </w:pPr>
            <w:r>
              <w:rPr>
                <w:b/>
                <w:bCs/>
              </w:rPr>
              <w:t xml:space="preserve">$266,489.36</w:t>
            </w:r>
          </w:p>
        </w:tc>
      </w:tr>
      <w:tr>
        <w:trPr>
          <w:cantSplit/>
          <w:tblHeader w:val="false"/>
        </w:trPr>
        <w:tc>
          <w:tcPr>
            <w:tcW w:type="dxa" w:w="5568"/>
            <w:shd w:fill="DEEAF6" w:color="auto" w:val="clear"/>
            <w:tcMar>
              <w:top w:type="dxa" w:w="50"/>
              <w:left w:type="dxa" w:w="90"/>
              <w:bottom w:type="dxa" w:w="50"/>
              <w:right w:type="dxa" w:w="90"/>
            </w:tcMar>
            <w:vAlign w:val="top"/>
          </w:tcPr>
          <w:p>
            <w:pPr>
              <w:spacing w:after="20"/>
            </w:pPr>
            <w:r>
              <w:rPr>
                <w:b/>
                <w:bCs/>
              </w:rPr>
              <w:t xml:space="preserve">Total — Stages 1A + 1B</w:t>
            </w:r>
          </w:p>
        </w:tc>
        <w:tc>
          <w:tcPr>
            <w:tcW w:type="dxa" w:w="2300"/>
            <w:shd w:fill="DEEAF6" w:color="auto" w:val="clear"/>
            <w:tcMar>
              <w:top w:type="dxa" w:w="50"/>
              <w:left w:type="dxa" w:w="90"/>
              <w:bottom w:type="dxa" w:w="50"/>
              <w:right w:type="dxa" w:w="90"/>
            </w:tcMar>
            <w:vAlign w:val="top"/>
          </w:tcPr>
          <w:p>
            <w:pPr>
              <w:spacing w:after="20"/>
            </w:pPr>
            <w:r>
              <w:rPr>
                <w:b/>
                <w:bCs/>
              </w:rPr>
              <w:t xml:space="preserve">Ex GST</w:t>
            </w:r>
          </w:p>
        </w:tc>
        <w:tc>
          <w:tcPr>
            <w:tcW w:type="dxa" w:w="2500"/>
            <w:shd w:fill="DEEAF6" w:color="auto" w:val="clear"/>
            <w:tcMar>
              <w:top w:type="dxa" w:w="50"/>
              <w:left w:type="dxa" w:w="90"/>
              <w:bottom w:type="dxa" w:w="50"/>
              <w:right w:type="dxa" w:w="90"/>
            </w:tcMar>
            <w:vAlign w:val="top"/>
          </w:tcPr>
          <w:p>
            <w:pPr>
              <w:spacing w:after="20"/>
            </w:pPr>
            <w:r>
              <w:rPr>
                <w:b/>
                <w:bCs/>
              </w:rPr>
              <w:t xml:space="preserve">$2,009,794.18</w:t>
            </w:r>
          </w:p>
        </w:tc>
      </w:tr>
    </w:tbl>
    <w:p>
      <w:pPr>
        <w:spacing w:after="100" w:before="80"/>
      </w:pPr>
      <w:r>
        <w:t xml:space="preserve">Tender value is submitted as a lump sum for each stage, excluding GST, and is subject to the inclusions, exclusions, clarifications, provisional sums and allowances stated in this submission. </w:t>
      </w:r>
      <w:r>
        <w:rPr>
          <w:b/>
          <w:bCs/>
        </w:rPr>
        <w:t xml:space="preserve">All sums throughout this submission are exclusive of GST.</w:t>
      </w:r>
      <w:r>
        <w:t xml:space="preserve"> Each stage is priced as a standalone tender and remains viable if awarded alone; award of one stage does not condition the other.</w:t>
      </w:r>
    </w:p>
    <w:p>
      <w:pPr>
        <w:pStyle w:val="Heading2"/>
        <w:keepNext/>
      </w:pPr>
      <w:r>
        <w:t xml:space="preserve">Alternate Pricing — Identified Option (excluded from the tendered sums)</w:t>
      </w:r>
    </w:p>
    <w:tbl>
      <w:tblPr>
        <w:tblW w:type="dxa" w:w="10368"/>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6768"/>
        <w:gridCol w:w="2500"/>
      </w:tblGrid>
      <w:tr>
        <w:trPr>
          <w:cantSplit/>
          <w:tblHeader/>
        </w:trPr>
        <w:tc>
          <w:tcPr>
            <w:tcW w:type="dxa" w:w="1100"/>
            <w:shd w:fill="DEEAF6" w:color="auto" w:val="clear"/>
            <w:tcMar>
              <w:top w:type="dxa" w:w="50"/>
              <w:left w:type="dxa" w:w="90"/>
              <w:bottom w:type="dxa" w:w="50"/>
              <w:right w:type="dxa" w:w="90"/>
            </w:tcMar>
            <w:vAlign w:val="top"/>
          </w:tcPr>
          <w:p>
            <w:pPr>
              <w:spacing w:after="20"/>
            </w:pPr>
            <w:r>
              <w:rPr>
                <w:b/>
                <w:bCs/>
                <w:color w:val="1F4E79"/>
              </w:rPr>
              <w:t xml:space="preserve">Ref</w:t>
            </w:r>
          </w:p>
        </w:tc>
        <w:tc>
          <w:tcPr>
            <w:tcW w:type="dxa" w:w="6768"/>
            <w:shd w:fill="DEEAF6" w:color="auto" w:val="clear"/>
            <w:tcMar>
              <w:top w:type="dxa" w:w="50"/>
              <w:left w:type="dxa" w:w="90"/>
              <w:bottom w:type="dxa" w:w="50"/>
              <w:right w:type="dxa" w:w="90"/>
            </w:tcMar>
            <w:vAlign w:val="top"/>
          </w:tcPr>
          <w:p>
            <w:pPr>
              <w:spacing w:after="20"/>
            </w:pPr>
            <w:r>
              <w:rPr>
                <w:b/>
                <w:bCs/>
                <w:color w:val="1F4E79"/>
              </w:rPr>
              <w:t xml:space="preserve">Alternate</w:t>
            </w:r>
          </w:p>
        </w:tc>
        <w:tc>
          <w:tcPr>
            <w:tcW w:type="dxa" w:w="2500"/>
            <w:shd w:fill="DEEAF6" w:color="auto" w:val="clear"/>
            <w:tcMar>
              <w:top w:type="dxa" w:w="50"/>
              <w:left w:type="dxa" w:w="90"/>
              <w:bottom w:type="dxa" w:w="50"/>
              <w:right w:type="dxa" w:w="90"/>
            </w:tcMar>
            <w:vAlign w:val="top"/>
          </w:tcPr>
          <w:p>
            <w:pPr>
              <w:spacing w:after="20"/>
            </w:pPr>
            <w:r>
              <w:rPr>
                <w:b/>
                <w:bCs/>
                <w:color w:val="1F4E79"/>
              </w:rPr>
              <w:t xml:space="preserve">Adjustment if adopted</w:t>
            </w:r>
          </w:p>
        </w:tc>
      </w:tr>
      <w:tr>
        <w:trPr>
          <w:cantSplit/>
          <w:tblHeader w:val="false"/>
        </w:trPr>
        <w:tc>
          <w:tcPr>
            <w:tcW w:type="dxa" w:w="1100"/>
            <w:tcMar>
              <w:top w:type="dxa" w:w="50"/>
              <w:left w:type="dxa" w:w="90"/>
              <w:bottom w:type="dxa" w:w="50"/>
              <w:right w:type="dxa" w:w="90"/>
            </w:tcMar>
            <w:vAlign w:val="top"/>
          </w:tcPr>
          <w:p>
            <w:pPr>
              <w:spacing w:after="20"/>
            </w:pPr>
            <w:r>
              <w:t xml:space="preserve">ALT-A</w:t>
            </w:r>
          </w:p>
        </w:tc>
        <w:tc>
          <w:tcPr>
            <w:tcW w:type="dxa" w:w="6768"/>
            <w:tcMar>
              <w:top w:type="dxa" w:w="50"/>
              <w:left w:type="dxa" w:w="90"/>
              <w:bottom w:type="dxa" w:w="50"/>
              <w:right w:type="dxa" w:w="90"/>
            </w:tcMar>
            <w:vAlign w:val="top"/>
          </w:tcPr>
          <w:p>
            <w:pPr>
              <w:spacing w:after="20"/>
            </w:pPr>
            <w:r>
              <w:t xml:space="preserve">Copper building water services in lieu of 316 stainless steel press-fit (services &gt;DN22), NBC and PAM — subject to approval of the material substitution</w:t>
            </w:r>
          </w:p>
        </w:tc>
        <w:tc>
          <w:tcPr>
            <w:tcW w:type="dxa" w:w="2500"/>
            <w:tcMar>
              <w:top w:type="dxa" w:w="50"/>
              <w:left w:type="dxa" w:w="90"/>
              <w:bottom w:type="dxa" w:w="50"/>
              <w:right w:type="dxa" w:w="90"/>
            </w:tcMar>
            <w:vAlign w:val="top"/>
          </w:tcPr>
          <w:p>
            <w:pPr>
              <w:spacing w:after="20"/>
            </w:pPr>
            <w:r>
              <w:rPr>
                <w:b w:val="false"/>
                <w:bCs w:val="false"/>
              </w:rPr>
              <w:t xml:space="preserve">Add $1,169.23 ex GST</w:t>
            </w:r>
          </w:p>
        </w:tc>
      </w:tr>
    </w:tbl>
    <w:p>
      <w:pPr>
        <w:spacing w:before="80"/>
      </w:pPr>
      <w:r>
        <w:t xml:space="preserve">The tendered sums carry the conforming building water system — 316 stainless steel press-fit for services &gt;DN22 with PEX for services ≤DN22 per drawing note WS2 and VOL 38. The building water services have also been priced in copper and the difference is identified above as a clearly labelled alternate held outside the tendered sums: at current market pricing the copper substitution is an addition of $1,169.23 ex GST and offers no saving. It remains available subject to approval of the material substitution. No other alternates are offered.</w:t>
      </w:r>
    </w:p>
    <w:p>
      <w:pPr>
        <w:pStyle w:val="Heading1"/>
        <w:keepNext/>
      </w:pPr>
      <w:r>
        <w:t xml:space="preserve">Basis of this Tender</w:t>
      </w:r>
    </w:p>
    <w:p>
      <w:pPr>
        <w:pStyle w:val="ListParagraph"/>
        <w:numPr>
          <w:ilvl w:val="0"/>
          <w:numId w:val="2"/>
        </w:numPr>
        <w:spacing w:after="60"/>
      </w:pPr>
      <w:r>
        <w:rPr>
          <w:b/>
          <w:bCs/>
        </w:rPr>
        <w:t xml:space="preserve">Construct-only. </w:t>
      </w:r>
      <w:r>
        <w:t xml:space="preserve">This tender is construct-only. Works are priced strictly in accordance with the current issued design details and measurable documentation listed under "Drawing and Documentation Packages", so that the basis of every price is transparent and auditable.</w:t>
      </w:r>
    </w:p>
    <w:p>
      <w:pPr>
        <w:pStyle w:val="ListParagraph"/>
        <w:numPr>
          <w:ilvl w:val="0"/>
          <w:numId w:val="2"/>
        </w:numPr>
        <w:spacing w:after="60"/>
      </w:pPr>
      <w:r>
        <w:rPr>
          <w:b/>
          <w:bCs/>
        </w:rPr>
        <w:t xml:space="preserve">Priced documentation. </w:t>
      </w:r>
      <w:r>
        <w:t xml:space="preserve">The priced basis is the T1 hydraulic drawing set — site sheets H001, H002, H003 and the H300 detail series, and building sets H-NBC-000 to H-NBC-301 and H-PAM-000 to H-PAM-301 (all T1, 17.06.2026) — read with Hydraulic Specification VOL 38, the ITT Parts 1 and 2, Tender Schedule 3, and the addenda and clarifications received.</w:t>
      </w:r>
    </w:p>
    <w:p>
      <w:pPr>
        <w:pStyle w:val="ListParagraph"/>
        <w:numPr>
          <w:ilvl w:val="0"/>
          <w:numId w:val="2"/>
        </w:numPr>
        <w:spacing w:after="60"/>
      </w:pPr>
      <w:r>
        <w:rPr>
          <w:b/>
          <w:bCs/>
        </w:rPr>
        <w:t xml:space="preserve">Measurement basis. </w:t>
      </w:r>
      <w:r>
        <w:t xml:space="preserve">Site drawing H003 prints no pipe lengths. Site mains, reticulation and fire main quantities are therefore measured by scale from H003 and priced on that measured basis; the stated extents appear against each inclusion. Where any schedule or later reissue differs from this measured basis, the Tender Query Schedule (Appendix B) states the assumption adopted.</w:t>
      </w:r>
    </w:p>
    <w:p>
      <w:pPr>
        <w:pStyle w:val="ListParagraph"/>
        <w:numPr>
          <w:ilvl w:val="0"/>
          <w:numId w:val="2"/>
        </w:numPr>
        <w:spacing w:after="60"/>
      </w:pPr>
      <w:r>
        <w:rPr>
          <w:b/>
          <w:bCs/>
        </w:rPr>
        <w:t xml:space="preserve">Stage split. </w:t>
      </w:r>
      <w:r>
        <w:t xml:space="preserve">Stage allocation follows ITT Part 2 §6: Stage 1A includes the mains installed through Stage 1B land to serve Stage 1A; Stage 1B’s own take-offs, connections and reticulation are priced only in Stage 1B — the branch fitting/valve is the boundary. Physical stage extents follow staging sketch SE_12306_SKT_CMP Rev B (VOL 20).</w:t>
      </w:r>
    </w:p>
    <w:p>
      <w:pPr>
        <w:pStyle w:val="ListParagraph"/>
        <w:numPr>
          <w:ilvl w:val="0"/>
          <w:numId w:val="2"/>
        </w:numPr>
        <w:spacing w:after="60"/>
      </w:pPr>
      <w:r>
        <w:rPr>
          <w:b/>
          <w:bCs/>
        </w:rPr>
        <w:t xml:space="preserve">Authority framework. </w:t>
      </w:r>
      <w:r>
        <w:t xml:space="preserve">The water and sewerage authority is Fitzroy River Water (Rockhampton Regional Council). The works are priced to the Queensland statutory framework, RRC/Fitzroy River Water requirements and the Capricorn Municipal Development Guidelines (CMDG), which govern over any interstate template references remaining in the specification text (Appendix B, queries C9 and C12).</w:t>
      </w:r>
    </w:p>
    <w:p>
      <w:pPr>
        <w:pStyle w:val="ListParagraph"/>
        <w:numPr>
          <w:ilvl w:val="0"/>
          <w:numId w:val="2"/>
        </w:numPr>
        <w:spacing w:after="60"/>
      </w:pPr>
      <w:r>
        <w:rPr>
          <w:b/>
          <w:bCs/>
        </w:rPr>
        <w:t xml:space="preserve">Geotechnical basis. </w:t>
      </w:r>
      <w:r>
        <w:t xml:space="preserve">Geotechnical Investigation Report NQL2024-0320 has been read in full and the tendered basis reflects it: trench support and batters per §5.3.3 (Appendix B, query A3), soil aggressivity per Table 14, site classification H1 with "P" provisions per §5.1, and sub-soil class Ce per §5.2. The rock-rate regime priced against the bore logs is stated under the Schedule of Rates.</w:t>
      </w:r>
    </w:p>
    <w:p>
      <w:pPr>
        <w:pStyle w:val="ListParagraph"/>
        <w:numPr>
          <w:ilvl w:val="0"/>
          <w:numId w:val="2"/>
        </w:numPr>
        <w:spacing w:after="60"/>
      </w:pPr>
      <w:r>
        <w:rPr>
          <w:b/>
          <w:bCs/>
        </w:rPr>
        <w:t xml:space="preserve">Documents not received. </w:t>
      </w:r>
      <w:r>
        <w:t xml:space="preserve">The following documents referenced in the tender set were not received and are not priced: VOL 35 (Civil &amp; Field of Play Technical Specifications); VOL 32; RRC Addenda 1–6 (our addenda set commences at Addendum 7); drawing H004 (referenced twice by H003 but not issued — no scope is carried beyond the H003 sheet limit); architectural Volumes 03 and 08; and the structural volumes 04 and 09. Pricing is based on the documents received; Appendix B queries A7 and A8 request the balance.</w:t>
      </w:r>
    </w:p>
    <w:p>
      <w:pPr>
        <w:pStyle w:val="ListParagraph"/>
        <w:numPr>
          <w:ilvl w:val="0"/>
          <w:numId w:val="2"/>
        </w:numPr>
        <w:spacing w:after="60"/>
      </w:pPr>
      <w:r>
        <w:rPr>
          <w:b/>
          <w:bCs/>
        </w:rPr>
        <w:t xml:space="preserve">Supplier quotations and escalation. </w:t>
      </w:r>
      <w:r>
        <w:t xml:space="preserve">Supplier quotations underpinning the tendered rates are current at July–August 2026 and carry their own validity periods; escalation to the anticipated 2027 commencement has been carried within the tendered sums. The fixture supply quotation (Tradelink 1066143) expires 13 August 2026 — the PC Sum regime under "Provisional Sums and PC Sums" governs adjustment. Long-lead items are flagged where they bear on programme (316 stainless press-fit 10–14 weeks; booster assembly 10–12 weeks).</w:t>
      </w:r>
    </w:p>
    <w:p>
      <w:pPr>
        <w:pStyle w:val="ListParagraph"/>
        <w:numPr>
          <w:ilvl w:val="0"/>
          <w:numId w:val="2"/>
        </w:numPr>
        <w:spacing w:after="60"/>
      </w:pPr>
      <w:r>
        <w:rPr>
          <w:b/>
          <w:bCs/>
        </w:rPr>
        <w:t xml:space="preserve">Tender queries. </w:t>
      </w:r>
      <w:r>
        <w:t xml:space="preserve">Appendix B raises the matters requiring clarification, each with the assumption we have adopted pending response. Where a response alters an assumption, we reserve the right to adjust our price accordingly. Appendix B is issued to satisfy VOL 38 §3.58 and drawing H002 note 15, which otherwise deem un-raised conflicts to have been priced at the larger quantity or more expensive component.</w:t>
      </w:r>
    </w:p>
    <w:p>
      <w:pPr>
        <w:pStyle w:val="Heading1"/>
        <w:keepNext/>
      </w:pPr>
      <w:r>
        <w:t xml:space="preserve">Description of Proposed Services and Scope of Works</w:t>
      </w:r>
    </w:p>
    <w:p>
      <w:pPr>
        <w:spacing w:after="100"/>
      </w:pPr>
      <w:r>
        <w:t xml:space="preserve">Construction of the hydraulic services allocated to the hydraulic package for the following work areas, on a construct-only basis:</w:t>
      </w:r>
    </w:p>
    <w:p>
      <w:pPr>
        <w:pStyle w:val="ListParagraph"/>
        <w:numPr>
          <w:ilvl w:val="0"/>
          <w:numId w:val="2"/>
        </w:numPr>
        <w:spacing w:after="60"/>
      </w:pPr>
      <w:r>
        <w:rPr>
          <w:b/>
          <w:bCs/>
        </w:rPr>
        <w:t xml:space="preserve">Stage 1A — Site mains (Schedule 1A item 2.1): </w:t>
      </w:r>
      <w:r>
        <w:t xml:space="preserve">water and sewerage mains including the Ø200 authority tapping and metering assemblies, and the gravity sewer terminating at the Council-installed sewage pump station inlet, including the mains installed through Stage 1B land to serve Stage 1A. The pump station interface is defined under "Exclusions, Qualifications and Departures".</w:t>
      </w:r>
    </w:p>
    <w:p>
      <w:pPr>
        <w:pStyle w:val="ListParagraph"/>
        <w:numPr>
          <w:ilvl w:val="0"/>
          <w:numId w:val="2"/>
        </w:numPr>
        <w:spacing w:after="60"/>
      </w:pPr>
      <w:r>
        <w:rPr>
          <w:b/>
          <w:bCs/>
        </w:rPr>
        <w:t xml:space="preserve">Stage 1A — Site hydraulic services (Schedule 1A item 2.4): </w:t>
      </w:r>
      <w:r>
        <w:t xml:space="preserve">site water reticulation within the Stage 1A extent — spine, take-off sets, branches, capped future services and the capped irrigation take-off.</w:t>
      </w:r>
    </w:p>
    <w:p>
      <w:pPr>
        <w:pStyle w:val="ListParagraph"/>
        <w:numPr>
          <w:ilvl w:val="0"/>
          <w:numId w:val="2"/>
        </w:numPr>
        <w:spacing w:after="60"/>
      </w:pPr>
      <w:r>
        <w:rPr>
          <w:b/>
          <w:bCs/>
        </w:rPr>
        <w:t xml:space="preserve">Stage 1A — Site fire services (Schedule 1A item 2.4): </w:t>
      </w:r>
      <w:r>
        <w:t xml:space="preserve">fire main, booster assembly and pillar hydrant as drawn.</w:t>
      </w:r>
    </w:p>
    <w:p>
      <w:pPr>
        <w:pStyle w:val="ListParagraph"/>
        <w:numPr>
          <w:ilvl w:val="0"/>
          <w:numId w:val="2"/>
        </w:numPr>
        <w:spacing w:after="60"/>
      </w:pPr>
      <w:r>
        <w:rPr>
          <w:b/>
          <w:bCs/>
        </w:rPr>
        <w:t xml:space="preserve">Stage 1A — Netball Clubhouse (NBC): </w:t>
      </w:r>
      <w:r>
        <w:t xml:space="preserve">building hydraulic services and the allocated fire compliance items (Schedule 1A items 4.11 and 4.12 as allocated), with fixture supply under the identified PC Sums.</w:t>
      </w:r>
    </w:p>
    <w:p>
      <w:pPr>
        <w:pStyle w:val="ListParagraph"/>
        <w:numPr>
          <w:ilvl w:val="0"/>
          <w:numId w:val="2"/>
        </w:numPr>
        <w:spacing w:after="60"/>
      </w:pPr>
      <w:r>
        <w:rPr>
          <w:b/>
          <w:bCs/>
        </w:rPr>
        <w:t xml:space="preserve">Stage 1B — Connections and reticulation (Schedule 1B item 2.2): </w:t>
      </w:r>
      <w:r>
        <w:t xml:space="preserve">Stage 1B’s own branch take-offs from the Stage 1A mains, PAM water and sewer entries, drinking fountain and bubbler supplies and wastes, and hose taps; and the Stage 1B fire services extent.</w:t>
      </w:r>
    </w:p>
    <w:p>
      <w:pPr>
        <w:pStyle w:val="ListParagraph"/>
        <w:numPr>
          <w:ilvl w:val="0"/>
          <w:numId w:val="2"/>
        </w:numPr>
        <w:spacing w:after="60"/>
      </w:pPr>
      <w:r>
        <w:rPr>
          <w:b/>
          <w:bCs/>
        </w:rPr>
        <w:t xml:space="preserve">Stage 1B — Public Amenities (PAM): </w:t>
      </w:r>
      <w:r>
        <w:t xml:space="preserve">building hydraulic services and the allocated fire compliance items (Schedule 1B items 3.11 and 3.12 as allocated), with fixture supply under the identified PC Sums.</w:t>
      </w:r>
    </w:p>
    <w:p>
      <w:pPr>
        <w:pStyle w:val="ListParagraph"/>
        <w:numPr>
          <w:ilvl w:val="0"/>
          <w:numId w:val="2"/>
        </w:numPr>
        <w:spacing w:after="60"/>
      </w:pPr>
      <w:r>
        <w:rPr>
          <w:b/>
          <w:bCs/>
        </w:rPr>
        <w:t xml:space="preserve">Stage 1B — Recreational park units: </w:t>
      </w:r>
      <w:r>
        <w:t xml:space="preserve">installation and connection of the PC-Sum drinking fountains and water bubbler stations (Schedule 1B items 3.12 and 4.5).</w:t>
      </w:r>
    </w:p>
    <w:p>
      <w:pPr>
        <w:spacing w:after="100"/>
      </w:pPr>
      <w:r>
        <w:t xml:space="preserve">The works comprise only the items expressly identified in this submission and priced against the Tender Schedule 3 lines listed in the Work Area Pricing Summary. Scope allocated to other trades — including all civil stormwater drainage, the grated trench drains of Schedule 1A item 3.5, roofing and roof plumbing, landscape irrigation, and electrical, mechanical and communications services — is excluded, and where an interface exists the boundary is defined in this submission. The proposal includes the supply, installation, testing, commissioning, certification, handover and defects liability obligations necessary to deliver the included hydraulic scope only, subject to the PC Sum supply regime for fixtures and equipment stated herein.</w:t>
      </w:r>
    </w:p>
    <w:p>
      <w:pPr>
        <w:pStyle w:val="Heading1"/>
        <w:keepNext/>
      </w:pPr>
      <w:r>
        <w:t xml:space="preserve">Drawing and Documentation Packages</w:t>
      </w:r>
    </w:p>
    <w:p>
      <w:pPr>
        <w:spacing w:after="100"/>
      </w:pPr>
      <w:r>
        <w:t xml:space="preserve">This submission is based on the following issued documentation:</w:t>
      </w:r>
    </w:p>
    <w:p>
      <w:pPr>
        <w:pStyle w:val="ListParagraph"/>
        <w:numPr>
          <w:ilvl w:val="0"/>
          <w:numId w:val="2"/>
        </w:numPr>
        <w:spacing w:after="60"/>
      </w:pPr>
      <w:r>
        <w:t xml:space="preserve">Invitation to Tender TEN16699 Parts 1 and 2, including Tender Schedule 3 (pricing schedules, Stages 1A and 1B). Principal: Rockhampton Regional Council.</w:t>
      </w:r>
    </w:p>
    <w:p>
      <w:pPr>
        <w:pStyle w:val="ListParagraph"/>
        <w:numPr>
          <w:ilvl w:val="0"/>
          <w:numId w:val="2"/>
        </w:numPr>
        <w:spacing w:after="60"/>
      </w:pPr>
      <w:r>
        <w:t xml:space="preserve">Addenda and clarifications as received: RRC Addenda 7, 8, 9 and 10 and builder-circulated clarifications, including Addendum 2 (10 July 2026 — sewage pump station to be installed by Council).</w:t>
      </w:r>
    </w:p>
    <w:p>
      <w:pPr>
        <w:pStyle w:val="ListParagraph"/>
        <w:numPr>
          <w:ilvl w:val="0"/>
          <w:numId w:val="2"/>
        </w:numPr>
        <w:spacing w:after="60"/>
      </w:pPr>
      <w:r>
        <w:t xml:space="preserve">Site hydraulic drawings H001, H002 and H003 with the H300 detail series — T1 issue.</w:t>
      </w:r>
    </w:p>
    <w:p>
      <w:pPr>
        <w:pStyle w:val="ListParagraph"/>
        <w:numPr>
          <w:ilvl w:val="0"/>
          <w:numId w:val="2"/>
        </w:numPr>
        <w:spacing w:after="60"/>
      </w:pPr>
      <w:r>
        <w:t xml:space="preserve">Netball Clubhouse hydraulic set H-NBC-000 to H-NBC-301 — T1, 17.06.2026.</w:t>
      </w:r>
    </w:p>
    <w:p>
      <w:pPr>
        <w:pStyle w:val="ListParagraph"/>
        <w:numPr>
          <w:ilvl w:val="0"/>
          <w:numId w:val="2"/>
        </w:numPr>
        <w:spacing w:after="60"/>
      </w:pPr>
      <w:r>
        <w:t xml:space="preserve">Public Amenities hydraulic set H-PAM-000 to H-PAM-301 — T1, 17.06.2026.</w:t>
      </w:r>
    </w:p>
    <w:p>
      <w:pPr>
        <w:pStyle w:val="ListParagraph"/>
        <w:numPr>
          <w:ilvl w:val="0"/>
          <w:numId w:val="2"/>
        </w:numPr>
        <w:spacing w:after="60"/>
      </w:pPr>
      <w:r>
        <w:t xml:space="preserve">Hydraulic Services Specification VOL 38.</w:t>
      </w:r>
    </w:p>
    <w:p>
      <w:pPr>
        <w:pStyle w:val="ListParagraph"/>
        <w:numPr>
          <w:ilvl w:val="0"/>
          <w:numId w:val="2"/>
        </w:numPr>
        <w:spacing w:after="60"/>
      </w:pPr>
      <w:r>
        <w:t xml:space="preserve">Geotechnical Investigation Report NQL2024-0320.</w:t>
      </w:r>
    </w:p>
    <w:p>
      <w:pPr>
        <w:pStyle w:val="ListParagraph"/>
        <w:numPr>
          <w:ilvl w:val="0"/>
          <w:numId w:val="2"/>
        </w:numPr>
        <w:spacing w:after="60"/>
      </w:pPr>
      <w:r>
        <w:t xml:space="preserve">Design Report SE_12306_RPT006_B (Rev B, Addendum 8) — to the extent it bears on hydraulic articulation and trade waste sizing.</w:t>
      </w:r>
    </w:p>
    <w:p>
      <w:pPr>
        <w:pStyle w:val="ListParagraph"/>
        <w:numPr>
          <w:ilvl w:val="0"/>
          <w:numId w:val="2"/>
        </w:numPr>
        <w:spacing w:after="60"/>
      </w:pPr>
      <w:r>
        <w:t xml:space="preserve">Staging sketch SE_12306_SKT_CMP Rev B (VOL 20) — stage extents.</w:t>
      </w:r>
    </w:p>
    <w:p>
      <w:pPr>
        <w:pStyle w:val="ListParagraph"/>
        <w:numPr>
          <w:ilvl w:val="0"/>
          <w:numId w:val="2"/>
        </w:numPr>
        <w:spacing w:after="60"/>
      </w:pPr>
      <w:r>
        <w:t xml:space="preserve">FF&amp;E schedules VOL 25 and VOL 28 — only to the extent they identify hydraulic fixtures, tapware, drinking water units and supply responsibility.</w:t>
      </w:r>
    </w:p>
    <w:p>
      <w:pPr>
        <w:pStyle w:val="ListParagraph"/>
        <w:numPr>
          <w:ilvl w:val="0"/>
          <w:numId w:val="2"/>
        </w:numPr>
        <w:spacing w:after="60"/>
      </w:pPr>
      <w:r>
        <w:t xml:space="preserve">Documents referenced but not received are listed under "Basis of this Tender" and requested at Appendix B.</w:t>
      </w:r>
    </w:p>
    <w:p>
      <w:pPr>
        <w:pStyle w:val="Heading1"/>
        <w:keepNext/>
      </w:pPr>
      <w:r>
        <w:t xml:space="preserve">Work Area Pricing Summary — Tender Schedule 3</w:t>
      </w:r>
    </w:p>
    <w:p>
      <w:pPr>
        <w:spacing w:after="100"/>
      </w:pPr>
      <w:r>
        <w:t xml:space="preserve">The following summary maps this tender to the Tender Schedule 3 line structure so that pricing can be transposed without interpretation. Physical lump-sum lines are carried inside the stage lump sums; PC Sums, the provisional connection-fee allowance and the schedule-of-rates lines are separately identified as the schedule requires. Every Schedule 3 line allocated to the hydraulic package appears exactly once. Prices are entered at section-total level and the stage totals stated here govern (Appendix B, query A1).</w:t>
      </w:r>
    </w:p>
    <w:p>
      <w:pPr>
        <w:pStyle w:val="Heading2"/>
        <w:keepNext/>
      </w:pPr>
      <w:r>
        <w:t xml:space="preserve">Stage 1A — "A Home for Netball"</w:t>
      </w:r>
    </w:p>
    <w:tbl>
      <w:tblPr>
        <w:tblW w:type="dxa" w:w="10368"/>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4568"/>
        <w:gridCol w:w="2350"/>
        <w:gridCol w:w="2300"/>
      </w:tblGrid>
      <w:tr>
        <w:trPr>
          <w:cantSplit/>
          <w:tblHeader/>
        </w:trPr>
        <w:tc>
          <w:tcPr>
            <w:tcW w:type="dxa" w:w="1150"/>
            <w:shd w:fill="DEEAF6" w:color="auto" w:val="clear"/>
            <w:tcMar>
              <w:top w:type="dxa" w:w="50"/>
              <w:left w:type="dxa" w:w="90"/>
              <w:bottom w:type="dxa" w:w="50"/>
              <w:right w:type="dxa" w:w="90"/>
            </w:tcMar>
            <w:vAlign w:val="top"/>
          </w:tcPr>
          <w:p>
            <w:pPr>
              <w:spacing w:after="20"/>
            </w:pPr>
            <w:r>
              <w:rPr>
                <w:b/>
                <w:bCs/>
                <w:color w:val="1F4E79"/>
              </w:rPr>
              <w:t xml:space="preserve">Sch 3 ref</w:t>
            </w:r>
          </w:p>
        </w:tc>
        <w:tc>
          <w:tcPr>
            <w:tcW w:type="dxa" w:w="4568"/>
            <w:shd w:fill="DEEAF6" w:color="auto" w:val="clear"/>
            <w:tcMar>
              <w:top w:type="dxa" w:w="50"/>
              <w:left w:type="dxa" w:w="90"/>
              <w:bottom w:type="dxa" w:w="50"/>
              <w:right w:type="dxa" w:w="90"/>
            </w:tcMar>
            <w:vAlign w:val="top"/>
          </w:tcPr>
          <w:p>
            <w:pPr>
              <w:spacing w:after="20"/>
            </w:pPr>
            <w:r>
              <w:rPr>
                <w:b/>
                <w:bCs/>
                <w:color w:val="1F4E79"/>
              </w:rPr>
              <w:t xml:space="preserve">Schedule 3 line</w:t>
            </w:r>
          </w:p>
        </w:tc>
        <w:tc>
          <w:tcPr>
            <w:tcW w:type="dxa" w:w="2350"/>
            <w:shd w:fill="DEEAF6" w:color="auto" w:val="clear"/>
            <w:tcMar>
              <w:top w:type="dxa" w:w="50"/>
              <w:left w:type="dxa" w:w="90"/>
              <w:bottom w:type="dxa" w:w="50"/>
              <w:right w:type="dxa" w:w="90"/>
            </w:tcMar>
            <w:vAlign w:val="top"/>
          </w:tcPr>
          <w:p>
            <w:pPr>
              <w:spacing w:after="20"/>
            </w:pPr>
            <w:r>
              <w:rPr>
                <w:b/>
                <w:bCs/>
                <w:color w:val="1F4E79"/>
              </w:rPr>
              <w:t xml:space="preserve">Treatment</w:t>
            </w:r>
          </w:p>
        </w:tc>
        <w:tc>
          <w:tcPr>
            <w:tcW w:type="dxa" w:w="2300"/>
            <w:shd w:fill="DEEAF6" w:color="auto" w:val="clear"/>
            <w:tcMar>
              <w:top w:type="dxa" w:w="50"/>
              <w:left w:type="dxa" w:w="90"/>
              <w:bottom w:type="dxa" w:w="50"/>
              <w:right w:type="dxa" w:w="90"/>
            </w:tcMar>
            <w:vAlign w:val="top"/>
          </w:tcPr>
          <w:p>
            <w:pPr>
              <w:spacing w:after="20"/>
            </w:pPr>
            <w:r>
              <w:rPr>
                <w:b/>
                <w:bCs/>
                <w:color w:val="1F4E79"/>
              </w:rPr>
              <w:t xml:space="preserve">Amount ex GST</w:t>
            </w:r>
          </w:p>
        </w:tc>
      </w:tr>
      <w:tr>
        <w:trPr>
          <w:cantSplit/>
          <w:tblHeader w:val="false"/>
        </w:trPr>
        <w:tc>
          <w:tcPr>
            <w:tcW w:type="dxa" w:w="1150"/>
            <w:tcMar>
              <w:top w:type="dxa" w:w="50"/>
              <w:left w:type="dxa" w:w="90"/>
              <w:bottom w:type="dxa" w:w="50"/>
              <w:right w:type="dxa" w:w="90"/>
            </w:tcMar>
            <w:vAlign w:val="top"/>
          </w:tcPr>
          <w:p>
            <w:pPr>
              <w:spacing w:after="20"/>
            </w:pPr>
            <w:r>
              <w:t xml:space="preserve">1.1–1.7</w:t>
            </w:r>
          </w:p>
        </w:tc>
        <w:tc>
          <w:tcPr>
            <w:tcW w:type="dxa" w:w="4568"/>
            <w:tcMar>
              <w:top w:type="dxa" w:w="50"/>
              <w:left w:type="dxa" w:w="90"/>
              <w:bottom w:type="dxa" w:w="50"/>
              <w:right w:type="dxa" w:w="90"/>
            </w:tcMar>
            <w:vAlign w:val="top"/>
          </w:tcPr>
          <w:p>
            <w:pPr>
              <w:spacing w:after="20"/>
            </w:pPr>
            <w:r>
              <w:t xml:space="preserve">Preliminaries and documentation — hydraulic package share of each line</w:t>
            </w:r>
          </w:p>
        </w:tc>
        <w:tc>
          <w:tcPr>
            <w:tcW w:type="dxa" w:w="2350"/>
            <w:tcMar>
              <w:top w:type="dxa" w:w="50"/>
              <w:left w:type="dxa" w:w="90"/>
              <w:bottom w:type="dxa" w:w="50"/>
              <w:right w:type="dxa" w:w="90"/>
            </w:tcMar>
            <w:vAlign w:val="top"/>
          </w:tcPr>
          <w:p>
            <w:pPr>
              <w:spacing w:after="20"/>
            </w:pPr>
            <w:r>
              <w:t xml:space="preserve">In Stage 1A lump sum</w:t>
            </w:r>
          </w:p>
        </w:tc>
        <w:tc>
          <w:tcPr>
            <w:tcW w:type="dxa" w:w="2300"/>
            <w:tcMar>
              <w:top w:type="dxa" w:w="50"/>
              <w:left w:type="dxa" w:w="90"/>
              <w:bottom w:type="dxa" w:w="50"/>
              <w:right w:type="dxa" w:w="90"/>
            </w:tcMar>
            <w:vAlign w:val="top"/>
          </w:tcPr>
          <w:p>
            <w:pPr>
              <w:spacing w:after="20"/>
              <w:jc w:val="right"/>
            </w:pPr>
            <w:r>
              <w:t xml:space="preserve">—</w:t>
            </w:r>
          </w:p>
        </w:tc>
      </w:tr>
      <w:tr>
        <w:trPr>
          <w:cantSplit/>
          <w:tblHeader w:val="false"/>
        </w:trPr>
        <w:tc>
          <w:tcPr>
            <w:tcW w:type="dxa" w:w="1150"/>
            <w:tcMar>
              <w:top w:type="dxa" w:w="50"/>
              <w:left w:type="dxa" w:w="90"/>
              <w:bottom w:type="dxa" w:w="50"/>
              <w:right w:type="dxa" w:w="90"/>
            </w:tcMar>
            <w:vAlign w:val="top"/>
          </w:tcPr>
          <w:p>
            <w:pPr>
              <w:spacing w:after="20"/>
            </w:pPr>
            <w:r>
              <w:t xml:space="preserve">2.1</w:t>
            </w:r>
          </w:p>
        </w:tc>
        <w:tc>
          <w:tcPr>
            <w:tcW w:type="dxa" w:w="4568"/>
            <w:tcMar>
              <w:top w:type="dxa" w:w="50"/>
              <w:left w:type="dxa" w:w="90"/>
              <w:bottom w:type="dxa" w:w="50"/>
              <w:right w:type="dxa" w:w="90"/>
            </w:tcMar>
            <w:vAlign w:val="top"/>
          </w:tcPr>
          <w:p>
            <w:pPr>
              <w:spacing w:after="20"/>
            </w:pPr>
            <w:r>
              <w:t xml:space="preserve">Sewerage and water mains connections, including mains through Stage 1B land serving Stage 1A (sewage pump station excluded — Council-installed, Addendum 2)</w:t>
            </w:r>
          </w:p>
        </w:tc>
        <w:tc>
          <w:tcPr>
            <w:tcW w:type="dxa" w:w="2350"/>
            <w:tcMar>
              <w:top w:type="dxa" w:w="50"/>
              <w:left w:type="dxa" w:w="90"/>
              <w:bottom w:type="dxa" w:w="50"/>
              <w:right w:type="dxa" w:w="90"/>
            </w:tcMar>
            <w:vAlign w:val="top"/>
          </w:tcPr>
          <w:p>
            <w:pPr>
              <w:spacing w:after="20"/>
            </w:pPr>
            <w:r>
              <w:t xml:space="preserve">In Stage 1A lump sum</w:t>
            </w:r>
          </w:p>
        </w:tc>
        <w:tc>
          <w:tcPr>
            <w:tcW w:type="dxa" w:w="2300"/>
            <w:tcMar>
              <w:top w:type="dxa" w:w="50"/>
              <w:left w:type="dxa" w:w="90"/>
              <w:bottom w:type="dxa" w:w="50"/>
              <w:right w:type="dxa" w:w="90"/>
            </w:tcMar>
            <w:vAlign w:val="top"/>
          </w:tcPr>
          <w:p>
            <w:pPr>
              <w:spacing w:after="20"/>
              <w:jc w:val="right"/>
            </w:pPr>
            <w:r>
              <w:t xml:space="preserve">—</w:t>
            </w:r>
          </w:p>
        </w:tc>
      </w:tr>
      <w:tr>
        <w:trPr>
          <w:cantSplit/>
          <w:tblHeader w:val="false"/>
        </w:trPr>
        <w:tc>
          <w:tcPr>
            <w:tcW w:type="dxa" w:w="1150"/>
            <w:tcMar>
              <w:top w:type="dxa" w:w="50"/>
              <w:left w:type="dxa" w:w="90"/>
              <w:bottom w:type="dxa" w:w="50"/>
              <w:right w:type="dxa" w:w="90"/>
            </w:tcMar>
            <w:vAlign w:val="top"/>
          </w:tcPr>
          <w:p>
            <w:pPr>
              <w:spacing w:after="20"/>
            </w:pPr>
            <w:r>
              <w:t xml:space="preserve">2.2</w:t>
            </w:r>
          </w:p>
        </w:tc>
        <w:tc>
          <w:tcPr>
            <w:tcW w:type="dxa" w:w="4568"/>
            <w:tcMar>
              <w:top w:type="dxa" w:w="50"/>
              <w:left w:type="dxa" w:w="90"/>
              <w:bottom w:type="dxa" w:w="50"/>
              <w:right w:type="dxa" w:w="90"/>
            </w:tcMar>
            <w:vAlign w:val="top"/>
          </w:tcPr>
          <w:p>
            <w:pPr>
              <w:spacing w:after="20"/>
            </w:pPr>
            <w:r>
              <w:t xml:space="preserve">Temporary site services — own requirements in full</w:t>
            </w:r>
          </w:p>
        </w:tc>
        <w:tc>
          <w:tcPr>
            <w:tcW w:type="dxa" w:w="2350"/>
            <w:tcMar>
              <w:top w:type="dxa" w:w="50"/>
              <w:left w:type="dxa" w:w="90"/>
              <w:bottom w:type="dxa" w:w="50"/>
              <w:right w:type="dxa" w:w="90"/>
            </w:tcMar>
            <w:vAlign w:val="top"/>
          </w:tcPr>
          <w:p>
            <w:pPr>
              <w:spacing w:after="20"/>
            </w:pPr>
            <w:r>
              <w:t xml:space="preserve">In Stage 1A lump sum</w:t>
            </w:r>
          </w:p>
        </w:tc>
        <w:tc>
          <w:tcPr>
            <w:tcW w:type="dxa" w:w="2300"/>
            <w:tcMar>
              <w:top w:type="dxa" w:w="50"/>
              <w:left w:type="dxa" w:w="90"/>
              <w:bottom w:type="dxa" w:w="50"/>
              <w:right w:type="dxa" w:w="90"/>
            </w:tcMar>
            <w:vAlign w:val="top"/>
          </w:tcPr>
          <w:p>
            <w:pPr>
              <w:spacing w:after="20"/>
              <w:jc w:val="right"/>
            </w:pPr>
            <w:r>
              <w:t xml:space="preserve">—</w:t>
            </w:r>
          </w:p>
        </w:tc>
      </w:tr>
      <w:tr>
        <w:trPr>
          <w:cantSplit/>
          <w:tblHeader w:val="false"/>
        </w:trPr>
        <w:tc>
          <w:tcPr>
            <w:tcW w:type="dxa" w:w="1150"/>
            <w:tcMar>
              <w:top w:type="dxa" w:w="50"/>
              <w:left w:type="dxa" w:w="90"/>
              <w:bottom w:type="dxa" w:w="50"/>
              <w:right w:type="dxa" w:w="90"/>
            </w:tcMar>
            <w:vAlign w:val="top"/>
          </w:tcPr>
          <w:p>
            <w:pPr>
              <w:spacing w:after="20"/>
            </w:pPr>
            <w:r>
              <w:t xml:space="preserve">2.4</w:t>
            </w:r>
          </w:p>
        </w:tc>
        <w:tc>
          <w:tcPr>
            <w:tcW w:type="dxa" w:w="4568"/>
            <w:tcMar>
              <w:top w:type="dxa" w:w="50"/>
              <w:left w:type="dxa" w:w="90"/>
              <w:bottom w:type="dxa" w:w="50"/>
              <w:right w:type="dxa" w:w="90"/>
            </w:tcMar>
            <w:vAlign w:val="top"/>
          </w:tcPr>
          <w:p>
            <w:pPr>
              <w:spacing w:after="20"/>
            </w:pPr>
            <w:r>
              <w:t xml:space="preserve">Site services — hydraulic and fire services</w:t>
            </w:r>
          </w:p>
        </w:tc>
        <w:tc>
          <w:tcPr>
            <w:tcW w:type="dxa" w:w="2350"/>
            <w:tcMar>
              <w:top w:type="dxa" w:w="50"/>
              <w:left w:type="dxa" w:w="90"/>
              <w:bottom w:type="dxa" w:w="50"/>
              <w:right w:type="dxa" w:w="90"/>
            </w:tcMar>
            <w:vAlign w:val="top"/>
          </w:tcPr>
          <w:p>
            <w:pPr>
              <w:spacing w:after="20"/>
            </w:pPr>
            <w:r>
              <w:t xml:space="preserve">In Stage 1A lump sum</w:t>
            </w:r>
          </w:p>
        </w:tc>
        <w:tc>
          <w:tcPr>
            <w:tcW w:type="dxa" w:w="2300"/>
            <w:tcMar>
              <w:top w:type="dxa" w:w="50"/>
              <w:left w:type="dxa" w:w="90"/>
              <w:bottom w:type="dxa" w:w="50"/>
              <w:right w:type="dxa" w:w="90"/>
            </w:tcMar>
            <w:vAlign w:val="top"/>
          </w:tcPr>
          <w:p>
            <w:pPr>
              <w:spacing w:after="20"/>
              <w:jc w:val="right"/>
            </w:pPr>
            <w:r>
              <w:t xml:space="preserve">—</w:t>
            </w:r>
          </w:p>
        </w:tc>
      </w:tr>
      <w:tr>
        <w:trPr>
          <w:cantSplit/>
          <w:tblHeader w:val="false"/>
        </w:trPr>
        <w:tc>
          <w:tcPr>
            <w:tcW w:type="dxa" w:w="1150"/>
            <w:tcMar>
              <w:top w:type="dxa" w:w="50"/>
              <w:left w:type="dxa" w:w="90"/>
              <w:bottom w:type="dxa" w:w="50"/>
              <w:right w:type="dxa" w:w="90"/>
            </w:tcMar>
            <w:vAlign w:val="top"/>
          </w:tcPr>
          <w:p>
            <w:pPr>
              <w:spacing w:after="20"/>
            </w:pPr>
            <w:r>
              <w:t xml:space="preserve">3.5</w:t>
            </w:r>
          </w:p>
        </w:tc>
        <w:tc>
          <w:tcPr>
            <w:tcW w:type="dxa" w:w="4568"/>
            <w:tcMar>
              <w:top w:type="dxa" w:w="50"/>
              <w:left w:type="dxa" w:w="90"/>
              <w:bottom w:type="dxa" w:w="50"/>
              <w:right w:type="dxa" w:w="90"/>
            </w:tcMar>
            <w:vAlign w:val="top"/>
          </w:tcPr>
          <w:p>
            <w:pPr>
              <w:spacing w:after="20"/>
            </w:pPr>
            <w:r>
              <w:t xml:space="preserve">Hydraulic — grated trench drains and pits</w:t>
            </w:r>
          </w:p>
        </w:tc>
        <w:tc>
          <w:tcPr>
            <w:tcW w:type="dxa" w:w="2350"/>
            <w:tcMar>
              <w:top w:type="dxa" w:w="50"/>
              <w:left w:type="dxa" w:w="90"/>
              <w:bottom w:type="dxa" w:w="50"/>
              <w:right w:type="dxa" w:w="90"/>
            </w:tcMar>
            <w:vAlign w:val="top"/>
          </w:tcPr>
          <w:p>
            <w:pPr>
              <w:spacing w:after="20"/>
            </w:pPr>
            <w:r>
              <w:t xml:space="preserve">Excluded — refer TriCore Civil Services tender</w:t>
            </w:r>
          </w:p>
        </w:tc>
        <w:tc>
          <w:tcPr>
            <w:tcW w:type="dxa" w:w="2300"/>
            <w:tcMar>
              <w:top w:type="dxa" w:w="50"/>
              <w:left w:type="dxa" w:w="90"/>
              <w:bottom w:type="dxa" w:w="50"/>
              <w:right w:type="dxa" w:w="90"/>
            </w:tcMar>
            <w:vAlign w:val="top"/>
          </w:tcPr>
          <w:p>
            <w:pPr>
              <w:spacing w:after="20"/>
              <w:jc w:val="right"/>
            </w:pPr>
            <w:r>
              <w:t xml:space="preserve">—</w:t>
            </w:r>
          </w:p>
        </w:tc>
      </w:tr>
      <w:tr>
        <w:trPr>
          <w:cantSplit/>
          <w:tblHeader w:val="false"/>
        </w:trPr>
        <w:tc>
          <w:tcPr>
            <w:tcW w:type="dxa" w:w="1150"/>
            <w:tcMar>
              <w:top w:type="dxa" w:w="50"/>
              <w:left w:type="dxa" w:w="90"/>
              <w:bottom w:type="dxa" w:w="50"/>
              <w:right w:type="dxa" w:w="90"/>
            </w:tcMar>
            <w:vAlign w:val="top"/>
          </w:tcPr>
          <w:p>
            <w:pPr>
              <w:spacing w:after="20"/>
            </w:pPr>
            <w:r>
              <w:t xml:space="preserve">4.11</w:t>
            </w:r>
          </w:p>
        </w:tc>
        <w:tc>
          <w:tcPr>
            <w:tcW w:type="dxa" w:w="4568"/>
            <w:tcMar>
              <w:top w:type="dxa" w:w="50"/>
              <w:left w:type="dxa" w:w="90"/>
              <w:bottom w:type="dxa" w:w="50"/>
              <w:right w:type="dxa" w:w="90"/>
            </w:tcMar>
            <w:vAlign w:val="top"/>
          </w:tcPr>
          <w:p>
            <w:pPr>
              <w:spacing w:after="20"/>
            </w:pPr>
            <w:r>
              <w:t xml:space="preserve">NBC hydraulic services and fire compliance (as allocated)</w:t>
            </w:r>
          </w:p>
        </w:tc>
        <w:tc>
          <w:tcPr>
            <w:tcW w:type="dxa" w:w="2350"/>
            <w:tcMar>
              <w:top w:type="dxa" w:w="50"/>
              <w:left w:type="dxa" w:w="90"/>
              <w:bottom w:type="dxa" w:w="50"/>
              <w:right w:type="dxa" w:w="90"/>
            </w:tcMar>
            <w:vAlign w:val="top"/>
          </w:tcPr>
          <w:p>
            <w:pPr>
              <w:spacing w:after="20"/>
            </w:pPr>
            <w:r>
              <w:t xml:space="preserve">In Stage 1A lump sum</w:t>
            </w:r>
          </w:p>
        </w:tc>
        <w:tc>
          <w:tcPr>
            <w:tcW w:type="dxa" w:w="2300"/>
            <w:tcMar>
              <w:top w:type="dxa" w:w="50"/>
              <w:left w:type="dxa" w:w="90"/>
              <w:bottom w:type="dxa" w:w="50"/>
              <w:right w:type="dxa" w:w="90"/>
            </w:tcMar>
            <w:vAlign w:val="top"/>
          </w:tcPr>
          <w:p>
            <w:pPr>
              <w:spacing w:after="20"/>
              <w:jc w:val="right"/>
            </w:pPr>
            <w:r>
              <w:t xml:space="preserve">—</w:t>
            </w:r>
          </w:p>
        </w:tc>
      </w:tr>
      <w:tr>
        <w:trPr>
          <w:cantSplit/>
          <w:tblHeader w:val="false"/>
        </w:trPr>
        <w:tc>
          <w:tcPr>
            <w:tcW w:type="dxa" w:w="1150"/>
            <w:tcMar>
              <w:top w:type="dxa" w:w="50"/>
              <w:left w:type="dxa" w:w="90"/>
              <w:bottom w:type="dxa" w:w="50"/>
              <w:right w:type="dxa" w:w="90"/>
            </w:tcMar>
            <w:vAlign w:val="top"/>
          </w:tcPr>
          <w:p>
            <w:pPr>
              <w:spacing w:after="20"/>
            </w:pPr>
            <w:r>
              <w:t xml:space="preserve">4.12</w:t>
            </w:r>
          </w:p>
        </w:tc>
        <w:tc>
          <w:tcPr>
            <w:tcW w:type="dxa" w:w="4568"/>
            <w:tcMar>
              <w:top w:type="dxa" w:w="50"/>
              <w:left w:type="dxa" w:w="90"/>
              <w:bottom w:type="dxa" w:w="50"/>
              <w:right w:type="dxa" w:w="90"/>
            </w:tcMar>
            <w:vAlign w:val="top"/>
          </w:tcPr>
          <w:p>
            <w:pPr>
              <w:spacing w:after="20"/>
            </w:pPr>
            <w:r>
              <w:t xml:space="preserve">NBC plumbing fixtures — supply</w:t>
            </w:r>
          </w:p>
        </w:tc>
        <w:tc>
          <w:tcPr>
            <w:tcW w:type="dxa" w:w="2350"/>
            <w:tcMar>
              <w:top w:type="dxa" w:w="50"/>
              <w:left w:type="dxa" w:w="90"/>
              <w:bottom w:type="dxa" w:w="50"/>
              <w:right w:type="dxa" w:w="90"/>
            </w:tcMar>
            <w:vAlign w:val="top"/>
          </w:tcPr>
          <w:p>
            <w:pPr>
              <w:spacing w:after="20"/>
            </w:pPr>
            <w:r>
              <w:t xml:space="preserve">PC Sum</w:t>
            </w:r>
          </w:p>
        </w:tc>
        <w:tc>
          <w:tcPr>
            <w:tcW w:type="dxa" w:w="2300"/>
            <w:tcMar>
              <w:top w:type="dxa" w:w="50"/>
              <w:left w:type="dxa" w:w="90"/>
              <w:bottom w:type="dxa" w:w="50"/>
              <w:right w:type="dxa" w:w="90"/>
            </w:tcMar>
            <w:vAlign w:val="top"/>
          </w:tcPr>
          <w:p>
            <w:pPr>
              <w:spacing w:after="20"/>
            </w:pPr>
            <w:r>
              <w:rPr>
                <w:b w:val="false"/>
                <w:bCs w:val="false"/>
              </w:rPr>
              <w:t xml:space="preserve">$207,268.84</w:t>
            </w:r>
          </w:p>
        </w:tc>
      </w:tr>
      <w:tr>
        <w:trPr>
          <w:cantSplit/>
          <w:tblHeader w:val="false"/>
        </w:trPr>
        <w:tc>
          <w:tcPr>
            <w:tcW w:type="dxa" w:w="1150"/>
            <w:tcMar>
              <w:top w:type="dxa" w:w="50"/>
              <w:left w:type="dxa" w:w="90"/>
              <w:bottom w:type="dxa" w:w="50"/>
              <w:right w:type="dxa" w:w="90"/>
            </w:tcMar>
            <w:vAlign w:val="top"/>
          </w:tcPr>
          <w:p>
            <w:pPr>
              <w:spacing w:after="20"/>
            </w:pPr>
            <w:r>
              <w:t xml:space="preserve">4.12</w:t>
            </w:r>
          </w:p>
        </w:tc>
        <w:tc>
          <w:tcPr>
            <w:tcW w:type="dxa" w:w="4568"/>
            <w:tcMar>
              <w:top w:type="dxa" w:w="50"/>
              <w:left w:type="dxa" w:w="90"/>
              <w:bottom w:type="dxa" w:w="50"/>
              <w:right w:type="dxa" w:w="90"/>
            </w:tcMar>
            <w:vAlign w:val="top"/>
          </w:tcPr>
          <w:p>
            <w:pPr>
              <w:spacing w:after="20"/>
            </w:pPr>
            <w:r>
              <w:t xml:space="preserve">NBC drinking fountains — 2 × chilled</w:t>
            </w:r>
          </w:p>
        </w:tc>
        <w:tc>
          <w:tcPr>
            <w:tcW w:type="dxa" w:w="2350"/>
            <w:tcMar>
              <w:top w:type="dxa" w:w="50"/>
              <w:left w:type="dxa" w:w="90"/>
              <w:bottom w:type="dxa" w:w="50"/>
              <w:right w:type="dxa" w:w="90"/>
            </w:tcMar>
            <w:vAlign w:val="top"/>
          </w:tcPr>
          <w:p>
            <w:pPr>
              <w:spacing w:after="20"/>
            </w:pPr>
            <w:r>
              <w:t xml:space="preserve">PC Sum</w:t>
            </w:r>
          </w:p>
        </w:tc>
        <w:tc>
          <w:tcPr>
            <w:tcW w:type="dxa" w:w="2300"/>
            <w:tcMar>
              <w:top w:type="dxa" w:w="50"/>
              <w:left w:type="dxa" w:w="90"/>
              <w:bottom w:type="dxa" w:w="50"/>
              <w:right w:type="dxa" w:w="90"/>
            </w:tcMar>
            <w:vAlign w:val="top"/>
          </w:tcPr>
          <w:p>
            <w:pPr>
              <w:spacing w:after="20"/>
            </w:pPr>
            <w:r>
              <w:rPr>
                <w:b w:val="false"/>
                <w:bCs w:val="false"/>
              </w:rPr>
              <w:t xml:space="preserve">$25,415.00</w:t>
            </w:r>
          </w:p>
        </w:tc>
      </w:tr>
      <w:tr>
        <w:trPr>
          <w:cantSplit/>
          <w:tblHeader w:val="false"/>
        </w:trPr>
        <w:tc>
          <w:tcPr>
            <w:tcW w:type="dxa" w:w="1150"/>
            <w:tcMar>
              <w:top w:type="dxa" w:w="50"/>
              <w:left w:type="dxa" w:w="90"/>
              <w:bottom w:type="dxa" w:w="50"/>
              <w:right w:type="dxa" w:w="90"/>
            </w:tcMar>
            <w:vAlign w:val="top"/>
          </w:tcPr>
          <w:p>
            <w:pPr>
              <w:spacing w:after="20"/>
            </w:pPr>
            <w:r>
              <w:t xml:space="preserve">5.0</w:t>
            </w:r>
          </w:p>
        </w:tc>
        <w:tc>
          <w:tcPr>
            <w:tcW w:type="dxa" w:w="4568"/>
            <w:tcMar>
              <w:top w:type="dxa" w:w="50"/>
              <w:left w:type="dxa" w:w="90"/>
              <w:bottom w:type="dxa" w:w="50"/>
              <w:right w:type="dxa" w:w="90"/>
            </w:tcMar>
            <w:vAlign w:val="top"/>
          </w:tcPr>
          <w:p>
            <w:pPr>
              <w:spacing w:after="20"/>
            </w:pPr>
            <w:r>
              <w:t xml:space="preserve">Plumbing, water and sewer connection fees</w:t>
            </w:r>
          </w:p>
        </w:tc>
        <w:tc>
          <w:tcPr>
            <w:tcW w:type="dxa" w:w="2350"/>
            <w:tcMar>
              <w:top w:type="dxa" w:w="50"/>
              <w:left w:type="dxa" w:w="90"/>
              <w:bottom w:type="dxa" w:w="50"/>
              <w:right w:type="dxa" w:w="90"/>
            </w:tcMar>
            <w:vAlign w:val="top"/>
          </w:tcPr>
          <w:p>
            <w:pPr>
              <w:spacing w:after="20"/>
            </w:pPr>
            <w:r>
              <w:t xml:space="preserve">Provisional — as directed</w:t>
            </w:r>
          </w:p>
        </w:tc>
        <w:tc>
          <w:tcPr>
            <w:tcW w:type="dxa" w:w="2300"/>
            <w:tcMar>
              <w:top w:type="dxa" w:w="50"/>
              <w:left w:type="dxa" w:w="90"/>
              <w:bottom w:type="dxa" w:w="50"/>
              <w:right w:type="dxa" w:w="90"/>
            </w:tcMar>
            <w:vAlign w:val="top"/>
          </w:tcPr>
          <w:p>
            <w:pPr>
              <w:spacing w:after="20"/>
            </w:pPr>
            <w:r>
              <w:rPr>
                <w:b w:val="false"/>
                <w:bCs w:val="false"/>
              </w:rPr>
              <w:t xml:space="preserve">$20,000.00</w:t>
            </w:r>
          </w:p>
        </w:tc>
      </w:tr>
      <w:tr>
        <w:trPr>
          <w:cantSplit/>
          <w:tblHeader w:val="false"/>
        </w:trPr>
        <w:tc>
          <w:tcPr>
            <w:tcW w:type="dxa" w:w="1150"/>
            <w:tcMar>
              <w:top w:type="dxa" w:w="50"/>
              <w:left w:type="dxa" w:w="90"/>
              <w:bottom w:type="dxa" w:w="50"/>
              <w:right w:type="dxa" w:w="90"/>
            </w:tcMar>
            <w:vAlign w:val="top"/>
          </w:tcPr>
          <w:p>
            <w:pPr>
              <w:spacing w:after="20"/>
            </w:pPr>
            <w:r>
              <w:t xml:space="preserve">7.0</w:t>
            </w:r>
          </w:p>
        </w:tc>
        <w:tc>
          <w:tcPr>
            <w:tcW w:type="dxa" w:w="4568"/>
            <w:tcMar>
              <w:top w:type="dxa" w:w="50"/>
              <w:left w:type="dxa" w:w="90"/>
              <w:bottom w:type="dxa" w:w="50"/>
              <w:right w:type="dxa" w:w="90"/>
            </w:tcMar>
            <w:vAlign w:val="top"/>
          </w:tcPr>
          <w:p>
            <w:pPr>
              <w:spacing w:after="20"/>
            </w:pPr>
            <w:r>
              <w:t xml:space="preserve">Rock and unsuitable ground rates — hydraulic package excavations only</w:t>
            </w:r>
          </w:p>
        </w:tc>
        <w:tc>
          <w:tcPr>
            <w:tcW w:type="dxa" w:w="2350"/>
            <w:tcMar>
              <w:top w:type="dxa" w:w="50"/>
              <w:left w:type="dxa" w:w="90"/>
              <w:bottom w:type="dxa" w:w="50"/>
              <w:right w:type="dxa" w:w="90"/>
            </w:tcMar>
            <w:vAlign w:val="top"/>
          </w:tcPr>
          <w:p>
            <w:pPr>
              <w:spacing w:after="20"/>
            </w:pPr>
            <w:r>
              <w:t xml:space="preserve">Schedule of rates</w:t>
            </w:r>
          </w:p>
        </w:tc>
        <w:tc>
          <w:tcPr>
            <w:tcW w:type="dxa" w:w="2300"/>
            <w:tcMar>
              <w:top w:type="dxa" w:w="50"/>
              <w:left w:type="dxa" w:w="90"/>
              <w:bottom w:type="dxa" w:w="50"/>
              <w:right w:type="dxa" w:w="90"/>
            </w:tcMar>
            <w:vAlign w:val="top"/>
          </w:tcPr>
          <w:p>
            <w:pPr>
              <w:spacing w:after="20"/>
              <w:jc w:val="right"/>
            </w:pPr>
            <w:r>
              <w:t xml:space="preserve">Rates below</w:t>
            </w:r>
          </w:p>
        </w:tc>
      </w:tr>
      <w:tr>
        <w:trPr>
          <w:cantSplit/>
          <w:tblHeader w:val="false"/>
        </w:trPr>
        <w:tc>
          <w:tcPr>
            <w:tcW w:type="dxa" w:w="1150"/>
            <w:shd w:fill="F2F7FC" w:color="auto" w:val="clear"/>
            <w:tcMar>
              <w:top w:type="dxa" w:w="50"/>
              <w:left w:type="dxa" w:w="90"/>
              <w:bottom w:type="dxa" w:w="50"/>
              <w:right w:type="dxa" w:w="90"/>
            </w:tcMar>
            <w:vAlign w:val="top"/>
          </w:tcPr>
          <w:p>
            <w:pPr>
              <w:spacing w:after="20"/>
            </w:pPr>
            <w:r>
              <w:rPr>
                <w:b/>
                <w:bCs/>
              </w:rPr>
              <w:t xml:space="preserve">—</w:t>
            </w:r>
          </w:p>
        </w:tc>
        <w:tc>
          <w:tcPr>
            <w:tcW w:type="dxa" w:w="4568"/>
            <w:shd w:fill="F2F7FC" w:color="auto" w:val="clear"/>
            <w:tcMar>
              <w:top w:type="dxa" w:w="50"/>
              <w:left w:type="dxa" w:w="90"/>
              <w:bottom w:type="dxa" w:w="50"/>
              <w:right w:type="dxa" w:w="90"/>
            </w:tcMar>
            <w:vAlign w:val="top"/>
          </w:tcPr>
          <w:p>
            <w:pPr>
              <w:spacing w:after="20"/>
            </w:pPr>
            <w:r>
              <w:rPr>
                <w:b/>
                <w:bCs/>
              </w:rPr>
              <w:t xml:space="preserve">Stage 1A Total (lump sum + PC Sums + provisional)</w:t>
            </w:r>
          </w:p>
        </w:tc>
        <w:tc>
          <w:tcPr>
            <w:tcW w:type="dxa" w:w="2350"/>
            <w:shd w:fill="F2F7FC" w:color="auto" w:val="clear"/>
            <w:tcMar>
              <w:top w:type="dxa" w:w="50"/>
              <w:left w:type="dxa" w:w="90"/>
              <w:bottom w:type="dxa" w:w="50"/>
              <w:right w:type="dxa" w:w="90"/>
            </w:tcMar>
            <w:vAlign w:val="top"/>
          </w:tcPr>
          <w:p>
            <w:pPr>
              <w:spacing w:after="20"/>
            </w:pPr>
            <w:r>
              <w:rPr>
                <w:b/>
                <w:bCs/>
              </w:rPr>
              <w:t xml:space="preserve">Ex GST</w:t>
            </w:r>
          </w:p>
        </w:tc>
        <w:tc>
          <w:tcPr>
            <w:tcW w:type="dxa" w:w="2300"/>
            <w:tcMar>
              <w:top w:type="dxa" w:w="50"/>
              <w:left w:type="dxa" w:w="90"/>
              <w:bottom w:type="dxa" w:w="50"/>
              <w:right w:type="dxa" w:w="90"/>
            </w:tcMar>
            <w:vAlign w:val="top"/>
          </w:tcPr>
          <w:p>
            <w:pPr>
              <w:spacing w:after="20"/>
            </w:pPr>
            <w:r>
              <w:rPr>
                <w:b/>
                <w:bCs/>
              </w:rPr>
              <w:t xml:space="preserve">$1,743,304.82</w:t>
            </w:r>
          </w:p>
        </w:tc>
      </w:tr>
    </w:tbl>
    <w:p>
      <w:pPr>
        <w:pStyle w:val="Heading2"/>
        <w:keepNext/>
      </w:pPr>
      <w:r>
        <w:t xml:space="preserve">Stage 1B — "Recreational Park and Public Amenities"</w:t>
      </w:r>
    </w:p>
    <w:tbl>
      <w:tblPr>
        <w:tblW w:type="dxa" w:w="10368"/>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4568"/>
        <w:gridCol w:w="2350"/>
        <w:gridCol w:w="2300"/>
      </w:tblGrid>
      <w:tr>
        <w:trPr>
          <w:cantSplit/>
          <w:tblHeader/>
        </w:trPr>
        <w:tc>
          <w:tcPr>
            <w:tcW w:type="dxa" w:w="1150"/>
            <w:shd w:fill="DEEAF6" w:color="auto" w:val="clear"/>
            <w:tcMar>
              <w:top w:type="dxa" w:w="50"/>
              <w:left w:type="dxa" w:w="90"/>
              <w:bottom w:type="dxa" w:w="50"/>
              <w:right w:type="dxa" w:w="90"/>
            </w:tcMar>
            <w:vAlign w:val="top"/>
          </w:tcPr>
          <w:p>
            <w:pPr>
              <w:spacing w:after="20"/>
            </w:pPr>
            <w:r>
              <w:rPr>
                <w:b/>
                <w:bCs/>
                <w:color w:val="1F4E79"/>
              </w:rPr>
              <w:t xml:space="preserve">Sch 3 ref</w:t>
            </w:r>
          </w:p>
        </w:tc>
        <w:tc>
          <w:tcPr>
            <w:tcW w:type="dxa" w:w="4568"/>
            <w:shd w:fill="DEEAF6" w:color="auto" w:val="clear"/>
            <w:tcMar>
              <w:top w:type="dxa" w:w="50"/>
              <w:left w:type="dxa" w:w="90"/>
              <w:bottom w:type="dxa" w:w="50"/>
              <w:right w:type="dxa" w:w="90"/>
            </w:tcMar>
            <w:vAlign w:val="top"/>
          </w:tcPr>
          <w:p>
            <w:pPr>
              <w:spacing w:after="20"/>
            </w:pPr>
            <w:r>
              <w:rPr>
                <w:b/>
                <w:bCs/>
                <w:color w:val="1F4E79"/>
              </w:rPr>
              <w:t xml:space="preserve">Schedule 3 line</w:t>
            </w:r>
          </w:p>
        </w:tc>
        <w:tc>
          <w:tcPr>
            <w:tcW w:type="dxa" w:w="2350"/>
            <w:shd w:fill="DEEAF6" w:color="auto" w:val="clear"/>
            <w:tcMar>
              <w:top w:type="dxa" w:w="50"/>
              <w:left w:type="dxa" w:w="90"/>
              <w:bottom w:type="dxa" w:w="50"/>
              <w:right w:type="dxa" w:w="90"/>
            </w:tcMar>
            <w:vAlign w:val="top"/>
          </w:tcPr>
          <w:p>
            <w:pPr>
              <w:spacing w:after="20"/>
            </w:pPr>
            <w:r>
              <w:rPr>
                <w:b/>
                <w:bCs/>
                <w:color w:val="1F4E79"/>
              </w:rPr>
              <w:t xml:space="preserve">Treatment</w:t>
            </w:r>
          </w:p>
        </w:tc>
        <w:tc>
          <w:tcPr>
            <w:tcW w:type="dxa" w:w="2300"/>
            <w:shd w:fill="DEEAF6" w:color="auto" w:val="clear"/>
            <w:tcMar>
              <w:top w:type="dxa" w:w="50"/>
              <w:left w:type="dxa" w:w="90"/>
              <w:bottom w:type="dxa" w:w="50"/>
              <w:right w:type="dxa" w:w="90"/>
            </w:tcMar>
            <w:vAlign w:val="top"/>
          </w:tcPr>
          <w:p>
            <w:pPr>
              <w:spacing w:after="20"/>
            </w:pPr>
            <w:r>
              <w:rPr>
                <w:b/>
                <w:bCs/>
                <w:color w:val="1F4E79"/>
              </w:rPr>
              <w:t xml:space="preserve">Amount ex GST</w:t>
            </w:r>
          </w:p>
        </w:tc>
      </w:tr>
      <w:tr>
        <w:trPr>
          <w:cantSplit/>
          <w:tblHeader w:val="false"/>
        </w:trPr>
        <w:tc>
          <w:tcPr>
            <w:tcW w:type="dxa" w:w="1150"/>
            <w:tcMar>
              <w:top w:type="dxa" w:w="50"/>
              <w:left w:type="dxa" w:w="90"/>
              <w:bottom w:type="dxa" w:w="50"/>
              <w:right w:type="dxa" w:w="90"/>
            </w:tcMar>
            <w:vAlign w:val="top"/>
          </w:tcPr>
          <w:p>
            <w:pPr>
              <w:spacing w:after="20"/>
            </w:pPr>
            <w:r>
              <w:t xml:space="preserve">1.1–1.7</w:t>
            </w:r>
          </w:p>
        </w:tc>
        <w:tc>
          <w:tcPr>
            <w:tcW w:type="dxa" w:w="4568"/>
            <w:tcMar>
              <w:top w:type="dxa" w:w="50"/>
              <w:left w:type="dxa" w:w="90"/>
              <w:bottom w:type="dxa" w:w="50"/>
              <w:right w:type="dxa" w:w="90"/>
            </w:tcMar>
            <w:vAlign w:val="top"/>
          </w:tcPr>
          <w:p>
            <w:pPr>
              <w:spacing w:after="20"/>
            </w:pPr>
            <w:r>
              <w:t xml:space="preserve">Preliminaries and documentation — hydraulic package share; standalone-viable 1B</w:t>
            </w:r>
          </w:p>
        </w:tc>
        <w:tc>
          <w:tcPr>
            <w:tcW w:type="dxa" w:w="2350"/>
            <w:tcMar>
              <w:top w:type="dxa" w:w="50"/>
              <w:left w:type="dxa" w:w="90"/>
              <w:bottom w:type="dxa" w:w="50"/>
              <w:right w:type="dxa" w:w="90"/>
            </w:tcMar>
            <w:vAlign w:val="top"/>
          </w:tcPr>
          <w:p>
            <w:pPr>
              <w:spacing w:after="20"/>
            </w:pPr>
            <w:r>
              <w:t xml:space="preserve">In Stage 1B lump sum</w:t>
            </w:r>
          </w:p>
        </w:tc>
        <w:tc>
          <w:tcPr>
            <w:tcW w:type="dxa" w:w="2300"/>
            <w:tcMar>
              <w:top w:type="dxa" w:w="50"/>
              <w:left w:type="dxa" w:w="90"/>
              <w:bottom w:type="dxa" w:w="50"/>
              <w:right w:type="dxa" w:w="90"/>
            </w:tcMar>
            <w:vAlign w:val="top"/>
          </w:tcPr>
          <w:p>
            <w:pPr>
              <w:spacing w:after="20"/>
              <w:jc w:val="right"/>
            </w:pPr>
            <w:r>
              <w:t xml:space="preserve">—</w:t>
            </w:r>
          </w:p>
        </w:tc>
      </w:tr>
      <w:tr>
        <w:trPr>
          <w:cantSplit/>
          <w:tblHeader w:val="false"/>
        </w:trPr>
        <w:tc>
          <w:tcPr>
            <w:tcW w:type="dxa" w:w="1150"/>
            <w:tcMar>
              <w:top w:type="dxa" w:w="50"/>
              <w:left w:type="dxa" w:w="90"/>
              <w:bottom w:type="dxa" w:w="50"/>
              <w:right w:type="dxa" w:w="90"/>
            </w:tcMar>
            <w:vAlign w:val="top"/>
          </w:tcPr>
          <w:p>
            <w:pPr>
              <w:spacing w:after="20"/>
            </w:pPr>
            <w:r>
              <w:t xml:space="preserve">2.1</w:t>
            </w:r>
          </w:p>
        </w:tc>
        <w:tc>
          <w:tcPr>
            <w:tcW w:type="dxa" w:w="4568"/>
            <w:tcMar>
              <w:top w:type="dxa" w:w="50"/>
              <w:left w:type="dxa" w:w="90"/>
              <w:bottom w:type="dxa" w:w="50"/>
              <w:right w:type="dxa" w:w="90"/>
            </w:tcMar>
            <w:vAlign w:val="top"/>
          </w:tcPr>
          <w:p>
            <w:pPr>
              <w:spacing w:after="20"/>
            </w:pPr>
            <w:r>
              <w:t xml:space="preserve">Temporary site services — own requirements, sized for a standalone award</w:t>
            </w:r>
          </w:p>
        </w:tc>
        <w:tc>
          <w:tcPr>
            <w:tcW w:type="dxa" w:w="2350"/>
            <w:tcMar>
              <w:top w:type="dxa" w:w="50"/>
              <w:left w:type="dxa" w:w="90"/>
              <w:bottom w:type="dxa" w:w="50"/>
              <w:right w:type="dxa" w:w="90"/>
            </w:tcMar>
            <w:vAlign w:val="top"/>
          </w:tcPr>
          <w:p>
            <w:pPr>
              <w:spacing w:after="20"/>
            </w:pPr>
            <w:r>
              <w:t xml:space="preserve">In Stage 1B lump sum</w:t>
            </w:r>
          </w:p>
        </w:tc>
        <w:tc>
          <w:tcPr>
            <w:tcW w:type="dxa" w:w="2300"/>
            <w:tcMar>
              <w:top w:type="dxa" w:w="50"/>
              <w:left w:type="dxa" w:w="90"/>
              <w:bottom w:type="dxa" w:w="50"/>
              <w:right w:type="dxa" w:w="90"/>
            </w:tcMar>
            <w:vAlign w:val="top"/>
          </w:tcPr>
          <w:p>
            <w:pPr>
              <w:spacing w:after="20"/>
              <w:jc w:val="right"/>
            </w:pPr>
            <w:r>
              <w:t xml:space="preserve">—</w:t>
            </w:r>
          </w:p>
        </w:tc>
      </w:tr>
      <w:tr>
        <w:trPr>
          <w:cantSplit/>
          <w:tblHeader w:val="false"/>
        </w:trPr>
        <w:tc>
          <w:tcPr>
            <w:tcW w:type="dxa" w:w="1150"/>
            <w:tcMar>
              <w:top w:type="dxa" w:w="50"/>
              <w:left w:type="dxa" w:w="90"/>
              <w:bottom w:type="dxa" w:w="50"/>
              <w:right w:type="dxa" w:w="90"/>
            </w:tcMar>
            <w:vAlign w:val="top"/>
          </w:tcPr>
          <w:p>
            <w:pPr>
              <w:spacing w:after="20"/>
            </w:pPr>
            <w:r>
              <w:t xml:space="preserve">2.2</w:t>
            </w:r>
          </w:p>
        </w:tc>
        <w:tc>
          <w:tcPr>
            <w:tcW w:type="dxa" w:w="4568"/>
            <w:tcMar>
              <w:top w:type="dxa" w:w="50"/>
              <w:left w:type="dxa" w:w="90"/>
              <w:bottom w:type="dxa" w:w="50"/>
              <w:right w:type="dxa" w:w="90"/>
            </w:tcMar>
            <w:vAlign w:val="top"/>
          </w:tcPr>
          <w:p>
            <w:pPr>
              <w:spacing w:after="20"/>
            </w:pPr>
            <w:r>
              <w:t xml:space="preserve">Hydraulic and fire services — Stage 1B’s own connections and reticulation</w:t>
            </w:r>
          </w:p>
        </w:tc>
        <w:tc>
          <w:tcPr>
            <w:tcW w:type="dxa" w:w="2350"/>
            <w:tcMar>
              <w:top w:type="dxa" w:w="50"/>
              <w:left w:type="dxa" w:w="90"/>
              <w:bottom w:type="dxa" w:w="50"/>
              <w:right w:type="dxa" w:w="90"/>
            </w:tcMar>
            <w:vAlign w:val="top"/>
          </w:tcPr>
          <w:p>
            <w:pPr>
              <w:spacing w:after="20"/>
            </w:pPr>
            <w:r>
              <w:t xml:space="preserve">In Stage 1B lump sum</w:t>
            </w:r>
          </w:p>
        </w:tc>
        <w:tc>
          <w:tcPr>
            <w:tcW w:type="dxa" w:w="2300"/>
            <w:tcMar>
              <w:top w:type="dxa" w:w="50"/>
              <w:left w:type="dxa" w:w="90"/>
              <w:bottom w:type="dxa" w:w="50"/>
              <w:right w:type="dxa" w:w="90"/>
            </w:tcMar>
            <w:vAlign w:val="top"/>
          </w:tcPr>
          <w:p>
            <w:pPr>
              <w:spacing w:after="20"/>
              <w:jc w:val="right"/>
            </w:pPr>
            <w:r>
              <w:t xml:space="preserve">—</w:t>
            </w:r>
          </w:p>
        </w:tc>
      </w:tr>
      <w:tr>
        <w:trPr>
          <w:cantSplit/>
          <w:tblHeader w:val="false"/>
        </w:trPr>
        <w:tc>
          <w:tcPr>
            <w:tcW w:type="dxa" w:w="1150"/>
            <w:tcMar>
              <w:top w:type="dxa" w:w="50"/>
              <w:left w:type="dxa" w:w="90"/>
              <w:bottom w:type="dxa" w:w="50"/>
              <w:right w:type="dxa" w:w="90"/>
            </w:tcMar>
            <w:vAlign w:val="top"/>
          </w:tcPr>
          <w:p>
            <w:pPr>
              <w:spacing w:after="20"/>
            </w:pPr>
            <w:r>
              <w:t xml:space="preserve">3.11</w:t>
            </w:r>
          </w:p>
        </w:tc>
        <w:tc>
          <w:tcPr>
            <w:tcW w:type="dxa" w:w="4568"/>
            <w:tcMar>
              <w:top w:type="dxa" w:w="50"/>
              <w:left w:type="dxa" w:w="90"/>
              <w:bottom w:type="dxa" w:w="50"/>
              <w:right w:type="dxa" w:w="90"/>
            </w:tcMar>
            <w:vAlign w:val="top"/>
          </w:tcPr>
          <w:p>
            <w:pPr>
              <w:spacing w:after="20"/>
            </w:pPr>
            <w:r>
              <w:t xml:space="preserve">PAM hydraulic services and fire compliance (as allocated)</w:t>
            </w:r>
          </w:p>
        </w:tc>
        <w:tc>
          <w:tcPr>
            <w:tcW w:type="dxa" w:w="2350"/>
            <w:tcMar>
              <w:top w:type="dxa" w:w="50"/>
              <w:left w:type="dxa" w:w="90"/>
              <w:bottom w:type="dxa" w:w="50"/>
              <w:right w:type="dxa" w:w="90"/>
            </w:tcMar>
            <w:vAlign w:val="top"/>
          </w:tcPr>
          <w:p>
            <w:pPr>
              <w:spacing w:after="20"/>
            </w:pPr>
            <w:r>
              <w:t xml:space="preserve">In Stage 1B lump sum</w:t>
            </w:r>
          </w:p>
        </w:tc>
        <w:tc>
          <w:tcPr>
            <w:tcW w:type="dxa" w:w="2300"/>
            <w:tcMar>
              <w:top w:type="dxa" w:w="50"/>
              <w:left w:type="dxa" w:w="90"/>
              <w:bottom w:type="dxa" w:w="50"/>
              <w:right w:type="dxa" w:w="90"/>
            </w:tcMar>
            <w:vAlign w:val="top"/>
          </w:tcPr>
          <w:p>
            <w:pPr>
              <w:spacing w:after="20"/>
              <w:jc w:val="right"/>
            </w:pPr>
            <w:r>
              <w:t xml:space="preserve">—</w:t>
            </w:r>
          </w:p>
        </w:tc>
      </w:tr>
      <w:tr>
        <w:trPr>
          <w:cantSplit/>
          <w:tblHeader w:val="false"/>
        </w:trPr>
        <w:tc>
          <w:tcPr>
            <w:tcW w:type="dxa" w:w="1150"/>
            <w:tcMar>
              <w:top w:type="dxa" w:w="50"/>
              <w:left w:type="dxa" w:w="90"/>
              <w:bottom w:type="dxa" w:w="50"/>
              <w:right w:type="dxa" w:w="90"/>
            </w:tcMar>
            <w:vAlign w:val="top"/>
          </w:tcPr>
          <w:p>
            <w:pPr>
              <w:spacing w:after="20"/>
            </w:pPr>
            <w:r>
              <w:t xml:space="preserve">3.12</w:t>
            </w:r>
          </w:p>
        </w:tc>
        <w:tc>
          <w:tcPr>
            <w:tcW w:type="dxa" w:w="4568"/>
            <w:tcMar>
              <w:top w:type="dxa" w:w="50"/>
              <w:left w:type="dxa" w:w="90"/>
              <w:bottom w:type="dxa" w:w="50"/>
              <w:right w:type="dxa" w:w="90"/>
            </w:tcMar>
            <w:vAlign w:val="top"/>
          </w:tcPr>
          <w:p>
            <w:pPr>
              <w:spacing w:after="20"/>
            </w:pPr>
            <w:r>
              <w:t xml:space="preserve">PAM plumbing fixtures — supply</w:t>
            </w:r>
          </w:p>
        </w:tc>
        <w:tc>
          <w:tcPr>
            <w:tcW w:type="dxa" w:w="2350"/>
            <w:tcMar>
              <w:top w:type="dxa" w:w="50"/>
              <w:left w:type="dxa" w:w="90"/>
              <w:bottom w:type="dxa" w:w="50"/>
              <w:right w:type="dxa" w:w="90"/>
            </w:tcMar>
            <w:vAlign w:val="top"/>
          </w:tcPr>
          <w:p>
            <w:pPr>
              <w:spacing w:after="20"/>
            </w:pPr>
            <w:r>
              <w:t xml:space="preserve">PC Sum</w:t>
            </w:r>
          </w:p>
        </w:tc>
        <w:tc>
          <w:tcPr>
            <w:tcW w:type="dxa" w:w="2300"/>
            <w:tcMar>
              <w:top w:type="dxa" w:w="50"/>
              <w:left w:type="dxa" w:w="90"/>
              <w:bottom w:type="dxa" w:w="50"/>
              <w:right w:type="dxa" w:w="90"/>
            </w:tcMar>
            <w:vAlign w:val="top"/>
          </w:tcPr>
          <w:p>
            <w:pPr>
              <w:spacing w:after="20"/>
            </w:pPr>
            <w:r>
              <w:rPr>
                <w:b w:val="false"/>
                <w:bCs w:val="false"/>
              </w:rPr>
              <w:t xml:space="preserve">$17,250.00</w:t>
            </w:r>
          </w:p>
        </w:tc>
      </w:tr>
      <w:tr>
        <w:trPr>
          <w:cantSplit/>
          <w:tblHeader w:val="false"/>
        </w:trPr>
        <w:tc>
          <w:tcPr>
            <w:tcW w:type="dxa" w:w="1150"/>
            <w:tcMar>
              <w:top w:type="dxa" w:w="50"/>
              <w:left w:type="dxa" w:w="90"/>
              <w:bottom w:type="dxa" w:w="50"/>
              <w:right w:type="dxa" w:w="90"/>
            </w:tcMar>
            <w:vAlign w:val="top"/>
          </w:tcPr>
          <w:p>
            <w:pPr>
              <w:spacing w:after="20"/>
            </w:pPr>
            <w:r>
              <w:t xml:space="preserve">3.12</w:t>
            </w:r>
          </w:p>
        </w:tc>
        <w:tc>
          <w:tcPr>
            <w:tcW w:type="dxa" w:w="4568"/>
            <w:tcMar>
              <w:top w:type="dxa" w:w="50"/>
              <w:left w:type="dxa" w:w="90"/>
              <w:bottom w:type="dxa" w:w="50"/>
              <w:right w:type="dxa" w:w="90"/>
            </w:tcMar>
            <w:vAlign w:val="top"/>
          </w:tcPr>
          <w:p>
            <w:pPr>
              <w:spacing w:after="20"/>
            </w:pPr>
            <w:r>
              <w:t xml:space="preserve">PAM drinking fountains — 2 × non-chilled</w:t>
            </w:r>
          </w:p>
        </w:tc>
        <w:tc>
          <w:tcPr>
            <w:tcW w:type="dxa" w:w="2350"/>
            <w:tcMar>
              <w:top w:type="dxa" w:w="50"/>
              <w:left w:type="dxa" w:w="90"/>
              <w:bottom w:type="dxa" w:w="50"/>
              <w:right w:type="dxa" w:w="90"/>
            </w:tcMar>
            <w:vAlign w:val="top"/>
          </w:tcPr>
          <w:p>
            <w:pPr>
              <w:spacing w:after="20"/>
            </w:pPr>
            <w:r>
              <w:t xml:space="preserve">PC Sum</w:t>
            </w:r>
          </w:p>
        </w:tc>
        <w:tc>
          <w:tcPr>
            <w:tcW w:type="dxa" w:w="2300"/>
            <w:tcMar>
              <w:top w:type="dxa" w:w="50"/>
              <w:left w:type="dxa" w:w="90"/>
              <w:bottom w:type="dxa" w:w="50"/>
              <w:right w:type="dxa" w:w="90"/>
            </w:tcMar>
            <w:vAlign w:val="top"/>
          </w:tcPr>
          <w:p>
            <w:pPr>
              <w:spacing w:after="20"/>
            </w:pPr>
            <w:r>
              <w:rPr>
                <w:b w:val="false"/>
                <w:bCs w:val="false"/>
              </w:rPr>
              <w:t xml:space="preserve">$16,560.00</w:t>
            </w:r>
          </w:p>
        </w:tc>
      </w:tr>
      <w:tr>
        <w:trPr>
          <w:cantSplit/>
          <w:tblHeader w:val="false"/>
        </w:trPr>
        <w:tc>
          <w:tcPr>
            <w:tcW w:type="dxa" w:w="1150"/>
            <w:tcMar>
              <w:top w:type="dxa" w:w="50"/>
              <w:left w:type="dxa" w:w="90"/>
              <w:bottom w:type="dxa" w:w="50"/>
              <w:right w:type="dxa" w:w="90"/>
            </w:tcMar>
            <w:vAlign w:val="top"/>
          </w:tcPr>
          <w:p>
            <w:pPr>
              <w:spacing w:after="20"/>
            </w:pPr>
            <w:r>
              <w:t xml:space="preserve">4.5</w:t>
            </w:r>
          </w:p>
        </w:tc>
        <w:tc>
          <w:tcPr>
            <w:tcW w:type="dxa" w:w="4568"/>
            <w:tcMar>
              <w:top w:type="dxa" w:w="50"/>
              <w:left w:type="dxa" w:w="90"/>
              <w:bottom w:type="dxa" w:w="50"/>
              <w:right w:type="dxa" w:w="90"/>
            </w:tcMar>
            <w:vAlign w:val="top"/>
          </w:tcPr>
          <w:p>
            <w:pPr>
              <w:spacing w:after="20"/>
            </w:pPr>
            <w:r>
              <w:t xml:space="preserve">Water bubbler stations — 4 no. (recreational park)</w:t>
            </w:r>
          </w:p>
        </w:tc>
        <w:tc>
          <w:tcPr>
            <w:tcW w:type="dxa" w:w="2350"/>
            <w:tcMar>
              <w:top w:type="dxa" w:w="50"/>
              <w:left w:type="dxa" w:w="90"/>
              <w:bottom w:type="dxa" w:w="50"/>
              <w:right w:type="dxa" w:w="90"/>
            </w:tcMar>
            <w:vAlign w:val="top"/>
          </w:tcPr>
          <w:p>
            <w:pPr>
              <w:spacing w:after="20"/>
            </w:pPr>
            <w:r>
              <w:t xml:space="preserve">PC Sum</w:t>
            </w:r>
          </w:p>
        </w:tc>
        <w:tc>
          <w:tcPr>
            <w:tcW w:type="dxa" w:w="2300"/>
            <w:tcMar>
              <w:top w:type="dxa" w:w="50"/>
              <w:left w:type="dxa" w:w="90"/>
              <w:bottom w:type="dxa" w:w="50"/>
              <w:right w:type="dxa" w:w="90"/>
            </w:tcMar>
            <w:vAlign w:val="top"/>
          </w:tcPr>
          <w:p>
            <w:pPr>
              <w:spacing w:after="20"/>
            </w:pPr>
            <w:r>
              <w:rPr>
                <w:b w:val="false"/>
                <w:bCs w:val="false"/>
              </w:rPr>
              <w:t xml:space="preserve">$33,120.00</w:t>
            </w:r>
          </w:p>
        </w:tc>
      </w:tr>
      <w:tr>
        <w:trPr>
          <w:cantSplit/>
          <w:tblHeader w:val="false"/>
        </w:trPr>
        <w:tc>
          <w:tcPr>
            <w:tcW w:type="dxa" w:w="1150"/>
            <w:tcMar>
              <w:top w:type="dxa" w:w="50"/>
              <w:left w:type="dxa" w:w="90"/>
              <w:bottom w:type="dxa" w:w="50"/>
              <w:right w:type="dxa" w:w="90"/>
            </w:tcMar>
            <w:vAlign w:val="top"/>
          </w:tcPr>
          <w:p>
            <w:pPr>
              <w:spacing w:after="20"/>
            </w:pPr>
            <w:r>
              <w:t xml:space="preserve">4.6</w:t>
            </w:r>
          </w:p>
        </w:tc>
        <w:tc>
          <w:tcPr>
            <w:tcW w:type="dxa" w:w="4568"/>
            <w:tcMar>
              <w:top w:type="dxa" w:w="50"/>
              <w:left w:type="dxa" w:w="90"/>
              <w:bottom w:type="dxa" w:w="50"/>
              <w:right w:type="dxa" w:w="90"/>
            </w:tcMar>
            <w:vAlign w:val="top"/>
          </w:tcPr>
          <w:p>
            <w:pPr>
              <w:spacing w:after="20"/>
            </w:pPr>
            <w:r>
              <w:t xml:space="preserve">Plumbing, water and sewer connection fees</w:t>
            </w:r>
          </w:p>
        </w:tc>
        <w:tc>
          <w:tcPr>
            <w:tcW w:type="dxa" w:w="2350"/>
            <w:tcMar>
              <w:top w:type="dxa" w:w="50"/>
              <w:left w:type="dxa" w:w="90"/>
              <w:bottom w:type="dxa" w:w="50"/>
              <w:right w:type="dxa" w:w="90"/>
            </w:tcMar>
            <w:vAlign w:val="top"/>
          </w:tcPr>
          <w:p>
            <w:pPr>
              <w:spacing w:after="20"/>
            </w:pPr>
            <w:r>
              <w:t xml:space="preserve">Provisional — as directed</w:t>
            </w:r>
          </w:p>
        </w:tc>
        <w:tc>
          <w:tcPr>
            <w:tcW w:type="dxa" w:w="2300"/>
            <w:tcMar>
              <w:top w:type="dxa" w:w="50"/>
              <w:left w:type="dxa" w:w="90"/>
              <w:bottom w:type="dxa" w:w="50"/>
              <w:right w:type="dxa" w:w="90"/>
            </w:tcMar>
            <w:vAlign w:val="top"/>
          </w:tcPr>
          <w:p>
            <w:pPr>
              <w:spacing w:after="20"/>
            </w:pPr>
            <w:r>
              <w:rPr>
                <w:b w:val="false"/>
                <w:bCs w:val="false"/>
              </w:rPr>
              <w:t xml:space="preserve">$20,000.00</w:t>
            </w:r>
          </w:p>
        </w:tc>
      </w:tr>
      <w:tr>
        <w:trPr>
          <w:cantSplit/>
          <w:tblHeader w:val="false"/>
        </w:trPr>
        <w:tc>
          <w:tcPr>
            <w:tcW w:type="dxa" w:w="1150"/>
            <w:tcMar>
              <w:top w:type="dxa" w:w="50"/>
              <w:left w:type="dxa" w:w="90"/>
              <w:bottom w:type="dxa" w:w="50"/>
              <w:right w:type="dxa" w:w="90"/>
            </w:tcMar>
            <w:vAlign w:val="top"/>
          </w:tcPr>
          <w:p>
            <w:pPr>
              <w:spacing w:after="20"/>
            </w:pPr>
            <w:r>
              <w:t xml:space="preserve">5.0</w:t>
            </w:r>
          </w:p>
        </w:tc>
        <w:tc>
          <w:tcPr>
            <w:tcW w:type="dxa" w:w="4568"/>
            <w:tcMar>
              <w:top w:type="dxa" w:w="50"/>
              <w:left w:type="dxa" w:w="90"/>
              <w:bottom w:type="dxa" w:w="50"/>
              <w:right w:type="dxa" w:w="90"/>
            </w:tcMar>
            <w:vAlign w:val="top"/>
          </w:tcPr>
          <w:p>
            <w:pPr>
              <w:spacing w:after="20"/>
            </w:pPr>
            <w:r>
              <w:t xml:space="preserve">Rock and unsuitable ground rates — hydraulic package excavations only</w:t>
            </w:r>
          </w:p>
        </w:tc>
        <w:tc>
          <w:tcPr>
            <w:tcW w:type="dxa" w:w="2350"/>
            <w:tcMar>
              <w:top w:type="dxa" w:w="50"/>
              <w:left w:type="dxa" w:w="90"/>
              <w:bottom w:type="dxa" w:w="50"/>
              <w:right w:type="dxa" w:w="90"/>
            </w:tcMar>
            <w:vAlign w:val="top"/>
          </w:tcPr>
          <w:p>
            <w:pPr>
              <w:spacing w:after="20"/>
            </w:pPr>
            <w:r>
              <w:t xml:space="preserve">Schedule of rates</w:t>
            </w:r>
          </w:p>
        </w:tc>
        <w:tc>
          <w:tcPr>
            <w:tcW w:type="dxa" w:w="2300"/>
            <w:tcMar>
              <w:top w:type="dxa" w:w="50"/>
              <w:left w:type="dxa" w:w="90"/>
              <w:bottom w:type="dxa" w:w="50"/>
              <w:right w:type="dxa" w:w="90"/>
            </w:tcMar>
            <w:vAlign w:val="top"/>
          </w:tcPr>
          <w:p>
            <w:pPr>
              <w:spacing w:after="20"/>
              <w:jc w:val="right"/>
            </w:pPr>
            <w:r>
              <w:t xml:space="preserve">Rates below</w:t>
            </w:r>
          </w:p>
        </w:tc>
      </w:tr>
      <w:tr>
        <w:trPr>
          <w:cantSplit/>
          <w:tblHeader w:val="false"/>
        </w:trPr>
        <w:tc>
          <w:tcPr>
            <w:tcW w:type="dxa" w:w="1150"/>
            <w:shd w:fill="F2F7FC" w:color="auto" w:val="clear"/>
            <w:tcMar>
              <w:top w:type="dxa" w:w="50"/>
              <w:left w:type="dxa" w:w="90"/>
              <w:bottom w:type="dxa" w:w="50"/>
              <w:right w:type="dxa" w:w="90"/>
            </w:tcMar>
            <w:vAlign w:val="top"/>
          </w:tcPr>
          <w:p>
            <w:pPr>
              <w:spacing w:after="20"/>
            </w:pPr>
            <w:r>
              <w:rPr>
                <w:b/>
                <w:bCs/>
              </w:rPr>
              <w:t xml:space="preserve">—</w:t>
            </w:r>
          </w:p>
        </w:tc>
        <w:tc>
          <w:tcPr>
            <w:tcW w:type="dxa" w:w="4568"/>
            <w:shd w:fill="F2F7FC" w:color="auto" w:val="clear"/>
            <w:tcMar>
              <w:top w:type="dxa" w:w="50"/>
              <w:left w:type="dxa" w:w="90"/>
              <w:bottom w:type="dxa" w:w="50"/>
              <w:right w:type="dxa" w:w="90"/>
            </w:tcMar>
            <w:vAlign w:val="top"/>
          </w:tcPr>
          <w:p>
            <w:pPr>
              <w:spacing w:after="20"/>
            </w:pPr>
            <w:r>
              <w:rPr>
                <w:b/>
                <w:bCs/>
              </w:rPr>
              <w:t xml:space="preserve">Stage 1B Total (lump sum + PC Sums + provisional)</w:t>
            </w:r>
          </w:p>
        </w:tc>
        <w:tc>
          <w:tcPr>
            <w:tcW w:type="dxa" w:w="2350"/>
            <w:shd w:fill="F2F7FC" w:color="auto" w:val="clear"/>
            <w:tcMar>
              <w:top w:type="dxa" w:w="50"/>
              <w:left w:type="dxa" w:w="90"/>
              <w:bottom w:type="dxa" w:w="50"/>
              <w:right w:type="dxa" w:w="90"/>
            </w:tcMar>
            <w:vAlign w:val="top"/>
          </w:tcPr>
          <w:p>
            <w:pPr>
              <w:spacing w:after="20"/>
            </w:pPr>
            <w:r>
              <w:rPr>
                <w:b/>
                <w:bCs/>
              </w:rPr>
              <w:t xml:space="preserve">Ex GST</w:t>
            </w:r>
          </w:p>
        </w:tc>
        <w:tc>
          <w:tcPr>
            <w:tcW w:type="dxa" w:w="2300"/>
            <w:tcMar>
              <w:top w:type="dxa" w:w="50"/>
              <w:left w:type="dxa" w:w="90"/>
              <w:bottom w:type="dxa" w:w="50"/>
              <w:right w:type="dxa" w:w="90"/>
            </w:tcMar>
            <w:vAlign w:val="top"/>
          </w:tcPr>
          <w:p>
            <w:pPr>
              <w:spacing w:after="20"/>
            </w:pPr>
            <w:r>
              <w:rPr>
                <w:b/>
                <w:bCs/>
              </w:rPr>
              <w:t xml:space="preserve">$266,489.36</w:t>
            </w:r>
          </w:p>
        </w:tc>
      </w:tr>
    </w:tbl>
    <w:p>
      <w:pPr>
        <w:spacing w:before="80"/>
      </w:pPr>
      <w:r>
        <w:t xml:space="preserve">Stage 1A Section 6.0 (southern section site works) is an electrical-only section and is not our scope. Stage 1A items 2.3 and 2.5 and Stage 1B item 2.3 (stormwater drainage) are priced by TriCore Civil Services — refer the cross-referrals under "Exclusions, Qualifications and Departures".</w:t>
      </w:r>
    </w:p>
    <w:p>
      <w:pPr>
        <w:pStyle w:val="Heading2"/>
        <w:keepNext/>
      </w:pPr>
      <w:r>
        <w:t xml:space="preserve">Schedule of Rates — Extra-Over Rock and Unsuitable Ground (Schedule 1A item 7.0 / Schedule 1B item 5.0)</w:t>
      </w:r>
    </w:p>
    <w:tbl>
      <w:tblPr>
        <w:tblW w:type="dxa" w:w="10368"/>
        <w:tblBorders>
          <w:top w:val="single" w:color="BFBFBF" w:sz="4"/>
          <w:left w:val="single" w:color="BFBFBF" w:sz="4"/>
          <w:bottom w:val="single" w:color="BFBFBF" w:sz="4"/>
          <w:right w:val="single" w:color="BFBFBF" w:sz="4"/>
          <w:insideH w:val="single" w:color="BFBFBF" w:sz="4"/>
          <w:insideV w:val="single" w:color="BFBFBF" w:sz="4"/>
        </w:tblBorders>
      </w:tblPr>
      <w:tblGrid>
        <w:gridCol w:w="6068"/>
        <w:gridCol w:w="1500"/>
        <w:gridCol w:w="2800"/>
      </w:tblGrid>
      <w:tr>
        <w:trPr>
          <w:cantSplit/>
          <w:tblHeader/>
        </w:trPr>
        <w:tc>
          <w:tcPr>
            <w:tcW w:type="dxa" w:w="6068"/>
            <w:shd w:fill="DEEAF6" w:color="auto" w:val="clear"/>
            <w:tcMar>
              <w:top w:type="dxa" w:w="50"/>
              <w:left w:type="dxa" w:w="90"/>
              <w:bottom w:type="dxa" w:w="50"/>
              <w:right w:type="dxa" w:w="90"/>
            </w:tcMar>
            <w:vAlign w:val="top"/>
          </w:tcPr>
          <w:p>
            <w:pPr>
              <w:spacing w:after="20"/>
            </w:pPr>
            <w:r>
              <w:rPr>
                <w:b/>
                <w:bCs/>
                <w:color w:val="1F4E79"/>
              </w:rPr>
              <w:t xml:space="preserve">Rate line</w:t>
            </w:r>
          </w:p>
        </w:tc>
        <w:tc>
          <w:tcPr>
            <w:tcW w:type="dxa" w:w="1500"/>
            <w:shd w:fill="DEEAF6" w:color="auto" w:val="clear"/>
            <w:tcMar>
              <w:top w:type="dxa" w:w="50"/>
              <w:left w:type="dxa" w:w="90"/>
              <w:bottom w:type="dxa" w:w="50"/>
              <w:right w:type="dxa" w:w="90"/>
            </w:tcMar>
            <w:vAlign w:val="top"/>
          </w:tcPr>
          <w:p>
            <w:pPr>
              <w:spacing w:after="20"/>
            </w:pPr>
            <w:r>
              <w:rPr>
                <w:b/>
                <w:bCs/>
                <w:color w:val="1F4E79"/>
              </w:rPr>
              <w:t xml:space="preserve">Unit</w:t>
            </w:r>
          </w:p>
        </w:tc>
        <w:tc>
          <w:tcPr>
            <w:tcW w:type="dxa" w:w="2800"/>
            <w:shd w:fill="DEEAF6" w:color="auto" w:val="clear"/>
            <w:tcMar>
              <w:top w:type="dxa" w:w="50"/>
              <w:left w:type="dxa" w:w="90"/>
              <w:bottom w:type="dxa" w:w="50"/>
              <w:right w:type="dxa" w:w="90"/>
            </w:tcMar>
            <w:vAlign w:val="top"/>
          </w:tcPr>
          <w:p>
            <w:pPr>
              <w:spacing w:after="20"/>
            </w:pPr>
            <w:r>
              <w:rPr>
                <w:b/>
                <w:bCs/>
                <w:color w:val="1F4E79"/>
              </w:rPr>
              <w:t xml:space="preserve">Tendered rate ex GST</w:t>
            </w:r>
          </w:p>
        </w:tc>
      </w:tr>
      <w:tr>
        <w:trPr>
          <w:cantSplit/>
          <w:tblHeader w:val="false"/>
        </w:trPr>
        <w:tc>
          <w:tcPr>
            <w:tcW w:type="dxa" w:w="6068"/>
            <w:tcMar>
              <w:top w:type="dxa" w:w="50"/>
              <w:left w:type="dxa" w:w="90"/>
              <w:bottom w:type="dxa" w:w="50"/>
              <w:right w:type="dxa" w:w="90"/>
            </w:tcMar>
            <w:vAlign w:val="top"/>
          </w:tcPr>
          <w:p>
            <w:pPr>
              <w:spacing w:after="20"/>
            </w:pPr>
            <w:r>
              <w:t xml:space="preserve">Soft rock — trench excavation (extra over)</w:t>
            </w:r>
          </w:p>
        </w:tc>
        <w:tc>
          <w:tcPr>
            <w:tcW w:type="dxa" w:w="1500"/>
            <w:tcMar>
              <w:top w:type="dxa" w:w="50"/>
              <w:left w:type="dxa" w:w="90"/>
              <w:bottom w:type="dxa" w:w="50"/>
              <w:right w:type="dxa" w:w="90"/>
            </w:tcMar>
            <w:vAlign w:val="top"/>
          </w:tcPr>
          <w:p>
            <w:pPr>
              <w:spacing w:after="20"/>
            </w:pPr>
            <w:r>
              <w:t xml:space="preserve">m³</w:t>
            </w:r>
          </w:p>
        </w:tc>
        <w:tc>
          <w:tcPr>
            <w:tcW w:type="dxa" w:w="2800"/>
            <w:tcMar>
              <w:top w:type="dxa" w:w="50"/>
              <w:left w:type="dxa" w:w="90"/>
              <w:bottom w:type="dxa" w:w="50"/>
              <w:right w:type="dxa" w:w="90"/>
            </w:tcMar>
            <w:vAlign w:val="top"/>
          </w:tcPr>
          <w:p>
            <w:pPr>
              <w:spacing w:after="20"/>
            </w:pPr>
            <w:r>
              <w:rPr>
                <w:b w:val="false"/>
                <w:bCs w:val="false"/>
              </w:rPr>
              <w:t xml:space="preserve">$134.65</w:t>
            </w:r>
          </w:p>
        </w:tc>
      </w:tr>
      <w:tr>
        <w:trPr>
          <w:cantSplit/>
          <w:tblHeader w:val="false"/>
        </w:trPr>
        <w:tc>
          <w:tcPr>
            <w:tcW w:type="dxa" w:w="6068"/>
            <w:tcMar>
              <w:top w:type="dxa" w:w="50"/>
              <w:left w:type="dxa" w:w="90"/>
              <w:bottom w:type="dxa" w:w="50"/>
              <w:right w:type="dxa" w:w="90"/>
            </w:tcMar>
            <w:vAlign w:val="top"/>
          </w:tcPr>
          <w:p>
            <w:pPr>
              <w:spacing w:after="20"/>
            </w:pPr>
            <w:r>
              <w:t xml:space="preserve">Hard rock — trench excavation (extra over)</w:t>
            </w:r>
          </w:p>
        </w:tc>
        <w:tc>
          <w:tcPr>
            <w:tcW w:type="dxa" w:w="1500"/>
            <w:tcMar>
              <w:top w:type="dxa" w:w="50"/>
              <w:left w:type="dxa" w:w="90"/>
              <w:bottom w:type="dxa" w:w="50"/>
              <w:right w:type="dxa" w:w="90"/>
            </w:tcMar>
            <w:vAlign w:val="top"/>
          </w:tcPr>
          <w:p>
            <w:pPr>
              <w:spacing w:after="20"/>
            </w:pPr>
            <w:r>
              <w:t xml:space="preserve">m³</w:t>
            </w:r>
          </w:p>
        </w:tc>
        <w:tc>
          <w:tcPr>
            <w:tcW w:type="dxa" w:w="2800"/>
            <w:tcMar>
              <w:top w:type="dxa" w:w="50"/>
              <w:left w:type="dxa" w:w="90"/>
              <w:bottom w:type="dxa" w:w="50"/>
              <w:right w:type="dxa" w:w="90"/>
            </w:tcMar>
            <w:vAlign w:val="top"/>
          </w:tcPr>
          <w:p>
            <w:pPr>
              <w:spacing w:after="20"/>
            </w:pPr>
            <w:r>
              <w:rPr>
                <w:b w:val="false"/>
                <w:bCs w:val="false"/>
              </w:rPr>
              <w:t xml:space="preserve">$421.83</w:t>
            </w:r>
          </w:p>
        </w:tc>
      </w:tr>
      <w:tr>
        <w:trPr>
          <w:cantSplit/>
          <w:tblHeader w:val="false"/>
        </w:trPr>
        <w:tc>
          <w:tcPr>
            <w:tcW w:type="dxa" w:w="6068"/>
            <w:tcMar>
              <w:top w:type="dxa" w:w="50"/>
              <w:left w:type="dxa" w:w="90"/>
              <w:bottom w:type="dxa" w:w="50"/>
              <w:right w:type="dxa" w:w="90"/>
            </w:tcMar>
            <w:vAlign w:val="top"/>
          </w:tcPr>
          <w:p>
            <w:pPr>
              <w:spacing w:after="20"/>
            </w:pPr>
            <w:r>
              <w:t xml:space="preserve">Soft rock — pit / structure excavation (extra over)</w:t>
            </w:r>
          </w:p>
        </w:tc>
        <w:tc>
          <w:tcPr>
            <w:tcW w:type="dxa" w:w="1500"/>
            <w:tcMar>
              <w:top w:type="dxa" w:w="50"/>
              <w:left w:type="dxa" w:w="90"/>
              <w:bottom w:type="dxa" w:w="50"/>
              <w:right w:type="dxa" w:w="90"/>
            </w:tcMar>
            <w:vAlign w:val="top"/>
          </w:tcPr>
          <w:p>
            <w:pPr>
              <w:spacing w:after="20"/>
            </w:pPr>
            <w:r>
              <w:t xml:space="preserve">m³</w:t>
            </w:r>
          </w:p>
        </w:tc>
        <w:tc>
          <w:tcPr>
            <w:tcW w:type="dxa" w:w="2800"/>
            <w:tcMar>
              <w:top w:type="dxa" w:w="50"/>
              <w:left w:type="dxa" w:w="90"/>
              <w:bottom w:type="dxa" w:w="50"/>
              <w:right w:type="dxa" w:w="90"/>
            </w:tcMar>
            <w:vAlign w:val="top"/>
          </w:tcPr>
          <w:p>
            <w:pPr>
              <w:spacing w:after="20"/>
            </w:pPr>
            <w:r>
              <w:rPr>
                <w:b w:val="false"/>
                <w:bCs w:val="false"/>
              </w:rPr>
              <w:t xml:space="preserve">$226.02</w:t>
            </w:r>
          </w:p>
        </w:tc>
      </w:tr>
      <w:tr>
        <w:trPr>
          <w:cantSplit/>
          <w:tblHeader w:val="false"/>
        </w:trPr>
        <w:tc>
          <w:tcPr>
            <w:tcW w:type="dxa" w:w="6068"/>
            <w:tcMar>
              <w:top w:type="dxa" w:w="50"/>
              <w:left w:type="dxa" w:w="90"/>
              <w:bottom w:type="dxa" w:w="50"/>
              <w:right w:type="dxa" w:w="90"/>
            </w:tcMar>
            <w:vAlign w:val="top"/>
          </w:tcPr>
          <w:p>
            <w:pPr>
              <w:spacing w:after="20"/>
            </w:pPr>
            <w:r>
              <w:t xml:space="preserve">Hard rock — pit / structure excavation (extra over)</w:t>
            </w:r>
          </w:p>
        </w:tc>
        <w:tc>
          <w:tcPr>
            <w:tcW w:type="dxa" w:w="1500"/>
            <w:tcMar>
              <w:top w:type="dxa" w:w="50"/>
              <w:left w:type="dxa" w:w="90"/>
              <w:bottom w:type="dxa" w:w="50"/>
              <w:right w:type="dxa" w:w="90"/>
            </w:tcMar>
            <w:vAlign w:val="top"/>
          </w:tcPr>
          <w:p>
            <w:pPr>
              <w:spacing w:after="20"/>
            </w:pPr>
            <w:r>
              <w:t xml:space="preserve">m³</w:t>
            </w:r>
          </w:p>
        </w:tc>
        <w:tc>
          <w:tcPr>
            <w:tcW w:type="dxa" w:w="2800"/>
            <w:tcMar>
              <w:top w:type="dxa" w:w="50"/>
              <w:left w:type="dxa" w:w="90"/>
              <w:bottom w:type="dxa" w:w="50"/>
              <w:right w:type="dxa" w:w="90"/>
            </w:tcMar>
            <w:vAlign w:val="top"/>
          </w:tcPr>
          <w:p>
            <w:pPr>
              <w:spacing w:after="20"/>
            </w:pPr>
            <w:r>
              <w:rPr>
                <w:b w:val="false"/>
                <w:bCs w:val="false"/>
              </w:rPr>
              <w:t xml:space="preserve">$682.90</w:t>
            </w:r>
          </w:p>
        </w:tc>
      </w:tr>
      <w:tr>
        <w:trPr>
          <w:cantSplit/>
          <w:tblHeader w:val="false"/>
        </w:trPr>
        <w:tc>
          <w:tcPr>
            <w:tcW w:type="dxa" w:w="6068"/>
            <w:tcMar>
              <w:top w:type="dxa" w:w="50"/>
              <w:left w:type="dxa" w:w="90"/>
              <w:bottom w:type="dxa" w:w="50"/>
              <w:right w:type="dxa" w:w="90"/>
            </w:tcMar>
            <w:vAlign w:val="top"/>
          </w:tcPr>
          <w:p>
            <w:pPr>
              <w:spacing w:after="20"/>
            </w:pPr>
            <w:r>
              <w:t xml:space="preserve">Unsuitable ground — removal and reinstatement (extra over)</w:t>
            </w:r>
          </w:p>
        </w:tc>
        <w:tc>
          <w:tcPr>
            <w:tcW w:type="dxa" w:w="1500"/>
            <w:tcMar>
              <w:top w:type="dxa" w:w="50"/>
              <w:left w:type="dxa" w:w="90"/>
              <w:bottom w:type="dxa" w:w="50"/>
              <w:right w:type="dxa" w:w="90"/>
            </w:tcMar>
            <w:vAlign w:val="top"/>
          </w:tcPr>
          <w:p>
            <w:pPr>
              <w:spacing w:after="20"/>
            </w:pPr>
            <w:r>
              <w:t xml:space="preserve">m³</w:t>
            </w:r>
          </w:p>
        </w:tc>
        <w:tc>
          <w:tcPr>
            <w:tcW w:type="dxa" w:w="2800"/>
            <w:tcMar>
              <w:top w:type="dxa" w:w="50"/>
              <w:left w:type="dxa" w:w="90"/>
              <w:bottom w:type="dxa" w:w="50"/>
              <w:right w:type="dxa" w:w="90"/>
            </w:tcMar>
            <w:vAlign w:val="top"/>
          </w:tcPr>
          <w:p>
            <w:pPr>
              <w:spacing w:after="20"/>
            </w:pPr>
            <w:r>
              <w:rPr>
                <w:b w:val="false"/>
                <w:bCs w:val="false"/>
              </w:rPr>
              <w:t xml:space="preserve">$110.28</w:t>
            </w:r>
          </w:p>
        </w:tc>
      </w:tr>
    </w:tbl>
    <w:p>
      <w:pPr>
        <w:spacing w:before="80"/>
      </w:pPr>
      <w:r>
        <w:t xml:space="preserve">The rates above are extra-over rates applying to the hydraulic package’s own trench and pit excavations only, tendered for soft and hard rock separately for trenches and for pits as required by H002 note 24, and identical for both stages. They carry a rate and no quantity, contribute nothing to the tendered sums, and will be valued at the scheduled rate if and when a quantity is directed in writing by the Superintendent (ITT Part 2 §18). Rock reasonably anticipated from the bore logs of NQL2024-0320 is deemed included in the lump sums: the rates apply below the bore-log rock horizons. The three inconsistent rock regimes in the tender documents are raised at Appendix B query A2 with this priced regime stated.</w:t>
      </w:r>
    </w:p>
    <w:p>
      <w:pPr>
        <w:pStyle w:val="Heading1"/>
        <w:keepNext/>
      </w:pPr>
      <w:r>
        <w:t xml:space="preserve">Hydraulic Basis</w:t>
      </w:r>
    </w:p>
    <w:p>
      <w:pPr>
        <w:spacing w:after="100"/>
      </w:pPr>
      <w:r>
        <w:rPr>
          <w:b/>
          <w:bCs/>
        </w:rPr>
        <w:t xml:space="preserve">In-ground potable main — HDPE. </w:t>
      </w:r>
      <w:r>
        <w:t xml:space="preserve">The Ø200 potable main is tendered as PE100 SDR11 HDPE (Ø200 internal diameter, DN250 series), electrofusion-jointed, with no in-ground copper alternate offered. This is a conforming selection, not a departure: VOL 38 §10.1’s own alternatives table expressly permits "Cromford – Blue Stripe PE Grade: PN16" with an equivalence of Copper 200 ≡ Cromford PN16 250. The selection is also the correct authority and engineering outcome: H003 requires the tapping to be carried out to RRC requirements and approval, VOL 38 nominates Fitzroy River Water as the authority and ITT Part 2 §16 routes the connection through the FRW Private Works Application — buried Type B copper is not standard accepted FRW/CMDG reticulation practice. Geotechnical report NQL2024-0320 Table 14 classifies site exposure as Mild–Moderate for steel, with TP7 resistivity of 952 ohm-cm and chloride at 1,600 mg/kg: a buried metallic main in this ground is a durability risk which inert HDPE eliminates. On whole-of-life grounds the HDPE main carries fewer joints, electrofusion integrity and no wrapping or cathodic protection regime. The copper tapping-cluster fittings remain in the base as documented. Confirmation is requested at Appendix B query C4.</w:t>
      </w:r>
    </w:p>
    <w:p>
      <w:pPr>
        <w:spacing w:after="100"/>
      </w:pPr>
      <w:r>
        <w:rPr>
          <w:b/>
          <w:bCs/>
        </w:rPr>
        <w:t xml:space="preserve">Above-ground building water. </w:t>
      </w:r>
      <w:r>
        <w:t xml:space="preserve">Building water services are tendered conforming: 316 stainless steel press-fit (Viega Sanpress Inox per VOL 38) for services &gt;DN22 and PEX for services ≤DN22, in accordance with drawing note WS2 (H-NBC-002). The services have additionally been priced in copper, identified as alternate ALT-A under "Tender Value" and held outside the tendered sums, available subject to approval of the material substitution. 316 stainless press-fit is a 10–14 week lead item and is flagged in our procurement programme accordingly.</w:t>
      </w:r>
    </w:p>
    <w:p>
      <w:pPr>
        <w:spacing w:after="100"/>
      </w:pPr>
      <w:r>
        <w:rPr>
          <w:b/>
          <w:bCs/>
        </w:rPr>
        <w:t xml:space="preserve">Articulation — Class H1 "P" site. </w:t>
      </w:r>
      <w:r>
        <w:t xml:space="preserve">The site is classified H1 to AS 2870 with "P" provisions recommended (NQL2024-0320 §5.1) and characteristic surface movement of 40–60 mm in highly reactive clays (Design Report §4.3). Articulated and expansion provisions are priced accordingly at slab entries and exits, changes of direction, and pier/beam penetrations, for both buildings. The structural volumes (04 and 09) were not issued; this stated basis applies pending their receipt and any structural articulation detailing they carry.</w:t>
      </w:r>
    </w:p>
    <w:p>
      <w:pPr>
        <w:spacing w:after="100"/>
      </w:pPr>
      <w:r>
        <w:rPr>
          <w:b/>
          <w:bCs/>
        </w:rPr>
        <w:t xml:space="preserve">Seismic restraint. </w:t>
      </w:r>
      <w:r>
        <w:t xml:space="preserve">The works are priced for installation of seismic restraints to the specified system to AS 1170.4 Earthquake Design Category 2 (VOL 38 §3.15; H002 note 9) on site sub-soil class Ce (NQL2024-0320 §5.2), including access equipment. TriCore provides restraint layout drafting only; no engineering design responsibility is carried within this construct-only package.</w:t>
      </w:r>
    </w:p>
    <w:p>
      <w:pPr>
        <w:spacing w:after="100"/>
      </w:pPr>
      <w:r>
        <w:rPr>
          <w:b/>
          <w:bCs/>
        </w:rPr>
        <w:t xml:space="preserve">Fire services. </w:t>
      </w:r>
      <w:r>
        <w:t xml:space="preserve">Site fire services are priced as drawn: 217.73 m of DN125 fire main, one 100 mm dual pillar hydrant and one 150 mm H-pattern booster assembly with cabinet. H003 prints no pipe lengths and no legible hydrant symbols; coverage against AS 2419.1 is queried at Appendix B query C3. The hydrant block plan requires preliminary approval before manufacture (VOL 38 §25) and programme depends on its timely issue. Boost testing, hydrostatic testing and third-party Form 72 certification of the installed fire services are included.</w:t>
      </w:r>
    </w:p>
    <w:p>
      <w:pPr>
        <w:pStyle w:val="Heading1"/>
        <w:keepNext/>
      </w:pPr>
      <w:r>
        <w:t xml:space="preserve">Noted Inclusions: Hydraulic Services</w:t>
      </w:r>
    </w:p>
    <w:p>
      <w:pPr>
        <w:spacing w:after="100"/>
      </w:pPr>
      <w:r>
        <w:t xml:space="preserve">Each of the following is included in the tendered sums and traces to a priced line of our cost model:</w:t>
      </w:r>
    </w:p>
    <w:p>
      <w:pPr>
        <w:pStyle w:val="ListParagraph"/>
        <w:numPr>
          <w:ilvl w:val="0"/>
          <w:numId w:val="2"/>
        </w:numPr>
        <w:spacing w:after="60"/>
      </w:pPr>
      <w:r>
        <w:t xml:space="preserve">Project-specific preliminaries for the included hydraulic scope of each stage: establishment, supervision and project management, safety, environmental and quality documentation and ITPs, traffic control for our own works and deliveries, erosion and sediment control local to our own open trenches, and trade set-out from Principal-supplied survey control.</w:t>
      </w:r>
    </w:p>
    <w:p>
      <w:pPr>
        <w:pStyle w:val="ListParagraph"/>
        <w:numPr>
          <w:ilvl w:val="0"/>
          <w:numId w:val="2"/>
        </w:numPr>
        <w:spacing w:after="60"/>
      </w:pPr>
      <w:r>
        <w:t xml:space="preserve">Temporary site services for our own works in full — portable toilets and wash facilities, generator power and temporary potable water storage and distribution — no site power or water being provided (ITT §17.3). Nothing is shared with, or drawn from, any other contractor, and Stage 1B is sized for a standalone award.</w:t>
      </w:r>
    </w:p>
    <w:p>
      <w:pPr>
        <w:pStyle w:val="ListParagraph"/>
        <w:numPr>
          <w:ilvl w:val="0"/>
          <w:numId w:val="2"/>
        </w:numPr>
        <w:spacing w:after="60"/>
      </w:pPr>
      <w:r>
        <w:t xml:space="preserve">Gravity sewerage mains (Stage 1A): 207.53 m comprising 29.29 m of Ø150 and 178.24 m of Ø100, two sewer maintenance structures, and the Ø150 property connection to the existing maintenance hole (location to be confirmed on site), terminating at the Council-installed pump station’s nominated inlet pipe piece.</w:t>
      </w:r>
    </w:p>
    <w:p>
      <w:pPr>
        <w:pStyle w:val="ListParagraph"/>
        <w:numPr>
          <w:ilvl w:val="0"/>
          <w:numId w:val="2"/>
        </w:numPr>
        <w:spacing w:after="60"/>
      </w:pPr>
      <w:r>
        <w:t xml:space="preserve">Water mains (Stage 1A): the Ø200 authority tapping cluster to RRC/Fitzroy River Water requirements, the 100 mm fire and 100 mm cold water meter assemblies, the 4 m × 2 m meter slab with bollards, and the HDPE potable main per the Hydraulic Basis, including the mains installed through Stage 1B land to serve Stage 1A.</w:t>
      </w:r>
    </w:p>
    <w:p>
      <w:pPr>
        <w:pStyle w:val="ListParagraph"/>
        <w:numPr>
          <w:ilvl w:val="0"/>
          <w:numId w:val="2"/>
        </w:numPr>
        <w:spacing w:after="60"/>
      </w:pPr>
      <w:r>
        <w:t xml:space="preserve">Site water reticulation (Stage 1A): 236.88 m of 125 PE cold water spine, six take-off sets, 111.51 m of 32/25 branches, capped future services as drawn, and the Ø100 irrigation take-off capped above ground at the E-type flange.</w:t>
      </w:r>
    </w:p>
    <w:p>
      <w:pPr>
        <w:pStyle w:val="ListParagraph"/>
        <w:numPr>
          <w:ilvl w:val="0"/>
          <w:numId w:val="2"/>
        </w:numPr>
        <w:spacing w:after="60"/>
      </w:pPr>
      <w:r>
        <w:t xml:space="preserve">Site fire services (Stage 1A): 217.73 m of DN125 fire main, one 150 mm H-pattern booster assembly with cabinet, and one 100 mm dual pillar hydrant, with boost test, hydrostatic testing and Form 72 certification, and QFES witness notification per VOL 38.</w:t>
      </w:r>
    </w:p>
    <w:p>
      <w:pPr>
        <w:pStyle w:val="ListParagraph"/>
        <w:numPr>
          <w:ilvl w:val="0"/>
          <w:numId w:val="2"/>
        </w:numPr>
        <w:spacing w:after="60"/>
      </w:pPr>
      <w:r>
        <w:t xml:space="preserve">Stage 1B connections and reticulation: branch take-offs from the Stage 1A mains from and including each branch fitting/valve, PAM Ø25/Ø32 water entries, the Ø100 PAM sewer leg, drinking fountain and bubbler supplies and wastes, and hose taps.</w:t>
      </w:r>
    </w:p>
    <w:p>
      <w:pPr>
        <w:pStyle w:val="ListParagraph"/>
        <w:numPr>
          <w:ilvl w:val="0"/>
          <w:numId w:val="2"/>
        </w:numPr>
        <w:spacing w:after="60"/>
      </w:pPr>
      <w:r>
        <w:t xml:space="preserve">NBC building hydraulics: 268.4 m of sanitary drainage; 54.78 m of trade waste drainage with the 1500 L in-ground grease arrestor on a stated allowance basis (Appendix B query C7); building water in 316 stainless press-fit &gt;DN22 and PEX ≤DN22; two Rheem 315 L hot water units with safe trays, 316 stainless mounting plinths and seismic strapping; the hot water circulating pump set with flow/return loop; RPZD/backflow and check-valve assemblies; ten TMVs in lockable stainless boxes; two automatic trap primers; and roof downpipe in-ground connection stubs terminating at the "CONNECT TO CIVIL" points as drawn.</w:t>
      </w:r>
    </w:p>
    <w:p>
      <w:pPr>
        <w:pStyle w:val="ListParagraph"/>
        <w:numPr>
          <w:ilvl w:val="0"/>
          <w:numId w:val="2"/>
        </w:numPr>
        <w:spacing w:after="60"/>
      </w:pPr>
      <w:r>
        <w:t xml:space="preserve">NBC fire compliance: one 36 m fire hose reel with isolation valve and one fire blanket, installed and connected.</w:t>
      </w:r>
    </w:p>
    <w:p>
      <w:pPr>
        <w:pStyle w:val="ListParagraph"/>
        <w:numPr>
          <w:ilvl w:val="0"/>
          <w:numId w:val="2"/>
        </w:numPr>
        <w:spacing w:after="60"/>
      </w:pPr>
      <w:r>
        <w:t xml:space="preserve">PAM building hydraulics: 68.09 m of sanitary drainage at 1:60 grade; overflow relief gully and four floor waste gullies; one Rheem 50 L hot water unit with safe tray, 316 stainless plinth and seismic restraint; one TMV in a lockable stainless cabinet; the Ø32 check-meter assembly at the building entry; building water in 316 stainless press-fit/PEX as NBC; articulation and expansion provisions; and roof downpipe in-ground connection stubs as drawn.</w:t>
      </w:r>
    </w:p>
    <w:p>
      <w:pPr>
        <w:pStyle w:val="ListParagraph"/>
        <w:numPr>
          <w:ilvl w:val="0"/>
          <w:numId w:val="2"/>
        </w:numPr>
        <w:spacing w:after="60"/>
      </w:pPr>
      <w:r>
        <w:t xml:space="preserve">Articulation hardware to the H1 "P" regime for both buildings — swivel/expansion joints at slab entries and exits, changes of direction and penetrations — per the Hydraulic Basis.</w:t>
      </w:r>
    </w:p>
    <w:p>
      <w:pPr>
        <w:pStyle w:val="ListParagraph"/>
        <w:numPr>
          <w:ilvl w:val="0"/>
          <w:numId w:val="2"/>
        </w:numPr>
        <w:spacing w:after="60"/>
      </w:pPr>
      <w:r>
        <w:t xml:space="preserve">Seismic restraint hardware and installation to AS 1170.4 EDC 2 for both buildings, with restraint layout drafting only.</w:t>
      </w:r>
    </w:p>
    <w:p>
      <w:pPr>
        <w:pStyle w:val="ListParagraph"/>
        <w:numPr>
          <w:ilvl w:val="0"/>
          <w:numId w:val="2"/>
        </w:numPr>
        <w:spacing w:after="60"/>
      </w:pPr>
      <w:r>
        <w:t xml:space="preserve">Installation and connection only of the five Principal-supplied Billi Quadra 4180 boiling/chilled units, including benchtop tap holes and underbench tundishes.</w:t>
      </w:r>
    </w:p>
    <w:p>
      <w:pPr>
        <w:pStyle w:val="ListParagraph"/>
        <w:numPr>
          <w:ilvl w:val="0"/>
          <w:numId w:val="2"/>
        </w:numPr>
        <w:spacing w:after="60"/>
      </w:pPr>
      <w:r>
        <w:t xml:space="preserve">Installation, fit-off and connection of the sanitary fixtures and tapware supplied under the fixture PC Sums (93 fixtures NBC; 15 fixtures PAM at the adopted counts), including fit-off consumables.</w:t>
      </w:r>
    </w:p>
    <w:p>
      <w:pPr>
        <w:pStyle w:val="ListParagraph"/>
        <w:numPr>
          <w:ilvl w:val="0"/>
          <w:numId w:val="2"/>
        </w:numPr>
        <w:spacing w:after="60"/>
      </w:pPr>
      <w:r>
        <w:t xml:space="preserve">Installation and connection of the PC-Sum drinking fountains (NBC and PAM) and the four water bubbler stations; concrete slabs, plinths and surrounds to the site units are by others and drinking-fountain signage is excluded.</w:t>
      </w:r>
    </w:p>
    <w:p>
      <w:pPr>
        <w:pStyle w:val="ListParagraph"/>
        <w:numPr>
          <w:ilvl w:val="0"/>
          <w:numId w:val="2"/>
        </w:numPr>
        <w:spacing w:after="60"/>
      </w:pPr>
      <w:r>
        <w:t xml:space="preserve">Delivery, craneage, storage and double-handling of long-lead equipment (grease arrestor, hot water plant, booster assembly).</w:t>
      </w:r>
    </w:p>
    <w:p>
      <w:pPr>
        <w:pStyle w:val="ListParagraph"/>
        <w:numPr>
          <w:ilvl w:val="0"/>
          <w:numId w:val="2"/>
        </w:numPr>
        <w:spacing w:after="60"/>
      </w:pPr>
      <w:r>
        <w:t xml:space="preserve">Non-destructive (hydro/vacuum) excavation to the allowance carried for existing-service proving and the authority tapping connection.</w:t>
      </w:r>
    </w:p>
    <w:p>
      <w:pPr>
        <w:pStyle w:val="ListParagraph"/>
        <w:numPr>
          <w:ilvl w:val="0"/>
          <w:numId w:val="2"/>
        </w:numPr>
        <w:spacing w:after="60"/>
      </w:pPr>
      <w:r>
        <w:t xml:space="preserve">Testing and commissioning of the included works: hydrostatic testing and disinfection of the water mains, TMV certifications (eleven), RPZD field tests, hot water commissioning and Form 72 fire certification.</w:t>
      </w:r>
    </w:p>
    <w:p>
      <w:pPr>
        <w:pStyle w:val="ListParagraph"/>
        <w:numPr>
          <w:ilvl w:val="0"/>
          <w:numId w:val="2"/>
        </w:numPr>
        <w:spacing w:after="60"/>
      </w:pPr>
      <w:r>
        <w:t xml:space="preserve">Compaction testing of our own trench backfill at the allowance carried, to the adopted standard stated at Appendix B query C13.</w:t>
      </w:r>
    </w:p>
    <w:p>
      <w:pPr>
        <w:pStyle w:val="ListParagraph"/>
        <w:numPr>
          <w:ilvl w:val="0"/>
          <w:numId w:val="2"/>
        </w:numPr>
        <w:spacing w:after="60"/>
      </w:pPr>
      <w:r>
        <w:t xml:space="preserve">Twelve-month maintenance of the installed fire services including AS 1851 servicing and tagging, as specified (VOL 38).</w:t>
      </w:r>
    </w:p>
    <w:p>
      <w:pPr>
        <w:pStyle w:val="ListParagraph"/>
        <w:numPr>
          <w:ilvl w:val="0"/>
          <w:numId w:val="2"/>
        </w:numPr>
        <w:spacing w:after="60"/>
      </w:pPr>
      <w:r>
        <w:t xml:space="preserve">As-constructed documentation, RPEQ certification and ADAC-compliant XML deliverables for the hydraulic package’s own water, sewer and fire assets, and CCTV of our own in-ground drainage (ITT §19; VOL 38 §3.56; split confirmed at Appendix B query A6).</w:t>
      </w:r>
    </w:p>
    <w:p>
      <w:pPr>
        <w:pStyle w:val="Heading1"/>
        <w:keepNext/>
      </w:pPr>
      <w:r>
        <w:t xml:space="preserve">Building-Specific Scope Clarifications</w:t>
      </w:r>
    </w:p>
    <w:tbl>
      <w:tblPr>
        <w:tblW w:type="dxa" w:w="1036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8668"/>
      </w:tblGrid>
      <w:tr>
        <w:trPr>
          <w:cantSplit/>
          <w:tblHeader/>
        </w:trPr>
        <w:tc>
          <w:tcPr>
            <w:tcW w:type="dxa" w:w="1700"/>
            <w:shd w:fill="DEEAF6" w:color="auto" w:val="clear"/>
            <w:tcMar>
              <w:top w:type="dxa" w:w="50"/>
              <w:left w:type="dxa" w:w="90"/>
              <w:bottom w:type="dxa" w:w="50"/>
              <w:right w:type="dxa" w:w="90"/>
            </w:tcMar>
            <w:vAlign w:val="top"/>
          </w:tcPr>
          <w:p>
            <w:pPr>
              <w:spacing w:after="20"/>
            </w:pPr>
            <w:r>
              <w:rPr>
                <w:b/>
                <w:bCs/>
                <w:color w:val="1F4E79"/>
              </w:rPr>
              <w:t xml:space="preserve">Work area</w:t>
            </w:r>
          </w:p>
        </w:tc>
        <w:tc>
          <w:tcPr>
            <w:tcW w:type="dxa" w:w="8668"/>
            <w:shd w:fill="DEEAF6" w:color="auto" w:val="clear"/>
            <w:tcMar>
              <w:top w:type="dxa" w:w="50"/>
              <w:left w:type="dxa" w:w="90"/>
              <w:bottom w:type="dxa" w:w="50"/>
              <w:right w:type="dxa" w:w="90"/>
            </w:tcMar>
            <w:vAlign w:val="top"/>
          </w:tcPr>
          <w:p>
            <w:pPr>
              <w:spacing w:after="20"/>
            </w:pPr>
            <w:r>
              <w:rPr>
                <w:b/>
                <w:bCs/>
                <w:color w:val="1F4E79"/>
              </w:rPr>
              <w:t xml:space="preserve">Clarification</w:t>
            </w:r>
          </w:p>
        </w:tc>
      </w:tr>
      <w:tr>
        <w:trPr>
          <w:cantSplit/>
          <w:tblHeader w:val="false"/>
        </w:trPr>
        <w:tc>
          <w:tcPr>
            <w:tcW w:type="dxa" w:w="1700"/>
            <w:tcMar>
              <w:top w:type="dxa" w:w="50"/>
              <w:left w:type="dxa" w:w="90"/>
              <w:bottom w:type="dxa" w:w="50"/>
              <w:right w:type="dxa" w:w="90"/>
            </w:tcMar>
            <w:vAlign w:val="top"/>
          </w:tcPr>
          <w:p>
            <w:pPr>
              <w:spacing w:after="20"/>
            </w:pPr>
            <w:r>
              <w:t xml:space="preserve">NBC</w:t>
            </w:r>
          </w:p>
        </w:tc>
        <w:tc>
          <w:tcPr>
            <w:tcW w:type="dxa" w:w="8668"/>
            <w:tcMar>
              <w:top w:type="dxa" w:w="50"/>
              <w:left w:type="dxa" w:w="90"/>
              <w:bottom w:type="dxa" w:w="50"/>
              <w:right w:type="dxa" w:w="90"/>
            </w:tcMar>
            <w:vAlign w:val="top"/>
          </w:tcPr>
          <w:p>
            <w:pPr>
              <w:spacing w:after="20"/>
            </w:pPr>
            <w:r>
              <w:t xml:space="preserve">Grease arrestor: priced at the 1500 L in-ground unit as drawn (H-NBC-102) on a stated allowance basis. The documents give three sizes (1500 L drawing; 2000 L design report; 550–5000 L specification range) — raised at Appendix B query C7. Trade waste pipework to and from the unit is included; the Trade Waste application is excluded (refer Exclusions).</w:t>
            </w:r>
          </w:p>
        </w:tc>
      </w:tr>
      <w:tr>
        <w:trPr>
          <w:cantSplit/>
          <w:tblHeader w:val="false"/>
        </w:trPr>
        <w:tc>
          <w:tcPr>
            <w:tcW w:type="dxa" w:w="1700"/>
            <w:tcMar>
              <w:top w:type="dxa" w:w="50"/>
              <w:left w:type="dxa" w:w="90"/>
              <w:bottom w:type="dxa" w:w="50"/>
              <w:right w:type="dxa" w:w="90"/>
            </w:tcMar>
            <w:vAlign w:val="top"/>
          </w:tcPr>
          <w:p>
            <w:pPr>
              <w:spacing w:after="20"/>
            </w:pPr>
            <w:r>
              <w:t xml:space="preserve">NBC</w:t>
            </w:r>
          </w:p>
        </w:tc>
        <w:tc>
          <w:tcPr>
            <w:tcW w:type="dxa" w:w="8668"/>
            <w:tcMar>
              <w:top w:type="dxa" w:w="50"/>
              <w:left w:type="dxa" w:w="90"/>
              <w:bottom w:type="dxa" w:w="50"/>
              <w:right w:type="dxa" w:w="90"/>
            </w:tcMar>
            <w:vAlign w:val="top"/>
          </w:tcPr>
          <w:p>
            <w:pPr>
              <w:spacing w:after="20"/>
            </w:pPr>
            <w:r>
              <w:t xml:space="preserve">Hot water: two Rheem 315 L units and the circulating pump set are supplied, installed and commissioned. Electrical isolators, power supply, external control panels and control cabling are by the electrical trade (H-NBC-301).</w:t>
            </w:r>
          </w:p>
        </w:tc>
      </w:tr>
      <w:tr>
        <w:trPr>
          <w:cantSplit/>
          <w:tblHeader w:val="false"/>
        </w:trPr>
        <w:tc>
          <w:tcPr>
            <w:tcW w:type="dxa" w:w="1700"/>
            <w:tcMar>
              <w:top w:type="dxa" w:w="50"/>
              <w:left w:type="dxa" w:w="90"/>
              <w:bottom w:type="dxa" w:w="50"/>
              <w:right w:type="dxa" w:w="90"/>
            </w:tcMar>
            <w:vAlign w:val="top"/>
          </w:tcPr>
          <w:p>
            <w:pPr>
              <w:spacing w:after="20"/>
            </w:pPr>
            <w:r>
              <w:t xml:space="preserve">NBC</w:t>
            </w:r>
          </w:p>
        </w:tc>
        <w:tc>
          <w:tcPr>
            <w:tcW w:type="dxa" w:w="8668"/>
            <w:tcMar>
              <w:top w:type="dxa" w:w="50"/>
              <w:left w:type="dxa" w:w="90"/>
              <w:bottom w:type="dxa" w:w="50"/>
              <w:right w:type="dxa" w:w="90"/>
            </w:tcMar>
            <w:vAlign w:val="top"/>
          </w:tcPr>
          <w:p>
            <w:pPr>
              <w:spacing w:after="20"/>
            </w:pPr>
            <w:r>
              <w:t xml:space="preserve">Fixtures: supply under the Stage 1A fixture PC Sum at the adopted counts (93 fixtures); installation in the lump sum. The FF&amp;E schedules state no quantities — Appendix B query C6. The five Billi Quadra 4180 units are Principal-supplied; installation and connection only are included.</w:t>
            </w:r>
          </w:p>
        </w:tc>
      </w:tr>
      <w:tr>
        <w:trPr>
          <w:cantSplit/>
          <w:tblHeader w:val="false"/>
        </w:trPr>
        <w:tc>
          <w:tcPr>
            <w:tcW w:type="dxa" w:w="1700"/>
            <w:tcMar>
              <w:top w:type="dxa" w:w="50"/>
              <w:left w:type="dxa" w:w="90"/>
              <w:bottom w:type="dxa" w:w="50"/>
              <w:right w:type="dxa" w:w="90"/>
            </w:tcMar>
            <w:vAlign w:val="top"/>
          </w:tcPr>
          <w:p>
            <w:pPr>
              <w:spacing w:after="20"/>
            </w:pPr>
            <w:r>
              <w:t xml:space="preserve">NBC</w:t>
            </w:r>
          </w:p>
        </w:tc>
        <w:tc>
          <w:tcPr>
            <w:tcW w:type="dxa" w:w="8668"/>
            <w:tcMar>
              <w:top w:type="dxa" w:w="50"/>
              <w:left w:type="dxa" w:w="90"/>
              <w:bottom w:type="dxa" w:w="50"/>
              <w:right w:type="dxa" w:w="90"/>
            </w:tcMar>
            <w:vAlign w:val="top"/>
          </w:tcPr>
          <w:p>
            <w:pPr>
              <w:spacing w:after="20"/>
            </w:pPr>
            <w:r>
              <w:t xml:space="preserve">Fire: the fire hose reel and fire blanket are included. Eight extinguishers are drawn with no trade allocation — supply is excluded and the position is stated at Appendix B query C10, with an add-price held.</w:t>
            </w:r>
          </w:p>
        </w:tc>
      </w:tr>
      <w:tr>
        <w:trPr>
          <w:cantSplit/>
          <w:tblHeader w:val="false"/>
        </w:trPr>
        <w:tc>
          <w:tcPr>
            <w:tcW w:type="dxa" w:w="1700"/>
            <w:tcMar>
              <w:top w:type="dxa" w:w="50"/>
              <w:left w:type="dxa" w:w="90"/>
              <w:bottom w:type="dxa" w:w="50"/>
              <w:right w:type="dxa" w:w="90"/>
            </w:tcMar>
            <w:vAlign w:val="top"/>
          </w:tcPr>
          <w:p>
            <w:pPr>
              <w:spacing w:after="20"/>
            </w:pPr>
            <w:r>
              <w:t xml:space="preserve">NBC</w:t>
            </w:r>
          </w:p>
        </w:tc>
        <w:tc>
          <w:tcPr>
            <w:tcW w:type="dxa" w:w="8668"/>
            <w:tcMar>
              <w:top w:type="dxa" w:w="50"/>
              <w:left w:type="dxa" w:w="90"/>
              <w:bottom w:type="dxa" w:w="50"/>
              <w:right w:type="dxa" w:w="90"/>
            </w:tcMar>
            <w:vAlign w:val="top"/>
          </w:tcPr>
          <w:p>
            <w:pPr>
              <w:spacing w:after="20"/>
            </w:pPr>
            <w:r>
              <w:t xml:space="preserve">Downpipes: eleven Ø150 downpipes are shown "CONNECT TO CIVIL". In-ground connection stubs only are carried, terminating at the nominated civil connection point; counts and connection points are queried at Appendix B query C11.</w:t>
            </w:r>
          </w:p>
        </w:tc>
      </w:tr>
      <w:tr>
        <w:trPr>
          <w:cantSplit/>
          <w:tblHeader w:val="false"/>
        </w:trPr>
        <w:tc>
          <w:tcPr>
            <w:tcW w:type="dxa" w:w="1700"/>
            <w:tcMar>
              <w:top w:type="dxa" w:w="50"/>
              <w:left w:type="dxa" w:w="90"/>
              <w:bottom w:type="dxa" w:w="50"/>
              <w:right w:type="dxa" w:w="90"/>
            </w:tcMar>
            <w:vAlign w:val="top"/>
          </w:tcPr>
          <w:p>
            <w:pPr>
              <w:spacing w:after="20"/>
            </w:pPr>
            <w:r>
              <w:t xml:space="preserve">Site metering</w:t>
            </w:r>
          </w:p>
        </w:tc>
        <w:tc>
          <w:tcPr>
            <w:tcW w:type="dxa" w:w="8668"/>
            <w:tcMar>
              <w:top w:type="dxa" w:w="50"/>
              <w:left w:type="dxa" w:w="90"/>
              <w:bottom w:type="dxa" w:w="50"/>
              <w:right w:type="dxa" w:w="90"/>
            </w:tcMar>
            <w:vAlign w:val="top"/>
          </w:tcPr>
          <w:p>
            <w:pPr>
              <w:spacing w:after="20"/>
            </w:pPr>
            <w:r>
              <w:t xml:space="preserve">Primary site metering is priced once at the H003 meter slab (Stage 1A site works); the PAM Ø32 check-meter assembly is priced once at the building entry. Should Fitzroy River Water elect to supply meter bodies, a credit applies.</w:t>
            </w:r>
          </w:p>
        </w:tc>
      </w:tr>
      <w:tr>
        <w:trPr>
          <w:cantSplit/>
          <w:tblHeader w:val="false"/>
        </w:trPr>
        <w:tc>
          <w:tcPr>
            <w:tcW w:type="dxa" w:w="1700"/>
            <w:tcMar>
              <w:top w:type="dxa" w:w="50"/>
              <w:left w:type="dxa" w:w="90"/>
              <w:bottom w:type="dxa" w:w="50"/>
              <w:right w:type="dxa" w:w="90"/>
            </w:tcMar>
            <w:vAlign w:val="top"/>
          </w:tcPr>
          <w:p>
            <w:pPr>
              <w:spacing w:after="20"/>
            </w:pPr>
            <w:r>
              <w:t xml:space="preserve">PAM</w:t>
            </w:r>
          </w:p>
        </w:tc>
        <w:tc>
          <w:tcPr>
            <w:tcW w:type="dxa" w:w="8668"/>
            <w:tcMar>
              <w:top w:type="dxa" w:w="50"/>
              <w:left w:type="dxa" w:w="90"/>
              <w:bottom w:type="dxa" w:w="50"/>
              <w:right w:type="dxa" w:w="90"/>
            </w:tcMar>
            <w:vAlign w:val="top"/>
          </w:tcPr>
          <w:p>
            <w:pPr>
              <w:spacing w:after="20"/>
            </w:pPr>
            <w:r>
              <w:t xml:space="preserve">The PAM general note G1 invokes "Schedule 5 NT Building Regulations" — a template artefact. The works are priced to the Queensland NCC/QDC and CMDG framework (Appendix B query C12).</w:t>
            </w:r>
          </w:p>
        </w:tc>
      </w:tr>
      <w:tr>
        <w:trPr>
          <w:cantSplit/>
          <w:tblHeader w:val="false"/>
        </w:trPr>
        <w:tc>
          <w:tcPr>
            <w:tcW w:type="dxa" w:w="1700"/>
            <w:tcMar>
              <w:top w:type="dxa" w:w="50"/>
              <w:left w:type="dxa" w:w="90"/>
              <w:bottom w:type="dxa" w:w="50"/>
              <w:right w:type="dxa" w:w="90"/>
            </w:tcMar>
            <w:vAlign w:val="top"/>
          </w:tcPr>
          <w:p>
            <w:pPr>
              <w:spacing w:after="20"/>
            </w:pPr>
            <w:r>
              <w:t xml:space="preserve">PAM</w:t>
            </w:r>
          </w:p>
        </w:tc>
        <w:tc>
          <w:tcPr>
            <w:tcW w:type="dxa" w:w="8668"/>
            <w:tcMar>
              <w:top w:type="dxa" w:w="50"/>
              <w:left w:type="dxa" w:w="90"/>
              <w:bottom w:type="dxa" w:w="50"/>
              <w:right w:type="dxa" w:w="90"/>
            </w:tcMar>
            <w:vAlign w:val="top"/>
          </w:tcPr>
          <w:p>
            <w:pPr>
              <w:spacing w:after="20"/>
            </w:pPr>
            <w:r>
              <w:t xml:space="preserve">No PRV is documented at the PAM entry against the NBC 500 kPa provision; the check-meter assembly is priced as drawn and any pressure-reduction requirement is unpriced pending direction.</w:t>
            </w:r>
          </w:p>
        </w:tc>
      </w:tr>
      <w:tr>
        <w:trPr>
          <w:cantSplit/>
          <w:tblHeader w:val="false"/>
        </w:trPr>
        <w:tc>
          <w:tcPr>
            <w:tcW w:type="dxa" w:w="1700"/>
            <w:tcMar>
              <w:top w:type="dxa" w:w="50"/>
              <w:left w:type="dxa" w:w="90"/>
              <w:bottom w:type="dxa" w:w="50"/>
              <w:right w:type="dxa" w:w="90"/>
            </w:tcMar>
            <w:vAlign w:val="top"/>
          </w:tcPr>
          <w:p>
            <w:pPr>
              <w:spacing w:after="20"/>
            </w:pPr>
            <w:r>
              <w:t xml:space="preserve">PAM</w:t>
            </w:r>
          </w:p>
        </w:tc>
        <w:tc>
          <w:tcPr>
            <w:tcW w:type="dxa" w:w="8668"/>
            <w:tcMar>
              <w:top w:type="dxa" w:w="50"/>
              <w:left w:type="dxa" w:w="90"/>
              <w:bottom w:type="dxa" w:w="50"/>
              <w:right w:type="dxa" w:w="90"/>
            </w:tcMar>
            <w:vAlign w:val="top"/>
          </w:tcPr>
          <w:p>
            <w:pPr>
              <w:spacing w:after="20"/>
            </w:pPr>
            <w:r>
              <w:t xml:space="preserve">One TMV in a lockable stainless cabinet is priced per the warm-water group shown; cabinet counts unstated on the drawings are subject to final confirmation. Fixtures: supply under the Stage 1B fixture PC Sum at the adopted counts (15 fixtures — Appendix B query C6); the PAM sheets carry no civil connection note for the downpipes (query C11). One drawn extinguisher — supply excluded as NBC (query C10).</w:t>
            </w:r>
          </w:p>
        </w:tc>
      </w:tr>
    </w:tbl>
    <w:p>
      <w:pPr>
        <w:pStyle w:val="Heading1"/>
        <w:keepNext/>
      </w:pPr>
      <w:r>
        <w:t xml:space="preserve">Hydraulic Fixtures and Equipment Allowance</w:t>
      </w:r>
    </w:p>
    <w:p>
      <w:pPr>
        <w:spacing w:after="100"/>
      </w:pPr>
      <w:r>
        <w:t xml:space="preserve">Fixture and equipment supply is carried under the separately identified PC Sums stated under "Provisional Sums and PC Sums"; installation labour, fit-off, connection, testing and commissioning of those items are included in the stage lump sums. The PC Sums are stated inclusive of a 15% supply margin and will be adjusted on actual supply cost plus that margin. The following wording governs throughout this submission:</w:t>
      </w:r>
    </w:p>
    <w:p>
      <w:pPr>
        <w:pStyle w:val="ListParagraph"/>
        <w:numPr>
          <w:ilvl w:val="0"/>
          <w:numId w:val="2"/>
        </w:numPr>
        <w:spacing w:after="60"/>
      </w:pPr>
      <w:r>
        <w:t xml:space="preserve">Fixture supply means the Stage 1A and Stage 1B fixture PC Sums only (Tradelink quotation 1066143 rate basis at the adopted counts). No fixture, tapware or equipment supply is included elsewhere, and no statement in this submission is to be read as including supply beyond the PC Sums stated.</w:t>
      </w:r>
    </w:p>
    <w:p>
      <w:pPr>
        <w:pStyle w:val="ListParagraph"/>
        <w:numPr>
          <w:ilvl w:val="0"/>
          <w:numId w:val="2"/>
        </w:numPr>
        <w:spacing w:after="60"/>
      </w:pPr>
      <w:r>
        <w:t xml:space="preserve">The five Billi Quadra 4180 boiling/chilled units are Principal-supplied (FF&amp;E VOL 25). Their supply value is excluded from the fixture PC Sum; TriCore includes installation and connection only.</w:t>
      </w:r>
    </w:p>
    <w:p>
      <w:pPr>
        <w:pStyle w:val="ListParagraph"/>
        <w:numPr>
          <w:ilvl w:val="0"/>
          <w:numId w:val="2"/>
        </w:numPr>
        <w:spacing w:after="60"/>
      </w:pPr>
      <w:r>
        <w:t xml:space="preserve">Drinking fountains and water bubbler stations are calculated PC Sums: units supplied under the PC Sums and installed and connected by TriCore. Concrete slabs, plinths and surrounds to the site units are by others; drinking-fountain signage is excluded (noted as an extra-cost item on the supplier quotation).</w:t>
      </w:r>
    </w:p>
    <w:p>
      <w:pPr>
        <w:pStyle w:val="ListParagraph"/>
        <w:numPr>
          <w:ilvl w:val="0"/>
          <w:numId w:val="2"/>
        </w:numPr>
        <w:spacing w:after="60"/>
      </w:pPr>
      <w:r>
        <w:t xml:space="preserve">Portable fire extinguishers (eight NBC; one PAM) are excluded. Supply ownership is unallocated in the documents; the position is stated at Appendix B query C10 and an add-price is held.</w:t>
      </w:r>
    </w:p>
    <w:p>
      <w:pPr>
        <w:pStyle w:val="ListParagraph"/>
        <w:numPr>
          <w:ilvl w:val="0"/>
          <w:numId w:val="2"/>
        </w:numPr>
        <w:spacing w:after="60"/>
      </w:pPr>
      <w:r>
        <w:t xml:space="preserve">Backflow prevention devices are supplied, installed, field-tested and certified. Device registration with the water authority rides with the plumbing approval lodgement, which is excluded (refer Exclusions).</w:t>
      </w:r>
    </w:p>
    <w:p>
      <w:pPr>
        <w:pStyle w:val="ListParagraph"/>
        <w:numPr>
          <w:ilvl w:val="0"/>
          <w:numId w:val="2"/>
        </w:numPr>
        <w:spacing w:after="60"/>
      </w:pPr>
      <w:r>
        <w:t xml:space="preserve">Electrical isolators, power supplies, control panels and control cabling to hot water units, the circulating pump set and chilled fountains are by the electrical trade.</w:t>
      </w:r>
    </w:p>
    <w:p>
      <w:pPr>
        <w:pStyle w:val="ListParagraph"/>
        <w:numPr>
          <w:ilvl w:val="0"/>
          <w:numId w:val="2"/>
        </w:numPr>
        <w:spacing w:after="60"/>
      </w:pPr>
      <w:r>
        <w:t xml:space="preserve">The grease arrestor is priced at the 1500 L unit as drawn on a stated allowance basis (Appendix B query C7).</w:t>
      </w:r>
    </w:p>
    <w:p>
      <w:pPr>
        <w:spacing w:after="100"/>
      </w:pPr>
      <w:r>
        <w:t xml:space="preserve">A no-pricing register of hydraulic fixtures and equipment is provided at Appendix A for quantity and coordination reference. Items flagged for final confirmation are to be confirmed prior to procurement; fixture quantities remain subject to the Appendix B query C6 response.</w:t>
      </w:r>
    </w:p>
    <w:p>
      <w:pPr>
        <w:pStyle w:val="Heading1"/>
        <w:keepNext/>
      </w:pPr>
      <w:r>
        <w:t xml:space="preserve">Provisional Sums and PC Sums</w:t>
      </w:r>
    </w:p>
    <w:tbl>
      <w:tblPr>
        <w:tblW w:type="dxa" w:w="1036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1250"/>
        <w:gridCol w:w="3418"/>
        <w:gridCol w:w="1500"/>
        <w:gridCol w:w="3400"/>
      </w:tblGrid>
      <w:tr>
        <w:trPr>
          <w:cantSplit/>
          <w:tblHeader/>
        </w:trPr>
        <w:tc>
          <w:tcPr>
            <w:tcW w:type="dxa" w:w="800"/>
            <w:shd w:fill="DEEAF6" w:color="auto" w:val="clear"/>
            <w:tcMar>
              <w:top w:type="dxa" w:w="50"/>
              <w:left w:type="dxa" w:w="90"/>
              <w:bottom w:type="dxa" w:w="50"/>
              <w:right w:type="dxa" w:w="90"/>
            </w:tcMar>
            <w:vAlign w:val="top"/>
          </w:tcPr>
          <w:p>
            <w:pPr>
              <w:spacing w:after="20"/>
            </w:pPr>
            <w:r>
              <w:rPr>
                <w:b/>
                <w:bCs/>
                <w:color w:val="1F4E79"/>
              </w:rPr>
              <w:t xml:space="preserve">Stage</w:t>
            </w:r>
          </w:p>
        </w:tc>
        <w:tc>
          <w:tcPr>
            <w:tcW w:type="dxa" w:w="1250"/>
            <w:shd w:fill="DEEAF6" w:color="auto" w:val="clear"/>
            <w:tcMar>
              <w:top w:type="dxa" w:w="50"/>
              <w:left w:type="dxa" w:w="90"/>
              <w:bottom w:type="dxa" w:w="50"/>
              <w:right w:type="dxa" w:w="90"/>
            </w:tcMar>
            <w:vAlign w:val="top"/>
          </w:tcPr>
          <w:p>
            <w:pPr>
              <w:spacing w:after="20"/>
            </w:pPr>
            <w:r>
              <w:rPr>
                <w:b/>
                <w:bCs/>
                <w:color w:val="1F4E79"/>
              </w:rPr>
              <w:t xml:space="preserve">Type</w:t>
            </w:r>
          </w:p>
        </w:tc>
        <w:tc>
          <w:tcPr>
            <w:tcW w:type="dxa" w:w="3418"/>
            <w:shd w:fill="DEEAF6" w:color="auto" w:val="clear"/>
            <w:tcMar>
              <w:top w:type="dxa" w:w="50"/>
              <w:left w:type="dxa" w:w="90"/>
              <w:bottom w:type="dxa" w:w="50"/>
              <w:right w:type="dxa" w:w="90"/>
            </w:tcMar>
            <w:vAlign w:val="top"/>
          </w:tcPr>
          <w:p>
            <w:pPr>
              <w:spacing w:after="20"/>
            </w:pPr>
            <w:r>
              <w:rPr>
                <w:b/>
                <w:bCs/>
                <w:color w:val="1F4E79"/>
              </w:rPr>
              <w:t xml:space="preserve">Item</w:t>
            </w:r>
          </w:p>
        </w:tc>
        <w:tc>
          <w:tcPr>
            <w:tcW w:type="dxa" w:w="1500"/>
            <w:shd w:fill="DEEAF6" w:color="auto" w:val="clear"/>
            <w:tcMar>
              <w:top w:type="dxa" w:w="50"/>
              <w:left w:type="dxa" w:w="90"/>
              <w:bottom w:type="dxa" w:w="50"/>
              <w:right w:type="dxa" w:w="90"/>
            </w:tcMar>
            <w:vAlign w:val="top"/>
          </w:tcPr>
          <w:p>
            <w:pPr>
              <w:spacing w:after="20"/>
            </w:pPr>
            <w:r>
              <w:rPr>
                <w:b/>
                <w:bCs/>
                <w:color w:val="1F4E79"/>
              </w:rPr>
              <w:t xml:space="preserve">Amount ex GST</w:t>
            </w:r>
          </w:p>
        </w:tc>
        <w:tc>
          <w:tcPr>
            <w:tcW w:type="dxa" w:w="3400"/>
            <w:shd w:fill="DEEAF6" w:color="auto" w:val="clear"/>
            <w:tcMar>
              <w:top w:type="dxa" w:w="50"/>
              <w:left w:type="dxa" w:w="90"/>
              <w:bottom w:type="dxa" w:w="50"/>
              <w:right w:type="dxa" w:w="90"/>
            </w:tcMar>
            <w:vAlign w:val="top"/>
          </w:tcPr>
          <w:p>
            <w:pPr>
              <w:spacing w:after="20"/>
            </w:pPr>
            <w:r>
              <w:rPr>
                <w:b/>
                <w:bCs/>
                <w:color w:val="1F4E79"/>
              </w:rPr>
              <w:t xml:space="preserve">Basis</w:t>
            </w:r>
          </w:p>
        </w:tc>
      </w:tr>
      <w:tr>
        <w:trPr>
          <w:cantSplit/>
          <w:tblHeader w:val="false"/>
        </w:trPr>
        <w:tc>
          <w:tcPr>
            <w:tcW w:type="dxa" w:w="800"/>
            <w:tcMar>
              <w:top w:type="dxa" w:w="50"/>
              <w:left w:type="dxa" w:w="90"/>
              <w:bottom w:type="dxa" w:w="50"/>
              <w:right w:type="dxa" w:w="90"/>
            </w:tcMar>
            <w:vAlign w:val="top"/>
          </w:tcPr>
          <w:p>
            <w:pPr>
              <w:spacing w:after="20"/>
            </w:pPr>
            <w:r>
              <w:t xml:space="preserve">1A</w:t>
            </w:r>
          </w:p>
        </w:tc>
        <w:tc>
          <w:tcPr>
            <w:tcW w:type="dxa" w:w="1250"/>
            <w:tcMar>
              <w:top w:type="dxa" w:w="50"/>
              <w:left w:type="dxa" w:w="90"/>
              <w:bottom w:type="dxa" w:w="50"/>
              <w:right w:type="dxa" w:w="90"/>
            </w:tcMar>
            <w:vAlign w:val="top"/>
          </w:tcPr>
          <w:p>
            <w:pPr>
              <w:spacing w:after="20"/>
            </w:pPr>
            <w:r>
              <w:t xml:space="preserve">PC Sum</w:t>
            </w:r>
          </w:p>
        </w:tc>
        <w:tc>
          <w:tcPr>
            <w:tcW w:type="dxa" w:w="3418"/>
            <w:tcMar>
              <w:top w:type="dxa" w:w="50"/>
              <w:left w:type="dxa" w:w="90"/>
              <w:bottom w:type="dxa" w:w="50"/>
              <w:right w:type="dxa" w:w="90"/>
            </w:tcMar>
            <w:vAlign w:val="top"/>
          </w:tcPr>
          <w:p>
            <w:pPr>
              <w:spacing w:after="20"/>
            </w:pPr>
            <w:r>
              <w:t xml:space="preserve">Plumbing fixture supply — NBC</w:t>
            </w:r>
          </w:p>
        </w:tc>
        <w:tc>
          <w:tcPr>
            <w:tcW w:type="dxa" w:w="1500"/>
            <w:tcMar>
              <w:top w:type="dxa" w:w="50"/>
              <w:left w:type="dxa" w:w="90"/>
              <w:bottom w:type="dxa" w:w="50"/>
              <w:right w:type="dxa" w:w="90"/>
            </w:tcMar>
            <w:vAlign w:val="top"/>
          </w:tcPr>
          <w:p>
            <w:pPr>
              <w:spacing w:after="20"/>
            </w:pPr>
            <w:r>
              <w:rPr>
                <w:b w:val="false"/>
                <w:bCs w:val="false"/>
              </w:rPr>
              <w:t xml:space="preserve">$207,268.84</w:t>
            </w:r>
          </w:p>
        </w:tc>
        <w:tc>
          <w:tcPr>
            <w:tcW w:type="dxa" w:w="3400"/>
            <w:tcMar>
              <w:top w:type="dxa" w:w="50"/>
              <w:left w:type="dxa" w:w="90"/>
              <w:bottom w:type="dxa" w:w="50"/>
              <w:right w:type="dxa" w:w="90"/>
            </w:tcMar>
            <w:vAlign w:val="top"/>
          </w:tcPr>
          <w:p>
            <w:pPr>
              <w:spacing w:after="20"/>
            </w:pPr>
            <w:r>
              <w:t xml:space="preserve">Tradelink 1066143 rate basis at adopted counts + 15%; installation in lump sum; Billi units excluded (Principal-supplied); quotation validity 13/08/2026 noted</w:t>
            </w:r>
          </w:p>
        </w:tc>
      </w:tr>
      <w:tr>
        <w:trPr>
          <w:cantSplit/>
          <w:tblHeader w:val="false"/>
        </w:trPr>
        <w:tc>
          <w:tcPr>
            <w:tcW w:type="dxa" w:w="800"/>
            <w:tcMar>
              <w:top w:type="dxa" w:w="50"/>
              <w:left w:type="dxa" w:w="90"/>
              <w:bottom w:type="dxa" w:w="50"/>
              <w:right w:type="dxa" w:w="90"/>
            </w:tcMar>
            <w:vAlign w:val="top"/>
          </w:tcPr>
          <w:p>
            <w:pPr>
              <w:spacing w:after="20"/>
            </w:pPr>
            <w:r>
              <w:t xml:space="preserve">1A</w:t>
            </w:r>
          </w:p>
        </w:tc>
        <w:tc>
          <w:tcPr>
            <w:tcW w:type="dxa" w:w="1250"/>
            <w:tcMar>
              <w:top w:type="dxa" w:w="50"/>
              <w:left w:type="dxa" w:w="90"/>
              <w:bottom w:type="dxa" w:w="50"/>
              <w:right w:type="dxa" w:w="90"/>
            </w:tcMar>
            <w:vAlign w:val="top"/>
          </w:tcPr>
          <w:p>
            <w:pPr>
              <w:spacing w:after="20"/>
            </w:pPr>
            <w:r>
              <w:t xml:space="preserve">PC Sum</w:t>
            </w:r>
          </w:p>
        </w:tc>
        <w:tc>
          <w:tcPr>
            <w:tcW w:type="dxa" w:w="3418"/>
            <w:tcMar>
              <w:top w:type="dxa" w:w="50"/>
              <w:left w:type="dxa" w:w="90"/>
              <w:bottom w:type="dxa" w:w="50"/>
              <w:right w:type="dxa" w:w="90"/>
            </w:tcMar>
            <w:vAlign w:val="top"/>
          </w:tcPr>
          <w:p>
            <w:pPr>
              <w:spacing w:after="20"/>
            </w:pPr>
            <w:r>
              <w:t xml:space="preserve">Drinking fountains — 2 × CF400 chilled (NBC)</w:t>
            </w:r>
          </w:p>
        </w:tc>
        <w:tc>
          <w:tcPr>
            <w:tcW w:type="dxa" w:w="1500"/>
            <w:tcMar>
              <w:top w:type="dxa" w:w="50"/>
              <w:left w:type="dxa" w:w="90"/>
              <w:bottom w:type="dxa" w:w="50"/>
              <w:right w:type="dxa" w:w="90"/>
            </w:tcMar>
            <w:vAlign w:val="top"/>
          </w:tcPr>
          <w:p>
            <w:pPr>
              <w:spacing w:after="20"/>
            </w:pPr>
            <w:r>
              <w:rPr>
                <w:b w:val="false"/>
                <w:bCs w:val="false"/>
              </w:rPr>
              <w:t xml:space="preserve">$25,415.00</w:t>
            </w:r>
          </w:p>
        </w:tc>
        <w:tc>
          <w:tcPr>
            <w:tcW w:type="dxa" w:w="3400"/>
            <w:tcMar>
              <w:top w:type="dxa" w:w="50"/>
              <w:left w:type="dxa" w:w="90"/>
              <w:bottom w:type="dxa" w:w="50"/>
              <w:right w:type="dxa" w:w="90"/>
            </w:tcMar>
            <w:vAlign w:val="top"/>
          </w:tcPr>
          <w:p>
            <w:pPr>
              <w:spacing w:after="20"/>
            </w:pPr>
            <w:r>
              <w:t xml:space="preserve">Supply + 15%; installation and connections in lump sum; signage excluded</w:t>
            </w:r>
          </w:p>
        </w:tc>
      </w:tr>
      <w:tr>
        <w:trPr>
          <w:cantSplit/>
          <w:tblHeader w:val="false"/>
        </w:trPr>
        <w:tc>
          <w:tcPr>
            <w:tcW w:type="dxa" w:w="800"/>
            <w:tcMar>
              <w:top w:type="dxa" w:w="50"/>
              <w:left w:type="dxa" w:w="90"/>
              <w:bottom w:type="dxa" w:w="50"/>
              <w:right w:type="dxa" w:w="90"/>
            </w:tcMar>
            <w:vAlign w:val="top"/>
          </w:tcPr>
          <w:p>
            <w:pPr>
              <w:spacing w:after="20"/>
            </w:pPr>
            <w:r>
              <w:t xml:space="preserve">1A</w:t>
            </w:r>
          </w:p>
        </w:tc>
        <w:tc>
          <w:tcPr>
            <w:tcW w:type="dxa" w:w="1250"/>
            <w:tcMar>
              <w:top w:type="dxa" w:w="50"/>
              <w:left w:type="dxa" w:w="90"/>
              <w:bottom w:type="dxa" w:w="50"/>
              <w:right w:type="dxa" w:w="90"/>
            </w:tcMar>
            <w:vAlign w:val="top"/>
          </w:tcPr>
          <w:p>
            <w:pPr>
              <w:spacing w:after="20"/>
            </w:pPr>
            <w:r>
              <w:t xml:space="preserve">Provisional</w:t>
            </w:r>
          </w:p>
        </w:tc>
        <w:tc>
          <w:tcPr>
            <w:tcW w:type="dxa" w:w="3418"/>
            <w:tcMar>
              <w:top w:type="dxa" w:w="50"/>
              <w:left w:type="dxa" w:w="90"/>
              <w:bottom w:type="dxa" w:w="50"/>
              <w:right w:type="dxa" w:w="90"/>
            </w:tcMar>
            <w:vAlign w:val="top"/>
          </w:tcPr>
          <w:p>
            <w:pPr>
              <w:spacing w:after="20"/>
            </w:pPr>
            <w:r>
              <w:t xml:space="preserve">Plumbing, water and sewer connection fees</w:t>
            </w:r>
          </w:p>
        </w:tc>
        <w:tc>
          <w:tcPr>
            <w:tcW w:type="dxa" w:w="1500"/>
            <w:tcMar>
              <w:top w:type="dxa" w:w="50"/>
              <w:left w:type="dxa" w:w="90"/>
              <w:bottom w:type="dxa" w:w="50"/>
              <w:right w:type="dxa" w:w="90"/>
            </w:tcMar>
            <w:vAlign w:val="top"/>
          </w:tcPr>
          <w:p>
            <w:pPr>
              <w:spacing w:after="20"/>
            </w:pPr>
            <w:r>
              <w:rPr>
                <w:b w:val="false"/>
                <w:bCs w:val="false"/>
              </w:rPr>
              <w:t xml:space="preserve">$20,000.00</w:t>
            </w:r>
          </w:p>
        </w:tc>
        <w:tc>
          <w:tcPr>
            <w:tcW w:type="dxa" w:w="3400"/>
            <w:tcMar>
              <w:top w:type="dxa" w:w="50"/>
              <w:left w:type="dxa" w:w="90"/>
              <w:bottom w:type="dxa" w:w="50"/>
              <w:right w:type="dxa" w:w="90"/>
            </w:tcMar>
            <w:vAlign w:val="top"/>
          </w:tcPr>
          <w:p>
            <w:pPr>
              <w:spacing w:after="20"/>
            </w:pPr>
            <w:r>
              <w:t xml:space="preserve">Carried exactly as directed; reimbursed at actual authority cost; no markup applied</w:t>
            </w:r>
          </w:p>
        </w:tc>
      </w:tr>
      <w:tr>
        <w:trPr>
          <w:cantSplit/>
          <w:tblHeader w:val="false"/>
        </w:trPr>
        <w:tc>
          <w:tcPr>
            <w:tcW w:type="dxa" w:w="800"/>
            <w:shd w:fill="F2F7FC" w:color="auto" w:val="clear"/>
            <w:tcMar>
              <w:top w:type="dxa" w:w="50"/>
              <w:left w:type="dxa" w:w="90"/>
              <w:bottom w:type="dxa" w:w="50"/>
              <w:right w:type="dxa" w:w="90"/>
            </w:tcMar>
            <w:vAlign w:val="top"/>
          </w:tcPr>
          <w:p>
            <w:pPr>
              <w:spacing w:after="20"/>
            </w:pPr>
            <w:r>
              <w:rPr>
                <w:b/>
                <w:bCs/>
              </w:rPr>
              <w:t xml:space="preserve">1A</w:t>
            </w:r>
          </w:p>
        </w:tc>
        <w:tc>
          <w:tcPr>
            <w:tcW w:type="dxa" w:w="1250"/>
            <w:shd w:fill="F2F7FC" w:color="auto" w:val="clear"/>
            <w:tcMar>
              <w:top w:type="dxa" w:w="50"/>
              <w:left w:type="dxa" w:w="90"/>
              <w:bottom w:type="dxa" w:w="50"/>
              <w:right w:type="dxa" w:w="90"/>
            </w:tcMar>
            <w:vAlign w:val="top"/>
          </w:tcPr>
          <w:p>
            <w:pPr>
              <w:spacing w:after="20"/>
            </w:pPr>
            <w:r>
              <w:t xml:space="preserve"/>
            </w:r>
          </w:p>
        </w:tc>
        <w:tc>
          <w:tcPr>
            <w:tcW w:type="dxa" w:w="3418"/>
            <w:shd w:fill="F2F7FC" w:color="auto" w:val="clear"/>
            <w:tcMar>
              <w:top w:type="dxa" w:w="50"/>
              <w:left w:type="dxa" w:w="90"/>
              <w:bottom w:type="dxa" w:w="50"/>
              <w:right w:type="dxa" w:w="90"/>
            </w:tcMar>
            <w:vAlign w:val="top"/>
          </w:tcPr>
          <w:p>
            <w:pPr>
              <w:spacing w:after="20"/>
            </w:pPr>
            <w:r>
              <w:rPr>
                <w:b/>
                <w:bCs/>
              </w:rPr>
              <w:t xml:space="preserve">Stage 1A PC Sums and provisional</w:t>
            </w:r>
          </w:p>
        </w:tc>
        <w:tc>
          <w:tcPr>
            <w:tcW w:type="dxa" w:w="1500"/>
            <w:shd w:fill="F2F7FC" w:color="auto" w:val="clear"/>
            <w:tcMar>
              <w:top w:type="dxa" w:w="50"/>
              <w:left w:type="dxa" w:w="90"/>
              <w:bottom w:type="dxa" w:w="50"/>
              <w:right w:type="dxa" w:w="90"/>
            </w:tcMar>
            <w:vAlign w:val="top"/>
          </w:tcPr>
          <w:p>
            <w:pPr>
              <w:spacing w:after="20"/>
            </w:pPr>
            <w:r>
              <w:rPr>
                <w:b/>
                <w:bCs/>
              </w:rPr>
              <w:t xml:space="preserve">$252,683.84</w:t>
            </w:r>
          </w:p>
        </w:tc>
        <w:tc>
          <w:tcPr>
            <w:tcW w:type="dxa" w:w="3400"/>
            <w:shd w:fill="F2F7FC" w:color="auto" w:val="clear"/>
            <w:tcMar>
              <w:top w:type="dxa" w:w="50"/>
              <w:left w:type="dxa" w:w="90"/>
              <w:bottom w:type="dxa" w:w="50"/>
              <w:right w:type="dxa" w:w="90"/>
            </w:tcMar>
            <w:vAlign w:val="top"/>
          </w:tcPr>
          <w:p>
            <w:pPr>
              <w:spacing w:after="20"/>
            </w:pPr>
            <w:r>
              <w:t xml:space="preserve"/>
            </w:r>
          </w:p>
        </w:tc>
      </w:tr>
      <w:tr>
        <w:trPr>
          <w:cantSplit/>
          <w:tblHeader w:val="false"/>
        </w:trPr>
        <w:tc>
          <w:tcPr>
            <w:tcW w:type="dxa" w:w="800"/>
            <w:tcMar>
              <w:top w:type="dxa" w:w="50"/>
              <w:left w:type="dxa" w:w="90"/>
              <w:bottom w:type="dxa" w:w="50"/>
              <w:right w:type="dxa" w:w="90"/>
            </w:tcMar>
            <w:vAlign w:val="top"/>
          </w:tcPr>
          <w:p>
            <w:pPr>
              <w:spacing w:after="20"/>
            </w:pPr>
            <w:r>
              <w:t xml:space="preserve">1B</w:t>
            </w:r>
          </w:p>
        </w:tc>
        <w:tc>
          <w:tcPr>
            <w:tcW w:type="dxa" w:w="1250"/>
            <w:tcMar>
              <w:top w:type="dxa" w:w="50"/>
              <w:left w:type="dxa" w:w="90"/>
              <w:bottom w:type="dxa" w:w="50"/>
              <w:right w:type="dxa" w:w="90"/>
            </w:tcMar>
            <w:vAlign w:val="top"/>
          </w:tcPr>
          <w:p>
            <w:pPr>
              <w:spacing w:after="20"/>
            </w:pPr>
            <w:r>
              <w:t xml:space="preserve">PC Sum</w:t>
            </w:r>
          </w:p>
        </w:tc>
        <w:tc>
          <w:tcPr>
            <w:tcW w:type="dxa" w:w="3418"/>
            <w:tcMar>
              <w:top w:type="dxa" w:w="50"/>
              <w:left w:type="dxa" w:w="90"/>
              <w:bottom w:type="dxa" w:w="50"/>
              <w:right w:type="dxa" w:w="90"/>
            </w:tcMar>
            <w:vAlign w:val="top"/>
          </w:tcPr>
          <w:p>
            <w:pPr>
              <w:spacing w:after="20"/>
            </w:pPr>
            <w:r>
              <w:t xml:space="preserve">Plumbing fixture supply — PAM</w:t>
            </w:r>
          </w:p>
        </w:tc>
        <w:tc>
          <w:tcPr>
            <w:tcW w:type="dxa" w:w="1500"/>
            <w:tcMar>
              <w:top w:type="dxa" w:w="50"/>
              <w:left w:type="dxa" w:w="90"/>
              <w:bottom w:type="dxa" w:w="50"/>
              <w:right w:type="dxa" w:w="90"/>
            </w:tcMar>
            <w:vAlign w:val="top"/>
          </w:tcPr>
          <w:p>
            <w:pPr>
              <w:spacing w:after="20"/>
            </w:pPr>
            <w:r>
              <w:rPr>
                <w:b w:val="false"/>
                <w:bCs w:val="false"/>
              </w:rPr>
              <w:t xml:space="preserve">$17,250.00</w:t>
            </w:r>
          </w:p>
        </w:tc>
        <w:tc>
          <w:tcPr>
            <w:tcW w:type="dxa" w:w="3400"/>
            <w:tcMar>
              <w:top w:type="dxa" w:w="50"/>
              <w:left w:type="dxa" w:w="90"/>
              <w:bottom w:type="dxa" w:w="50"/>
              <w:right w:type="dxa" w:w="90"/>
            </w:tcMar>
            <w:vAlign w:val="top"/>
          </w:tcPr>
          <w:p>
            <w:pPr>
              <w:spacing w:after="20"/>
            </w:pPr>
            <w:r>
              <w:t xml:space="preserve">Extension of the Tradelink 1066143 rate family at adopted counts + 15%; installation in lump sum</w:t>
            </w:r>
          </w:p>
        </w:tc>
      </w:tr>
      <w:tr>
        <w:trPr>
          <w:cantSplit/>
          <w:tblHeader w:val="false"/>
        </w:trPr>
        <w:tc>
          <w:tcPr>
            <w:tcW w:type="dxa" w:w="800"/>
            <w:tcMar>
              <w:top w:type="dxa" w:w="50"/>
              <w:left w:type="dxa" w:w="90"/>
              <w:bottom w:type="dxa" w:w="50"/>
              <w:right w:type="dxa" w:w="90"/>
            </w:tcMar>
            <w:vAlign w:val="top"/>
          </w:tcPr>
          <w:p>
            <w:pPr>
              <w:spacing w:after="20"/>
            </w:pPr>
            <w:r>
              <w:t xml:space="preserve">1B</w:t>
            </w:r>
          </w:p>
        </w:tc>
        <w:tc>
          <w:tcPr>
            <w:tcW w:type="dxa" w:w="1250"/>
            <w:tcMar>
              <w:top w:type="dxa" w:w="50"/>
              <w:left w:type="dxa" w:w="90"/>
              <w:bottom w:type="dxa" w:w="50"/>
              <w:right w:type="dxa" w:w="90"/>
            </w:tcMar>
            <w:vAlign w:val="top"/>
          </w:tcPr>
          <w:p>
            <w:pPr>
              <w:spacing w:after="20"/>
            </w:pPr>
            <w:r>
              <w:t xml:space="preserve">PC Sum</w:t>
            </w:r>
          </w:p>
        </w:tc>
        <w:tc>
          <w:tcPr>
            <w:tcW w:type="dxa" w:w="3418"/>
            <w:tcMar>
              <w:top w:type="dxa" w:w="50"/>
              <w:left w:type="dxa" w:w="90"/>
              <w:bottom w:type="dxa" w:w="50"/>
              <w:right w:type="dxa" w:w="90"/>
            </w:tcMar>
            <w:vAlign w:val="top"/>
          </w:tcPr>
          <w:p>
            <w:pPr>
              <w:spacing w:after="20"/>
            </w:pPr>
            <w:r>
              <w:t xml:space="preserve">Drinking fountains — 2 × CF400 non-chilled (PAM)</w:t>
            </w:r>
          </w:p>
        </w:tc>
        <w:tc>
          <w:tcPr>
            <w:tcW w:type="dxa" w:w="1500"/>
            <w:tcMar>
              <w:top w:type="dxa" w:w="50"/>
              <w:left w:type="dxa" w:w="90"/>
              <w:bottom w:type="dxa" w:w="50"/>
              <w:right w:type="dxa" w:w="90"/>
            </w:tcMar>
            <w:vAlign w:val="top"/>
          </w:tcPr>
          <w:p>
            <w:pPr>
              <w:spacing w:after="20"/>
            </w:pPr>
            <w:r>
              <w:rPr>
                <w:b w:val="false"/>
                <w:bCs w:val="false"/>
              </w:rPr>
              <w:t xml:space="preserve">$16,560.00</w:t>
            </w:r>
          </w:p>
        </w:tc>
        <w:tc>
          <w:tcPr>
            <w:tcW w:type="dxa" w:w="3400"/>
            <w:tcMar>
              <w:top w:type="dxa" w:w="50"/>
              <w:left w:type="dxa" w:w="90"/>
              <w:bottom w:type="dxa" w:w="50"/>
              <w:right w:type="dxa" w:w="90"/>
            </w:tcMar>
            <w:vAlign w:val="top"/>
          </w:tcPr>
          <w:p>
            <w:pPr>
              <w:spacing w:after="20"/>
            </w:pPr>
            <w:r>
              <w:t xml:space="preserve">Benchmark rate + 15%; unit selection subject to final equipment scheduling (Appendix A)</w:t>
            </w:r>
          </w:p>
        </w:tc>
      </w:tr>
      <w:tr>
        <w:trPr>
          <w:cantSplit/>
          <w:tblHeader w:val="false"/>
        </w:trPr>
        <w:tc>
          <w:tcPr>
            <w:tcW w:type="dxa" w:w="800"/>
            <w:tcMar>
              <w:top w:type="dxa" w:w="50"/>
              <w:left w:type="dxa" w:w="90"/>
              <w:bottom w:type="dxa" w:w="50"/>
              <w:right w:type="dxa" w:w="90"/>
            </w:tcMar>
            <w:vAlign w:val="top"/>
          </w:tcPr>
          <w:p>
            <w:pPr>
              <w:spacing w:after="20"/>
            </w:pPr>
            <w:r>
              <w:t xml:space="preserve">1B</w:t>
            </w:r>
          </w:p>
        </w:tc>
        <w:tc>
          <w:tcPr>
            <w:tcW w:type="dxa" w:w="1250"/>
            <w:tcMar>
              <w:top w:type="dxa" w:w="50"/>
              <w:left w:type="dxa" w:w="90"/>
              <w:bottom w:type="dxa" w:w="50"/>
              <w:right w:type="dxa" w:w="90"/>
            </w:tcMar>
            <w:vAlign w:val="top"/>
          </w:tcPr>
          <w:p>
            <w:pPr>
              <w:spacing w:after="20"/>
            </w:pPr>
            <w:r>
              <w:t xml:space="preserve">PC Sum</w:t>
            </w:r>
          </w:p>
        </w:tc>
        <w:tc>
          <w:tcPr>
            <w:tcW w:type="dxa" w:w="3418"/>
            <w:tcMar>
              <w:top w:type="dxa" w:w="50"/>
              <w:left w:type="dxa" w:w="90"/>
              <w:bottom w:type="dxa" w:w="50"/>
              <w:right w:type="dxa" w:w="90"/>
            </w:tcMar>
            <w:vAlign w:val="top"/>
          </w:tcPr>
          <w:p>
            <w:pPr>
              <w:spacing w:after="20"/>
            </w:pPr>
            <w:r>
              <w:t xml:space="preserve">Water bubbler stations — 4 no. (recreational park)</w:t>
            </w:r>
          </w:p>
        </w:tc>
        <w:tc>
          <w:tcPr>
            <w:tcW w:type="dxa" w:w="1500"/>
            <w:tcMar>
              <w:top w:type="dxa" w:w="50"/>
              <w:left w:type="dxa" w:w="90"/>
              <w:bottom w:type="dxa" w:w="50"/>
              <w:right w:type="dxa" w:w="90"/>
            </w:tcMar>
            <w:vAlign w:val="top"/>
          </w:tcPr>
          <w:p>
            <w:pPr>
              <w:spacing w:after="20"/>
            </w:pPr>
            <w:r>
              <w:rPr>
                <w:b w:val="false"/>
                <w:bCs w:val="false"/>
              </w:rPr>
              <w:t xml:space="preserve">$33,120.00</w:t>
            </w:r>
          </w:p>
        </w:tc>
        <w:tc>
          <w:tcPr>
            <w:tcW w:type="dxa" w:w="3400"/>
            <w:tcMar>
              <w:top w:type="dxa" w:w="50"/>
              <w:left w:type="dxa" w:w="90"/>
              <w:bottom w:type="dxa" w:w="50"/>
              <w:right w:type="dxa" w:w="90"/>
            </w:tcMar>
            <w:vAlign w:val="top"/>
          </w:tcPr>
          <w:p>
            <w:pPr>
              <w:spacing w:after="20"/>
            </w:pPr>
            <w:r>
              <w:t xml:space="preserve">Benchmark rate + 15%; slabs and surrounds by others; unit type to be confirmed</w:t>
            </w:r>
          </w:p>
        </w:tc>
      </w:tr>
      <w:tr>
        <w:trPr>
          <w:cantSplit/>
          <w:tblHeader w:val="false"/>
        </w:trPr>
        <w:tc>
          <w:tcPr>
            <w:tcW w:type="dxa" w:w="800"/>
            <w:tcMar>
              <w:top w:type="dxa" w:w="50"/>
              <w:left w:type="dxa" w:w="90"/>
              <w:bottom w:type="dxa" w:w="50"/>
              <w:right w:type="dxa" w:w="90"/>
            </w:tcMar>
            <w:vAlign w:val="top"/>
          </w:tcPr>
          <w:p>
            <w:pPr>
              <w:spacing w:after="20"/>
            </w:pPr>
            <w:r>
              <w:t xml:space="preserve">1B</w:t>
            </w:r>
          </w:p>
        </w:tc>
        <w:tc>
          <w:tcPr>
            <w:tcW w:type="dxa" w:w="1250"/>
            <w:tcMar>
              <w:top w:type="dxa" w:w="50"/>
              <w:left w:type="dxa" w:w="90"/>
              <w:bottom w:type="dxa" w:w="50"/>
              <w:right w:type="dxa" w:w="90"/>
            </w:tcMar>
            <w:vAlign w:val="top"/>
          </w:tcPr>
          <w:p>
            <w:pPr>
              <w:spacing w:after="20"/>
            </w:pPr>
            <w:r>
              <w:t xml:space="preserve">Provisional</w:t>
            </w:r>
          </w:p>
        </w:tc>
        <w:tc>
          <w:tcPr>
            <w:tcW w:type="dxa" w:w="3418"/>
            <w:tcMar>
              <w:top w:type="dxa" w:w="50"/>
              <w:left w:type="dxa" w:w="90"/>
              <w:bottom w:type="dxa" w:w="50"/>
              <w:right w:type="dxa" w:w="90"/>
            </w:tcMar>
            <w:vAlign w:val="top"/>
          </w:tcPr>
          <w:p>
            <w:pPr>
              <w:spacing w:after="20"/>
            </w:pPr>
            <w:r>
              <w:t xml:space="preserve">Plumbing, water and sewer connection fees</w:t>
            </w:r>
          </w:p>
        </w:tc>
        <w:tc>
          <w:tcPr>
            <w:tcW w:type="dxa" w:w="1500"/>
            <w:tcMar>
              <w:top w:type="dxa" w:w="50"/>
              <w:left w:type="dxa" w:w="90"/>
              <w:bottom w:type="dxa" w:w="50"/>
              <w:right w:type="dxa" w:w="90"/>
            </w:tcMar>
            <w:vAlign w:val="top"/>
          </w:tcPr>
          <w:p>
            <w:pPr>
              <w:spacing w:after="20"/>
            </w:pPr>
            <w:r>
              <w:rPr>
                <w:b w:val="false"/>
                <w:bCs w:val="false"/>
              </w:rPr>
              <w:t xml:space="preserve">$20,000.00</w:t>
            </w:r>
          </w:p>
        </w:tc>
        <w:tc>
          <w:tcPr>
            <w:tcW w:type="dxa" w:w="3400"/>
            <w:tcMar>
              <w:top w:type="dxa" w:w="50"/>
              <w:left w:type="dxa" w:w="90"/>
              <w:bottom w:type="dxa" w:w="50"/>
              <w:right w:type="dxa" w:w="90"/>
            </w:tcMar>
            <w:vAlign w:val="top"/>
          </w:tcPr>
          <w:p>
            <w:pPr>
              <w:spacing w:after="20"/>
            </w:pPr>
            <w:r>
              <w:t xml:space="preserve">As Stage 1A — as directed, actual cost, no markup</w:t>
            </w:r>
          </w:p>
        </w:tc>
      </w:tr>
      <w:tr>
        <w:trPr>
          <w:cantSplit/>
          <w:tblHeader w:val="false"/>
        </w:trPr>
        <w:tc>
          <w:tcPr>
            <w:tcW w:type="dxa" w:w="800"/>
            <w:shd w:fill="F2F7FC" w:color="auto" w:val="clear"/>
            <w:tcMar>
              <w:top w:type="dxa" w:w="50"/>
              <w:left w:type="dxa" w:w="90"/>
              <w:bottom w:type="dxa" w:w="50"/>
              <w:right w:type="dxa" w:w="90"/>
            </w:tcMar>
            <w:vAlign w:val="top"/>
          </w:tcPr>
          <w:p>
            <w:pPr>
              <w:spacing w:after="20"/>
            </w:pPr>
            <w:r>
              <w:rPr>
                <w:b/>
                <w:bCs/>
              </w:rPr>
              <w:t xml:space="preserve">1B</w:t>
            </w:r>
          </w:p>
        </w:tc>
        <w:tc>
          <w:tcPr>
            <w:tcW w:type="dxa" w:w="1250"/>
            <w:shd w:fill="F2F7FC" w:color="auto" w:val="clear"/>
            <w:tcMar>
              <w:top w:type="dxa" w:w="50"/>
              <w:left w:type="dxa" w:w="90"/>
              <w:bottom w:type="dxa" w:w="50"/>
              <w:right w:type="dxa" w:w="90"/>
            </w:tcMar>
            <w:vAlign w:val="top"/>
          </w:tcPr>
          <w:p>
            <w:pPr>
              <w:spacing w:after="20"/>
            </w:pPr>
            <w:r>
              <w:t xml:space="preserve"/>
            </w:r>
          </w:p>
        </w:tc>
        <w:tc>
          <w:tcPr>
            <w:tcW w:type="dxa" w:w="3418"/>
            <w:shd w:fill="F2F7FC" w:color="auto" w:val="clear"/>
            <w:tcMar>
              <w:top w:type="dxa" w:w="50"/>
              <w:left w:type="dxa" w:w="90"/>
              <w:bottom w:type="dxa" w:w="50"/>
              <w:right w:type="dxa" w:w="90"/>
            </w:tcMar>
            <w:vAlign w:val="top"/>
          </w:tcPr>
          <w:p>
            <w:pPr>
              <w:spacing w:after="20"/>
            </w:pPr>
            <w:r>
              <w:rPr>
                <w:b/>
                <w:bCs/>
              </w:rPr>
              <w:t xml:space="preserve">Stage 1B PC Sums and provisional</w:t>
            </w:r>
          </w:p>
        </w:tc>
        <w:tc>
          <w:tcPr>
            <w:tcW w:type="dxa" w:w="1500"/>
            <w:shd w:fill="F2F7FC" w:color="auto" w:val="clear"/>
            <w:tcMar>
              <w:top w:type="dxa" w:w="50"/>
              <w:left w:type="dxa" w:w="90"/>
              <w:bottom w:type="dxa" w:w="50"/>
              <w:right w:type="dxa" w:w="90"/>
            </w:tcMar>
            <w:vAlign w:val="top"/>
          </w:tcPr>
          <w:p>
            <w:pPr>
              <w:spacing w:after="20"/>
            </w:pPr>
            <w:r>
              <w:rPr>
                <w:b/>
                <w:bCs/>
              </w:rPr>
              <w:t xml:space="preserve">$86,930.00</w:t>
            </w:r>
          </w:p>
        </w:tc>
        <w:tc>
          <w:tcPr>
            <w:tcW w:type="dxa" w:w="3400"/>
            <w:shd w:fill="F2F7FC" w:color="auto" w:val="clear"/>
            <w:tcMar>
              <w:top w:type="dxa" w:w="50"/>
              <w:left w:type="dxa" w:w="90"/>
              <w:bottom w:type="dxa" w:w="50"/>
              <w:right w:type="dxa" w:w="90"/>
            </w:tcMar>
            <w:vAlign w:val="top"/>
          </w:tcPr>
          <w:p>
            <w:pPr>
              <w:spacing w:after="20"/>
            </w:pPr>
            <w:r>
              <w:t xml:space="preserve"/>
            </w:r>
          </w:p>
        </w:tc>
      </w:tr>
    </w:tbl>
    <w:p>
      <w:pPr>
        <w:spacing w:before="80"/>
      </w:pPr>
      <w:r>
        <w:t xml:space="preserve">The provisional connection-fee items carry the directed amount and no quantity of work: they contribute the stated allowance only and will be adjusted to actual authority fees as directed and evidenced, without markup. Authority connection and application fees are otherwise excluded from the lump sums (ITT Part 2 §16). PC Sums cover supply and delivery of the scheduled items only; the installation of every PC-Sum item is priced within the stage lump sums.</w:t>
      </w:r>
    </w:p>
    <w:p>
      <w:pPr>
        <w:pStyle w:val="Heading1"/>
        <w:keepNext/>
      </w:pPr>
      <w:r>
        <w:t xml:space="preserve">Access and Attendance Basis</w:t>
      </w:r>
    </w:p>
    <w:p>
      <w:pPr>
        <w:pStyle w:val="ListParagraph"/>
        <w:numPr>
          <w:ilvl w:val="0"/>
          <w:numId w:val="2"/>
        </w:numPr>
        <w:spacing w:after="60"/>
      </w:pPr>
      <w:r>
        <w:rPr>
          <w:b/>
          <w:bCs/>
        </w:rPr>
        <w:t xml:space="preserve">Included: </w:t>
      </w:r>
      <w:r>
        <w:t xml:space="preserve">work-hour basis 06:30 to 16:30 Monday to Friday; works completed in sequence within each tendered stage during a single logical mobilisation per stage, on continuous released work fronts coordinated by the Principal Contractor.</w:t>
      </w:r>
    </w:p>
    <w:p>
      <w:pPr>
        <w:pStyle w:val="ListParagraph"/>
        <w:numPr>
          <w:ilvl w:val="0"/>
          <w:numId w:val="2"/>
        </w:numPr>
        <w:spacing w:after="60"/>
      </w:pPr>
      <w:r>
        <w:rPr>
          <w:b/>
          <w:bCs/>
        </w:rPr>
        <w:t xml:space="preserve">Included: </w:t>
      </w:r>
      <w:r>
        <w:t xml:space="preserve">site access via Norman Road only as documented; no access through CQU land is assumed.</w:t>
      </w:r>
    </w:p>
    <w:p>
      <w:pPr>
        <w:pStyle w:val="ListParagraph"/>
        <w:numPr>
          <w:ilvl w:val="0"/>
          <w:numId w:val="2"/>
        </w:numPr>
        <w:spacing w:after="60"/>
      </w:pPr>
      <w:r>
        <w:rPr>
          <w:b/>
          <w:bCs/>
        </w:rPr>
        <w:t xml:space="preserve">Included: </w:t>
      </w:r>
      <w:r>
        <w:t xml:space="preserve">task-level traffic control for our own works and deliveries, and erosion and sediment control local to our own open trenches.</w:t>
      </w:r>
    </w:p>
    <w:p>
      <w:pPr>
        <w:pStyle w:val="ListParagraph"/>
        <w:numPr>
          <w:ilvl w:val="0"/>
          <w:numId w:val="2"/>
        </w:numPr>
        <w:spacing w:after="60"/>
      </w:pPr>
      <w:r>
        <w:rPr>
          <w:b/>
          <w:bCs/>
        </w:rPr>
        <w:t xml:space="preserve">Included: </w:t>
      </w:r>
      <w:r>
        <w:t xml:space="preserve">works within tree protection zones on our documented trench routes undertaken by non-destructive methods in accordance with the Vegetation and Fauna Management Plan; one geotechnical inspection attendance for trench-entry verification (Appendix B query A3).</w:t>
      </w:r>
    </w:p>
    <w:p>
      <w:pPr>
        <w:pStyle w:val="ListParagraph"/>
        <w:numPr>
          <w:ilvl w:val="0"/>
          <w:numId w:val="2"/>
        </w:numPr>
        <w:spacing w:after="60"/>
      </w:pPr>
      <w:r>
        <w:rPr>
          <w:b/>
          <w:bCs/>
        </w:rPr>
        <w:t xml:space="preserve">Excluded: </w:t>
      </w:r>
      <w:r>
        <w:t xml:space="preserve">out-of-hours and weekend work, acceleration, and liquidated-damages exposure beyond the stated programme basis.</w:t>
      </w:r>
    </w:p>
    <w:p>
      <w:pPr>
        <w:pStyle w:val="ListParagraph"/>
        <w:numPr>
          <w:ilvl w:val="0"/>
          <w:numId w:val="2"/>
        </w:numPr>
        <w:spacing w:after="60"/>
      </w:pPr>
      <w:r>
        <w:rPr>
          <w:b/>
          <w:bCs/>
        </w:rPr>
        <w:t xml:space="preserve">Excluded: </w:t>
      </w:r>
      <w:r>
        <w:t xml:space="preserve">restricted access, staged access delays and remobilisations beyond the tendered basis — chargeable if directed.</w:t>
      </w:r>
    </w:p>
    <w:p>
      <w:pPr>
        <w:pStyle w:val="ListParagraph"/>
        <w:numPr>
          <w:ilvl w:val="0"/>
          <w:numId w:val="2"/>
        </w:numPr>
        <w:spacing w:after="60"/>
      </w:pPr>
      <w:r>
        <w:rPr>
          <w:b/>
          <w:bCs/>
        </w:rPr>
        <w:t xml:space="preserve">Excluded: </w:t>
      </w:r>
      <w:r>
        <w:t xml:space="preserve">the site-wide traffic management plan (DA condition 7), public-road permits, the site-wide ESMP (DA condition 6) and site-wide environmental administration — Principal Contractor; we comply for our own works.</w:t>
      </w:r>
    </w:p>
    <w:p>
      <w:pPr>
        <w:pStyle w:val="ListParagraph"/>
        <w:numPr>
          <w:ilvl w:val="0"/>
          <w:numId w:val="2"/>
        </w:numPr>
        <w:spacing w:after="60"/>
      </w:pPr>
      <w:r>
        <w:rPr>
          <w:b/>
          <w:bCs/>
        </w:rPr>
        <w:t xml:space="preserve">Programme basis: </w:t>
      </w:r>
      <w:r>
        <w:t xml:space="preserve">ITT §20.h allows five days combined for inclement weather and latent conditions across the programme. For a Central Queensland programme with 2027 commencement this allowance is qualified: extension-of-time relief is assumed available beyond the five days (Appendix B query A5) and no acceleration is priced.</w:t>
      </w:r>
    </w:p>
    <w:p>
      <w:pPr>
        <w:pStyle w:val="Heading1"/>
        <w:keepNext/>
      </w:pPr>
      <w:r>
        <w:t xml:space="preserve">Exclusions, Qualifications and Departures</w:t>
      </w:r>
    </w:p>
    <w:p>
      <w:pPr>
        <w:spacing w:after="100"/>
      </w:pPr>
      <w:r>
        <w:t xml:space="preserve">No allowance has been made for the following. Where an interface exists, the stated boundary governs; scope is confined to the items expressly identified in this submission.</w:t>
      </w:r>
    </w:p>
    <w:p>
      <w:pPr>
        <w:pStyle w:val="Heading2"/>
        <w:keepNext/>
      </w:pPr>
      <w:r>
        <w:t xml:space="preserve">Scope allocated to other trades — cross-referrals</w:t>
      </w:r>
    </w:p>
    <w:p>
      <w:pPr>
        <w:pStyle w:val="ListParagraph"/>
        <w:numPr>
          <w:ilvl w:val="0"/>
          <w:numId w:val="2"/>
        </w:numPr>
        <w:spacing w:after="60"/>
      </w:pPr>
      <w:r>
        <w:t xml:space="preserve">All civil stormwater drainage and every structure and line on the civil drawing sheets and pit schedule F1310, including the building stormwater lines beyond our downpipe connection stubs — refer the TriCore Civil Services tender for TEN16699. The hydraulic package’s building-stormwater scope ends at the downpipe "CONNECT TO CIVIL" stubs as drawn on the hydraulic sheets; the connection into the civil line or pit is by the civil stormwater package.</w:t>
      </w:r>
    </w:p>
    <w:p>
      <w:pPr>
        <w:pStyle w:val="ListParagraph"/>
        <w:numPr>
          <w:ilvl w:val="0"/>
          <w:numId w:val="2"/>
        </w:numPr>
        <w:spacing w:after="60"/>
      </w:pPr>
      <w:r>
        <w:t xml:space="preserve">Schedule 1A item 3.5 (Hydraulic — grated trench drains and pits): priced in full by TriCore Civil Services notwithstanding the schedule’s "Hydraulic" heading — the runs are drawn on the civil sheets. Expressly excluded from this submission and cross-referred.</w:t>
      </w:r>
    </w:p>
    <w:p>
      <w:pPr>
        <w:pStyle w:val="ListParagraph"/>
        <w:numPr>
          <w:ilvl w:val="0"/>
          <w:numId w:val="2"/>
        </w:numPr>
        <w:spacing w:after="60"/>
      </w:pPr>
      <w:r>
        <w:t xml:space="preserve">Roofing, roof plumbing, gutters and downpipes: by the roofing/builder trades down to the downpipe "CONNECT TO CIVIL" point at ground level. This submission carries only the in-ground connection stubs as drawn on the hydraulic sheets.</w:t>
      </w:r>
    </w:p>
    <w:p>
      <w:pPr>
        <w:pStyle w:val="ListParagraph"/>
        <w:numPr>
          <w:ilvl w:val="0"/>
          <w:numId w:val="2"/>
        </w:numPr>
        <w:spacing w:after="60"/>
      </w:pPr>
      <w:r>
        <w:t xml:space="preserve">Landscape irrigation (both stages): excluded. The demarcation is the capped Ø100 E-type flange above ground at the irrigation take-off; everything downstream of the flange face is by the irrigation contractor.</w:t>
      </w:r>
    </w:p>
    <w:p>
      <w:pPr>
        <w:pStyle w:val="ListParagraph"/>
        <w:numPr>
          <w:ilvl w:val="0"/>
          <w:numId w:val="2"/>
        </w:numPr>
        <w:spacing w:after="60"/>
      </w:pPr>
      <w:r>
        <w:t xml:space="preserve">Electrical works, including power supplies, isolators, switchboards, control panels, control cabling, telemetry and BMS; mechanical services (condensate is received at our tundishes as drawn); communications services.</w:t>
      </w:r>
    </w:p>
    <w:p>
      <w:pPr>
        <w:pStyle w:val="ListParagraph"/>
        <w:numPr>
          <w:ilvl w:val="0"/>
          <w:numId w:val="2"/>
        </w:numPr>
        <w:spacing w:after="60"/>
      </w:pPr>
      <w:r>
        <w:t xml:space="preserve">External BBQs: no water or waste supply to the BBQs is documented and nothing is carried; should the BBQs prove plumbed, a documented supply point and instruction is required before any allowance can attach.</w:t>
      </w:r>
    </w:p>
    <w:p>
      <w:pPr>
        <w:pStyle w:val="Heading2"/>
        <w:keepNext/>
      </w:pPr>
      <w:r>
        <w:t xml:space="preserve">Sewage pump station and rising main (Stage 1A)</w:t>
      </w:r>
    </w:p>
    <w:p>
      <w:pPr>
        <w:spacing w:after="100"/>
      </w:pPr>
      <w:r>
        <w:t xml:space="preserve">The sewage pump station is excluded: Addendum 2 (10 July 2026) records that the station will be installed by Council, and governs over both stations documented in the tender set (H003/VOL 17 QMax Fortis 3200; VOL 38 §24 Sulzer XFP) — Appendix B query C1. At the interface this submission carries precisely: </w:t>
      </w:r>
      <w:r>
        <w:rPr>
          <w:b/>
          <w:bCs/>
        </w:rPr>
        <w:t xml:space="preserve">the gravity sewer to and terminating at the station’s nominated inlet DICL pipe piece ("LIMIT OF Q-MAX WORKS")</w:t>
      </w:r>
      <w:r>
        <w:t xml:space="preserve">. Station supply, installation, excavation and slab are by Council/others. The Ø100 rising main from the pumpwell is excluded: its discharge location is undefined ("to be confirmed and coordinated"; no tie-in is shown) and ownership is ambiguous once Council installs the station — an add-price for the rising main is held and available on request, and the rising main is not to be treated as included within the sewerage mains line. Electrical supply, switchboard, controls, control cabling and commissioning of the station are excluded (electrical trade/others).</w:t>
      </w:r>
    </w:p>
    <w:p>
      <w:pPr>
        <w:pStyle w:val="Heading2"/>
        <w:keepNext/>
      </w:pPr>
      <w:r>
        <w:t xml:space="preserve">Authority approvals and applications</w:t>
      </w:r>
    </w:p>
    <w:p>
      <w:pPr>
        <w:spacing w:after="100"/>
      </w:pPr>
      <w:r>
        <w:t xml:space="preserve">Plumbing approval lodgement, application documentation and attendance at approval inspections are excluded — a stated departure from the Plumbing Subcontractor provisions of ITT Part 2 §16, with an add-price held (Appendix B query C8). The Fitzroy River Water Private Works Application lodgement and the arranging and completing of the water and sewer connection works rest with the Principal Contractor as written in the same §16, and are recorded accordingly. The Trade Waste application is likewise excluded (H002 note 25; the arrestor hardware itself is priced — queries C7 and C8). Authority connection and application fees are excluded from the lump sums and carried only within the $20,000 provisional allowances, as directed, at actual cost. Backflow device registration rides with the excluded approval lodgement.</w:t>
      </w:r>
    </w:p>
    <w:p>
      <w:pPr>
        <w:pStyle w:val="Heading2"/>
        <w:keepNext/>
      </w:pPr>
      <w:r>
        <w:t xml:space="preserve">Stated departures</w:t>
      </w:r>
    </w:p>
    <w:p>
      <w:pPr>
        <w:pStyle w:val="ListParagraph"/>
        <w:numPr>
          <w:ilvl w:val="0"/>
          <w:numId w:val="2"/>
        </w:numPr>
        <w:spacing w:after="60"/>
      </w:pPr>
      <w:r>
        <w:t xml:space="preserve">Shop drawing production is excluded — a stated departure from H002 note 2, with an add-price held and available on request. As-constructed documentation, RPEQ certification and ADAC drafting for our own assets remain included and are distinguished from shop-drawing production.</w:t>
      </w:r>
    </w:p>
    <w:p>
      <w:pPr>
        <w:pStyle w:val="ListParagraph"/>
        <w:numPr>
          <w:ilvl w:val="0"/>
          <w:numId w:val="2"/>
        </w:numPr>
        <w:spacing w:after="60"/>
      </w:pPr>
      <w:r>
        <w:t xml:space="preserve">Plumbing approval lodgement — stated departure per "Authority approvals and applications" above.</w:t>
      </w:r>
    </w:p>
    <w:p>
      <w:pPr>
        <w:pStyle w:val="Heading2"/>
        <w:keepNext/>
      </w:pPr>
      <w:r>
        <w:t xml:space="preserve">Ground, groundwater and spoil</w:t>
      </w:r>
    </w:p>
    <w:p>
      <w:pPr>
        <w:pStyle w:val="ListParagraph"/>
        <w:numPr>
          <w:ilvl w:val="0"/>
          <w:numId w:val="2"/>
        </w:numPr>
        <w:spacing w:after="60"/>
      </w:pPr>
      <w:r>
        <w:t xml:space="preserve">Rock and unsuitable ground: rock beyond that reasonably anticipated from the NQL2024-0320 bore logs, and unsuitable ground directed for removal, are valued only under the tendered extra-over rate schedule upon prior written direction of the Superintendent. The three inconsistent regimes in the documents are raised at Appendix B query A2 with the priced regime stated.</w:t>
      </w:r>
    </w:p>
    <w:p>
      <w:pPr>
        <w:pStyle w:val="ListParagraph"/>
        <w:numPr>
          <w:ilvl w:val="0"/>
          <w:numId w:val="2"/>
        </w:numPr>
        <w:spacing w:after="60"/>
      </w:pPr>
      <w:r>
        <w:t xml:space="preserve">Spoil: no spoil leaves site (Addendum 2; ITT §17.9). Trench spoil, including unsuitable material, is stockpiled on site at Principal-directed locations assumed within 500 m of the works; imported bedding and select backfill are priced; off-site disposal is neither required nor priced. Contamination testing, classification and treatment, treatment of site-won clay, and management of unexpected finds beyond notification under the EMR are excluded (Appendix B query A4).</w:t>
      </w:r>
    </w:p>
    <w:p>
      <w:pPr>
        <w:pStyle w:val="ListParagraph"/>
        <w:numPr>
          <w:ilvl w:val="0"/>
          <w:numId w:val="2"/>
        </w:numPr>
        <w:spacing w:after="60"/>
      </w:pPr>
      <w:r>
        <w:t xml:space="preserve">Dewatering beyond that manageable by a single site trench dewatering pump per open trench front is excluded. The VOL 38 §7.11 water-charged-bedding deemed-inclusion conflict is raised within Appendix B query A2.</w:t>
      </w:r>
    </w:p>
    <w:p>
      <w:pPr>
        <w:pStyle w:val="ListParagraph"/>
        <w:numPr>
          <w:ilvl w:val="0"/>
          <w:numId w:val="2"/>
        </w:numPr>
        <w:spacing w:after="60"/>
      </w:pPr>
      <w:r>
        <w:t xml:space="preserve">Trench support is priced on trench shields for runs requiring personnel entry, with battering where shields are impracticable, per NQL2024-0320 §5.3.3 (Appendix B query A3). Bulk earthworks, site regrading and works beyond our own trench and pit excavations are by others.</w:t>
      </w:r>
    </w:p>
    <w:p>
      <w:pPr>
        <w:pStyle w:val="ListParagraph"/>
        <w:numPr>
          <w:ilvl w:val="0"/>
          <w:numId w:val="2"/>
        </w:numPr>
        <w:spacing w:after="60"/>
      </w:pPr>
      <w:r>
        <w:t xml:space="preserve">Compaction: backfill is priced to 98% Modified MDD in trafficable areas as the adopted standard; the drawing/specification compaction inconsistencies are raised at Appendix B query C13.</w:t>
      </w:r>
    </w:p>
    <w:p>
      <w:pPr>
        <w:pStyle w:val="Heading2"/>
        <w:keepNext/>
      </w:pPr>
      <w:r>
        <w:t xml:space="preserve">General exclusions</w:t>
      </w:r>
    </w:p>
    <w:p>
      <w:pPr>
        <w:pStyle w:val="ListParagraph"/>
        <w:numPr>
          <w:ilvl w:val="0"/>
          <w:numId w:val="2"/>
        </w:numPr>
        <w:spacing w:after="60"/>
      </w:pPr>
      <w:r>
        <w:t xml:space="preserve">Electrical fire and dry-fire systems are excluded, including FIP/FDCIE/EWIS, detectors, MCPs, WIPs, speakers, bells, VADs, ASD, fibre, networking, fire alarm cabling, terminations, programming and cause/effect.</w:t>
      </w:r>
    </w:p>
    <w:p>
      <w:pPr>
        <w:pStyle w:val="ListParagraph"/>
        <w:numPr>
          <w:ilvl w:val="0"/>
          <w:numId w:val="2"/>
        </w:numPr>
        <w:spacing w:after="60"/>
      </w:pPr>
      <w:r>
        <w:t xml:space="preserve">All sprinkler systems are excluded, including sprinkler pipework, heads, valves and tank-fill provisions. Portable fire extinguishers are excluded with the position stated at Appendix B query C10; the fire hose reel, fire blanket and AS 1851 twelve-month maintenance are priced as stated in the Noted Inclusions.</w:t>
      </w:r>
    </w:p>
    <w:p>
      <w:pPr>
        <w:pStyle w:val="ListParagraph"/>
        <w:numPr>
          <w:ilvl w:val="0"/>
          <w:numId w:val="2"/>
        </w:numPr>
        <w:spacing w:after="60"/>
      </w:pPr>
      <w:r>
        <w:t xml:space="preserve">Site-wide water, sewer, stormwater or fire system testing, reconfiguration, augmentation or authority-driven upgrade beyond the documented scope and named allowances is excluded. Fire main extent is priced to the measured basis stated; coverage verification is queried at Appendix B query C3.</w:t>
      </w:r>
    </w:p>
    <w:p>
      <w:pPr>
        <w:pStyle w:val="ListParagraph"/>
        <w:numPr>
          <w:ilvl w:val="0"/>
          <w:numId w:val="2"/>
        </w:numPr>
        <w:spacing w:after="60"/>
      </w:pPr>
      <w:r>
        <w:t xml:space="preserve">AMR/BMS/electronic/smart metering systems, meter head-ends and software, BMS graphics, programming, trending, alarming and integration are excluded beyond local equipment terminals/contacts where included. The metering assemblies stated in the Noted Inclusions are priced in the lump sums; should Fitzroy River Water elect to supply meter bodies, a credit applies.</w:t>
      </w:r>
    </w:p>
    <w:p>
      <w:pPr>
        <w:pStyle w:val="ListParagraph"/>
        <w:numPr>
          <w:ilvl w:val="0"/>
          <w:numId w:val="2"/>
        </w:numPr>
        <w:spacing w:after="60"/>
      </w:pPr>
      <w:r>
        <w:t xml:space="preserve">Development of coordinated multidisciplinary penetration plans is excluded. Hydraulic penetration inputs, sizes and mark-ups for our scope are included.</w:t>
      </w:r>
    </w:p>
    <w:p>
      <w:pPr>
        <w:pStyle w:val="ListParagraph"/>
        <w:numPr>
          <w:ilvl w:val="0"/>
          <w:numId w:val="2"/>
        </w:numPr>
        <w:spacing w:after="60"/>
      </w:pPr>
      <w:r>
        <w:t xml:space="preserve">Slab scanning/x-ray, structural approvals for coring and remedial works arising from concealed structural or services conditions are excluded.</w:t>
      </w:r>
    </w:p>
    <w:p>
      <w:pPr>
        <w:pStyle w:val="ListParagraph"/>
        <w:numPr>
          <w:ilvl w:val="0"/>
          <w:numId w:val="2"/>
        </w:numPr>
        <w:spacing w:after="60"/>
      </w:pPr>
      <w:r>
        <w:t xml:space="preserve">Access, repairs and reinstatement to ceilings, walls, linings, joinery, waterproofing, tiling, painting and architectural finishes are excluded.</w:t>
      </w:r>
    </w:p>
    <w:p>
      <w:pPr>
        <w:pStyle w:val="ListParagraph"/>
        <w:numPr>
          <w:ilvl w:val="0"/>
          <w:numId w:val="2"/>
        </w:numPr>
        <w:spacing w:after="60"/>
      </w:pPr>
      <w:r>
        <w:t xml:space="preserve">Existing services: locating, protection, support, relocation, diversions and works arising from undocumented locations, depths or clashes are excluded; TriCore will notify and detail any clash or error to the Principal Contractor for instruction. The VOL 38 §9.22 joint-sewer relocation clause is treated as not applicable on this greenfield site (Appendix B query C9).</w:t>
      </w:r>
    </w:p>
    <w:p>
      <w:pPr>
        <w:pStyle w:val="ListParagraph"/>
        <w:numPr>
          <w:ilvl w:val="0"/>
          <w:numId w:val="2"/>
        </w:numPr>
        <w:spacing w:after="60"/>
      </w:pPr>
      <w:r>
        <w:t xml:space="preserve">Supporting, adjusting or relocating authority services and other utilities (Energex, communications, gas and similar), and their fees, are excluded — TriCore will coordinate and manage interfaces for its own works only.</w:t>
      </w:r>
    </w:p>
    <w:p>
      <w:pPr>
        <w:pStyle w:val="ListParagraph"/>
        <w:numPr>
          <w:ilvl w:val="0"/>
          <w:numId w:val="2"/>
        </w:numPr>
        <w:spacing w:after="60"/>
      </w:pPr>
      <w:r>
        <w:t xml:space="preserve">Disconnection of existing non-hydraulic services is excluded.</w:t>
      </w:r>
    </w:p>
    <w:p>
      <w:pPr>
        <w:pStyle w:val="ListParagraph"/>
        <w:numPr>
          <w:ilvl w:val="0"/>
          <w:numId w:val="2"/>
        </w:numPr>
        <w:spacing w:after="60"/>
      </w:pPr>
      <w:r>
        <w:t xml:space="preserve">Demolition and reinstatement of concrete, asphalt, pavements, pavers, gardens, landscaping, kerbs and external finished surfaces is excluded; trench reinstatement is backfill, compact and make safe only. Final trench pavement materials (CBR/roadbase pavement boxes) are excluded; bedding and select backfill import is priced as stated.</w:t>
      </w:r>
    </w:p>
    <w:p>
      <w:pPr>
        <w:pStyle w:val="ListParagraph"/>
        <w:numPr>
          <w:ilvl w:val="0"/>
          <w:numId w:val="2"/>
        </w:numPr>
        <w:spacing w:after="60"/>
      </w:pPr>
      <w:r>
        <w:t xml:space="preserve">Hardstands, slabs, plinths and concrete surrounds are excluded other than the priced items named in this submission (the 4 m × 2 m meter slab with bollards and the hot water unit mounting plinths); fountain and bubbler slabs and surrounds are by others.</w:t>
      </w:r>
    </w:p>
    <w:p>
      <w:pPr>
        <w:pStyle w:val="ListParagraph"/>
        <w:numPr>
          <w:ilvl w:val="0"/>
          <w:numId w:val="2"/>
        </w:numPr>
        <w:spacing w:after="60"/>
      </w:pPr>
      <w:r>
        <w:t xml:space="preserve">Temporary services to other trades or to the Principal Contractor are excluded; our temporary services allowance covers our own works only.</w:t>
      </w:r>
    </w:p>
    <w:p>
      <w:pPr>
        <w:pStyle w:val="ListParagraph"/>
        <w:numPr>
          <w:ilvl w:val="0"/>
          <w:numId w:val="2"/>
        </w:numPr>
        <w:spacing w:after="60"/>
      </w:pPr>
      <w:r>
        <w:t xml:space="preserve">Non-hydraulic FF&amp;E items such as grab rails, baby change tables, mirrors and sanitary-bin services are excluded unless specifically identified as a plumbing component in the priced documents.</w:t>
      </w:r>
    </w:p>
    <w:p>
      <w:pPr>
        <w:pStyle w:val="ListParagraph"/>
        <w:numPr>
          <w:ilvl w:val="0"/>
          <w:numId w:val="2"/>
        </w:numPr>
        <w:spacing w:after="60"/>
      </w:pPr>
      <w:r>
        <w:t xml:space="preserve">Vacuum/hydro excavation beyond the allowance stated in the Noted Inclusions is excluded, other than non-destructive methods within tree protection zones on our documented trench routes as stated in the Access and Attendance Basis.</w:t>
      </w:r>
    </w:p>
    <w:p>
      <w:pPr>
        <w:pStyle w:val="ListParagraph"/>
        <w:numPr>
          <w:ilvl w:val="0"/>
          <w:numId w:val="2"/>
        </w:numPr>
        <w:spacing w:after="60"/>
      </w:pPr>
      <w:r>
        <w:t xml:space="preserve">Gas services: no gas is documented in the allocated scope and none is priced; the specification’s gas content is template text (Appendix B query C9).</w:t>
      </w:r>
    </w:p>
    <w:p>
      <w:pPr>
        <w:pStyle w:val="ListParagraph"/>
        <w:numPr>
          <w:ilvl w:val="0"/>
          <w:numId w:val="2"/>
        </w:numPr>
        <w:spacing w:after="60"/>
      </w:pPr>
      <w:r>
        <w:t xml:space="preserve">The works are priced to the Queensland/RRC/Fitzroy River Water statutory framework, CMDG and the nominated equipment schedules, which govern over interstate template text remaining in the specification (NSW and Victorian authority references; the NT Building Regulations note on the PAM sheet). The non-potable (lilac) hydrant and hose reel references on this potable supply are treated as not applicable (Appendix B queries C9 and C12).</w:t>
      </w:r>
    </w:p>
    <w:p>
      <w:pPr>
        <w:pStyle w:val="ListParagraph"/>
        <w:numPr>
          <w:ilvl w:val="0"/>
          <w:numId w:val="2"/>
        </w:numPr>
        <w:spacing w:after="60"/>
      </w:pPr>
      <w:r>
        <w:t xml:space="preserve">Any post-tender scope growth, redesign of other disciplines, changes arising from final room layouts, equipment changes, authority comments, certifier requirements or undocumented existing conditions are excluded unless instructed and valued as a variation or covered by a named provisional sum.</w:t>
      </w:r>
    </w:p>
    <w:p>
      <w:pPr>
        <w:pStyle w:val="ListParagraph"/>
        <w:numPr>
          <w:ilvl w:val="0"/>
          <w:numId w:val="2"/>
        </w:numPr>
        <w:spacing w:after="60"/>
      </w:pPr>
      <w:r>
        <w:t xml:space="preserve">Any item not expressly identified in this submission and priced against the Tender Schedule 3 lines listed herein is excluded, including the "Any other works not covered above" schedule line.</w:t>
      </w:r>
    </w:p>
    <w:p>
      <w:pPr>
        <w:pStyle w:val="Heading1"/>
        <w:keepNext/>
      </w:pPr>
      <w:r>
        <w:t xml:space="preserve">Construct-Only Basis</w:t>
      </w:r>
    </w:p>
    <w:p>
      <w:pPr>
        <w:spacing w:after="100"/>
      </w:pPr>
      <w:r>
        <w:t xml:space="preserve">This tender is construct-only. No design services, design development, performance-solution engineering or professional indemnity for design are included. The works will be constructed to the issued, certified design documentation; design changes, performance solutions or re-certification arising after tender are variations. Seismic restraint is installed to the specified system with restraint layout drafting only — no engineering design responsibility is carried. The documentation deliverables included are those stated in the Noted Inclusions: as-constructed documentation, RPEQ certification, ADAC XML and CCTV for our own assets, and Form 72 fire certification.</w:t>
      </w:r>
    </w:p>
    <w:p>
      <w:pPr>
        <w:pStyle w:val="Heading1"/>
        <w:keepNext/>
      </w:pPr>
      <w:r>
        <w:t xml:space="preserve">Conditions</w:t>
      </w:r>
    </w:p>
    <w:p>
      <w:pPr>
        <w:pStyle w:val="ListParagraph"/>
        <w:numPr>
          <w:ilvl w:val="0"/>
          <w:numId w:val="2"/>
        </w:numPr>
        <w:spacing w:after="60"/>
      </w:pPr>
      <w:r>
        <w:t xml:space="preserve">Title of all works, including consumables, remains the property of TriCore Plumbing Services Pty Ltd until payment has been received in full.</w:t>
      </w:r>
    </w:p>
    <w:p>
      <w:pPr>
        <w:pStyle w:val="ListParagraph"/>
        <w:numPr>
          <w:ilvl w:val="0"/>
          <w:numId w:val="2"/>
        </w:numPr>
        <w:spacing w:after="60"/>
      </w:pPr>
      <w:r>
        <w:t xml:space="preserve">Due to supply and manufacturer price-securement and procurement requirements, reasonable claim may be made for major project materials procured and delivered to site or otherwise secured for the project.</w:t>
      </w:r>
    </w:p>
    <w:p>
      <w:pPr>
        <w:pStyle w:val="ListParagraph"/>
        <w:numPr>
          <w:ilvl w:val="0"/>
          <w:numId w:val="2"/>
        </w:numPr>
        <w:spacing w:after="60"/>
      </w:pPr>
      <w:r>
        <w:t xml:space="preserve">Extension of time and associated costs may apply for wet weather, latent conditions, design changes, authority changes, restricted access, shutdown constraints, public holidays, Christmas shutdown, third-party interruption or circumstances outside TriCore’s control, subject to the programme-basis qualification stated in the Access and Attendance Basis.</w:t>
      </w:r>
    </w:p>
    <w:p>
      <w:pPr>
        <w:pStyle w:val="ListParagraph"/>
        <w:numPr>
          <w:ilvl w:val="0"/>
          <w:numId w:val="2"/>
        </w:numPr>
        <w:spacing w:after="60"/>
      </w:pPr>
      <w:r>
        <w:t xml:space="preserve">This tender is open for acceptance for sixty (60) days from the submission date. Supplier quotations underpinning our material rates carry their own validity periods and may be subject to re-quote; escalation to the anticipated 2027 commencement is carried on the basis stated in "Basis of this Tender", and the fixture PC Sums adjust per their stated regime.</w:t>
      </w:r>
    </w:p>
    <w:p>
      <w:pPr>
        <w:pStyle w:val="ListParagraph"/>
        <w:numPr>
          <w:ilvl w:val="0"/>
          <w:numId w:val="2"/>
        </w:numPr>
        <w:spacing w:after="60"/>
      </w:pPr>
      <w:r>
        <w:t xml:space="preserve">The withholding of 10% of the hydraulic contract value until final as-built and O&amp;M documentation approval (VOL 38 §4.4.1(3)) is noted and qualified: standard subcontract security and retention terms are assumed, and the release mechanism is queried at Appendix B query C14.</w:t>
      </w:r>
    </w:p>
    <w:p>
      <w:pPr>
        <w:pStyle w:val="Heading1"/>
        <w:keepNext/>
      </w:pPr>
      <w:r>
        <w:t xml:space="preserve">About TriCore — Rockhampton Delivery</w:t>
      </w:r>
    </w:p>
    <w:p>
      <w:pPr>
        <w:spacing w:after="100"/>
      </w:pPr>
      <w:r>
        <w:t xml:space="preserve">TriCore Plumbing Services is part of the TriCore group, an established Central Queensland contractor delivering hydraulic and civil works in Rockhampton. We operate multiple hydraulic and civil crews across Rockhampton and Central Queensland, run our own excavation and installation plant, and buy from an established local supply base — with estimating, procurement, drafting and contract administration support provided from our Brisbane office at Hemmant. Our current and recent Rockhampton delivery includes the completed CQU Rockhampton fire main construction project referenced below — direct evidence of live-site hydraulic and fire infrastructure delivery in this city, under the same management responsible for this tender.</w:t>
      </w:r>
    </w:p>
    <w:p>
      <w:pPr>
        <w:pStyle w:val="Heading1"/>
        <w:keepNext/>
      </w:pPr>
      <w:r>
        <w:t xml:space="preserve">References</w:t>
      </w:r>
    </w:p>
    <w:p>
      <w:pPr>
        <w:spacing w:after="100"/>
      </w:pPr>
      <w:r>
        <w:t xml:space="preserve">Client and consultant reference letters accompany this submission at Appendix C: Central Queensland University (Senior Project Manager — CQU Rockhampton North fire main construction project, completed 2025) and GHD Pty Ltd (senior hydraulic and fire consultant, the project’s lead fire system designer). Both letters relate to work delivered in Rockhampton by the TriCore group under the same management as this tender; GHD’s letter expressly recommends TriCore for future civil, plumbing and fire infrastructure projects.</w:t>
      </w:r>
    </w:p>
    <w:p>
      <w:pPr>
        <w:spacing w:after="160" w:before="120"/>
      </w:pPr>
      <w:r>
        <w:t xml:space="preserve">We invite you to contact our office should you require further information regarding this submission.</w:t>
      </w:r>
    </w:p>
    <w:p>
      <w:pPr>
        <w:spacing w:after="60"/>
      </w:pPr>
      <w:r>
        <w:t xml:space="preserve">Sincerely,</w:t>
      </w:r>
    </w:p>
    <w:p>
      <w:pPr>
        <w:spacing w:after="200"/>
      </w:pPr>
      <w:r>
        <w:t xml:space="preserve">Mitch Hannan</w:t>
      </w:r>
    </w:p>
    <w:p>
      <w:pPr>
        <w:spacing w:after="40"/>
      </w:pPr>
      <w:r>
        <w:t xml:space="preserve">__________________</w:t>
      </w:r>
    </w:p>
    <w:p>
      <w:pPr>
        <w:spacing w:after="20"/>
      </w:pPr>
      <w:r>
        <w:t xml:space="preserve">Mitch Hannan</w:t>
      </w:r>
    </w:p>
    <w:p>
      <w:pPr>
        <w:spacing w:after="20"/>
      </w:pPr>
      <w:r>
        <w:rPr>
          <w:b/>
          <w:bCs/>
        </w:rPr>
        <w:t xml:space="preserve">TRICORE PLUMBING SERVICES PTY LTD</w:t>
      </w:r>
    </w:p>
    <w:p>
      <w:pPr>
        <w:spacing w:after="20"/>
      </w:pPr>
      <w:r>
        <w:t xml:space="preserve">ABN 91 620 147 935</w:t>
      </w:r>
    </w:p>
    <w:p>
      <w:pPr>
        <w:spacing w:after="20"/>
      </w:pPr>
      <w:r>
        <w:t xml:space="preserve">QBCC 15100514</w:t>
      </w:r>
    </w:p>
    <w:p>
      <w:pPr>
        <w:spacing w:after="20"/>
      </w:pPr>
      <w:r>
        <w:t xml:space="preserve">PO Box 103 Rockhampton QLD 4700</w:t>
      </w:r>
    </w:p>
    <w:p>
      <w:pPr>
        <w:spacing w:after="20"/>
      </w:pPr>
      <w:r>
        <w:t xml:space="preserve">Tel. 07 3390 5803</w:t>
      </w:r>
    </w:p>
    <w:p>
      <w:pPr>
        <w:spacing w:after="20"/>
      </w:pPr>
      <w:r>
        <w:t xml:space="preserve">tricoreplumbing.com.au</w:t>
      </w:r>
    </w:p>
    <w:p>
      <w:r>
        <w:br w:type="page"/>
      </w:r>
    </w:p>
    <w:p>
      <w:pPr>
        <w:pStyle w:val="Heading1"/>
        <w:keepNext/>
      </w:pPr>
      <w:r>
        <w:t xml:space="preserve">Appendix A — Hydraulic Fixture and Equipment Register</w:t>
      </w:r>
    </w:p>
    <w:p>
      <w:pPr>
        <w:spacing w:after="100"/>
      </w:pPr>
      <w:r>
        <w:t xml:space="preserve">This register is a no-pricing coordination reference. It identifies supply responsibility and count basis only; the PC Sum regime under "Hydraulic Fixtures and Equipment Allowance" governs. Items marked for final confirmation are to be confirmed prior to procurement.</w:t>
      </w:r>
    </w:p>
    <w:tbl>
      <w:tblPr>
        <w:tblW w:type="dxa" w:w="10368"/>
        <w:tblBorders>
          <w:top w:val="single" w:color="BFBFBF" w:sz="4"/>
          <w:left w:val="single" w:color="BFBFBF" w:sz="4"/>
          <w:bottom w:val="single" w:color="BFBFBF" w:sz="4"/>
          <w:right w:val="single" w:color="BFBFBF" w:sz="4"/>
          <w:insideH w:val="single" w:color="BFBFBF" w:sz="4"/>
          <w:insideV w:val="single" w:color="BFBFBF" w:sz="4"/>
        </w:tblBorders>
      </w:tblPr>
      <w:tblGrid>
        <w:gridCol w:w="1050"/>
        <w:gridCol w:w="1000"/>
        <w:gridCol w:w="900"/>
        <w:gridCol w:w="5018"/>
        <w:gridCol w:w="2400"/>
      </w:tblGrid>
      <w:tr>
        <w:trPr>
          <w:cantSplit/>
          <w:tblHeader/>
        </w:trPr>
        <w:tc>
          <w:tcPr>
            <w:tcW w:type="dxa" w:w="1050"/>
            <w:shd w:fill="DEEAF6" w:color="auto" w:val="clear"/>
            <w:tcMar>
              <w:top w:type="dxa" w:w="50"/>
              <w:left w:type="dxa" w:w="90"/>
              <w:bottom w:type="dxa" w:w="50"/>
              <w:right w:type="dxa" w:w="90"/>
            </w:tcMar>
            <w:vAlign w:val="top"/>
          </w:tcPr>
          <w:p>
            <w:pPr>
              <w:spacing w:after="20"/>
            </w:pPr>
            <w:r>
              <w:rPr>
                <w:b/>
                <w:bCs/>
                <w:color w:val="1F4E79"/>
              </w:rPr>
              <w:t xml:space="preserve">Work area</w:t>
            </w:r>
          </w:p>
        </w:tc>
        <w:tc>
          <w:tcPr>
            <w:tcW w:type="dxa" w:w="1000"/>
            <w:shd w:fill="DEEAF6" w:color="auto" w:val="clear"/>
            <w:tcMar>
              <w:top w:type="dxa" w:w="50"/>
              <w:left w:type="dxa" w:w="90"/>
              <w:bottom w:type="dxa" w:w="50"/>
              <w:right w:type="dxa" w:w="90"/>
            </w:tcMar>
            <w:vAlign w:val="top"/>
          </w:tcPr>
          <w:p>
            <w:pPr>
              <w:spacing w:after="20"/>
            </w:pPr>
            <w:r>
              <w:rPr>
                <w:b/>
                <w:bCs/>
                <w:color w:val="1F4E79"/>
              </w:rPr>
              <w:t xml:space="preserve">Qty</w:t>
            </w:r>
          </w:p>
        </w:tc>
        <w:tc>
          <w:tcPr>
            <w:tcW w:type="dxa" w:w="900"/>
            <w:shd w:fill="DEEAF6" w:color="auto" w:val="clear"/>
            <w:tcMar>
              <w:top w:type="dxa" w:w="50"/>
              <w:left w:type="dxa" w:w="90"/>
              <w:bottom w:type="dxa" w:w="50"/>
              <w:right w:type="dxa" w:w="90"/>
            </w:tcMar>
            <w:vAlign w:val="top"/>
          </w:tcPr>
          <w:p>
            <w:pPr>
              <w:spacing w:after="20"/>
            </w:pPr>
            <w:r>
              <w:rPr>
                <w:b/>
                <w:bCs/>
                <w:color w:val="1F4E79"/>
              </w:rPr>
              <w:t xml:space="preserve">Code</w:t>
            </w:r>
          </w:p>
        </w:tc>
        <w:tc>
          <w:tcPr>
            <w:tcW w:type="dxa" w:w="5018"/>
            <w:shd w:fill="DEEAF6" w:color="auto" w:val="clear"/>
            <w:tcMar>
              <w:top w:type="dxa" w:w="50"/>
              <w:left w:type="dxa" w:w="90"/>
              <w:bottom w:type="dxa" w:w="50"/>
              <w:right w:type="dxa" w:w="90"/>
            </w:tcMar>
            <w:vAlign w:val="top"/>
          </w:tcPr>
          <w:p>
            <w:pPr>
              <w:spacing w:after="20"/>
            </w:pPr>
            <w:r>
              <w:rPr>
                <w:b/>
                <w:bCs/>
                <w:color w:val="1F4E79"/>
              </w:rPr>
              <w:t xml:space="preserve">Description / basis</w:t>
            </w:r>
          </w:p>
        </w:tc>
        <w:tc>
          <w:tcPr>
            <w:tcW w:type="dxa" w:w="2400"/>
            <w:shd w:fill="DEEAF6" w:color="auto" w:val="clear"/>
            <w:tcMar>
              <w:top w:type="dxa" w:w="50"/>
              <w:left w:type="dxa" w:w="90"/>
              <w:bottom w:type="dxa" w:w="50"/>
              <w:right w:type="dxa" w:w="90"/>
            </w:tcMar>
            <w:vAlign w:val="top"/>
          </w:tcPr>
          <w:p>
            <w:pPr>
              <w:spacing w:after="20"/>
            </w:pPr>
            <w:r>
              <w:rPr>
                <w:b/>
                <w:bCs/>
                <w:color w:val="1F4E79"/>
              </w:rPr>
              <w:t xml:space="preserve">Status</w:t>
            </w:r>
          </w:p>
        </w:tc>
      </w:tr>
      <w:tr>
        <w:trPr>
          <w:cantSplit/>
          <w:tblHeader w:val="false"/>
        </w:trPr>
        <w:tc>
          <w:tcPr>
            <w:tcW w:type="dxa" w:w="1050"/>
            <w:tcMar>
              <w:top w:type="dxa" w:w="50"/>
              <w:left w:type="dxa" w:w="90"/>
              <w:bottom w:type="dxa" w:w="50"/>
              <w:right w:type="dxa" w:w="90"/>
            </w:tcMar>
            <w:vAlign w:val="top"/>
          </w:tcPr>
          <w:p>
            <w:pPr>
              <w:spacing w:after="20"/>
            </w:pPr>
            <w:r>
              <w:t xml:space="preserve">NBC (1A)</w:t>
            </w:r>
          </w:p>
        </w:tc>
        <w:tc>
          <w:tcPr>
            <w:tcW w:type="dxa" w:w="1000"/>
            <w:tcMar>
              <w:top w:type="dxa" w:w="50"/>
              <w:left w:type="dxa" w:w="90"/>
              <w:bottom w:type="dxa" w:w="50"/>
              <w:right w:type="dxa" w:w="90"/>
            </w:tcMar>
            <w:vAlign w:val="top"/>
          </w:tcPr>
          <w:p>
            <w:pPr>
              <w:spacing w:after="20"/>
            </w:pPr>
            <w:r>
              <w:t xml:space="preserve">93 (adopted)</w:t>
            </w:r>
          </w:p>
        </w:tc>
        <w:tc>
          <w:tcPr>
            <w:tcW w:type="dxa" w:w="900"/>
            <w:tcMar>
              <w:top w:type="dxa" w:w="50"/>
              <w:left w:type="dxa" w:w="90"/>
              <w:bottom w:type="dxa" w:w="50"/>
              <w:right w:type="dxa" w:w="90"/>
            </w:tcMar>
            <w:vAlign w:val="top"/>
          </w:tcPr>
          <w:p>
            <w:pPr>
              <w:spacing w:after="20"/>
            </w:pPr>
            <w:r>
              <w:t xml:space="preserve">FIX</w:t>
            </w:r>
          </w:p>
        </w:tc>
        <w:tc>
          <w:tcPr>
            <w:tcW w:type="dxa" w:w="5018"/>
            <w:tcMar>
              <w:top w:type="dxa" w:w="50"/>
              <w:left w:type="dxa" w:w="90"/>
              <w:bottom w:type="dxa" w:w="50"/>
              <w:right w:type="dxa" w:w="90"/>
            </w:tcMar>
            <w:vAlign w:val="top"/>
          </w:tcPr>
          <w:p>
            <w:pPr>
              <w:spacing w:after="20"/>
            </w:pPr>
            <w:r>
              <w:t xml:space="preserve">Sanitary fixtures and tapware per FF&amp;E VOL 25 and the hydraulic layouts — supply under the Stage 1A fixture PC Sum (Tradelink 1066143 rate basis); installation, fit-off and connection in the lump sum</w:t>
            </w:r>
          </w:p>
        </w:tc>
        <w:tc>
          <w:tcPr>
            <w:tcW w:type="dxa" w:w="2400"/>
            <w:tcMar>
              <w:top w:type="dxa" w:w="50"/>
              <w:left w:type="dxa" w:w="90"/>
              <w:bottom w:type="dxa" w:w="50"/>
              <w:right w:type="dxa" w:w="90"/>
            </w:tcMar>
            <w:vAlign w:val="top"/>
          </w:tcPr>
          <w:p>
            <w:pPr>
              <w:spacing w:after="20"/>
            </w:pPr>
            <w:r>
              <w:t xml:space="preserve">Final confirmation required — quantities not stated in FF&amp;E (query C6)</w:t>
            </w:r>
          </w:p>
        </w:tc>
      </w:tr>
      <w:tr>
        <w:trPr>
          <w:cantSplit/>
          <w:tblHeader w:val="false"/>
        </w:trPr>
        <w:tc>
          <w:tcPr>
            <w:tcW w:type="dxa" w:w="1050"/>
            <w:tcMar>
              <w:top w:type="dxa" w:w="50"/>
              <w:left w:type="dxa" w:w="90"/>
              <w:bottom w:type="dxa" w:w="50"/>
              <w:right w:type="dxa" w:w="90"/>
            </w:tcMar>
            <w:vAlign w:val="top"/>
          </w:tcPr>
          <w:p>
            <w:pPr>
              <w:spacing w:after="20"/>
            </w:pPr>
            <w:r>
              <w:t xml:space="preserve">NBC (1A)</w:t>
            </w:r>
          </w:p>
        </w:tc>
        <w:tc>
          <w:tcPr>
            <w:tcW w:type="dxa" w:w="1000"/>
            <w:tcMar>
              <w:top w:type="dxa" w:w="50"/>
              <w:left w:type="dxa" w:w="90"/>
              <w:bottom w:type="dxa" w:w="50"/>
              <w:right w:type="dxa" w:w="90"/>
            </w:tcMar>
            <w:vAlign w:val="top"/>
          </w:tcPr>
          <w:p>
            <w:pPr>
              <w:spacing w:after="20"/>
            </w:pPr>
            <w:r>
              <w:t xml:space="preserve">5</w:t>
            </w:r>
          </w:p>
        </w:tc>
        <w:tc>
          <w:tcPr>
            <w:tcW w:type="dxa" w:w="900"/>
            <w:tcMar>
              <w:top w:type="dxa" w:w="50"/>
              <w:left w:type="dxa" w:w="90"/>
              <w:bottom w:type="dxa" w:w="50"/>
              <w:right w:type="dxa" w:w="90"/>
            </w:tcMar>
            <w:vAlign w:val="top"/>
          </w:tcPr>
          <w:p>
            <w:pPr>
              <w:spacing w:after="20"/>
            </w:pPr>
            <w:r>
              <w:t xml:space="preserve">BILLI</w:t>
            </w:r>
          </w:p>
        </w:tc>
        <w:tc>
          <w:tcPr>
            <w:tcW w:type="dxa" w:w="5018"/>
            <w:tcMar>
              <w:top w:type="dxa" w:w="50"/>
              <w:left w:type="dxa" w:w="90"/>
              <w:bottom w:type="dxa" w:w="50"/>
              <w:right w:type="dxa" w:w="90"/>
            </w:tcMar>
            <w:vAlign w:val="top"/>
          </w:tcPr>
          <w:p>
            <w:pPr>
              <w:spacing w:after="20"/>
            </w:pPr>
            <w:r>
              <w:t xml:space="preserve">Billi Quadra 4180 boiling/chilled units — PRINCIPAL-SUPPLIED (FF&amp;E VOL 25); installation and connection only by TriCore, including benchtop tap holes and underbench tundishes</w:t>
            </w:r>
          </w:p>
        </w:tc>
        <w:tc>
          <w:tcPr>
            <w:tcW w:type="dxa" w:w="2400"/>
            <w:tcMar>
              <w:top w:type="dxa" w:w="50"/>
              <w:left w:type="dxa" w:w="90"/>
              <w:bottom w:type="dxa" w:w="50"/>
              <w:right w:type="dxa" w:w="90"/>
            </w:tcMar>
            <w:vAlign w:val="top"/>
          </w:tcPr>
          <w:p>
            <w:pPr>
              <w:spacing w:after="20"/>
            </w:pPr>
            <w:r>
              <w:t xml:space="preserve">Principal supply — confirmed</w:t>
            </w:r>
          </w:p>
        </w:tc>
      </w:tr>
      <w:tr>
        <w:trPr>
          <w:cantSplit/>
          <w:tblHeader w:val="false"/>
        </w:trPr>
        <w:tc>
          <w:tcPr>
            <w:tcW w:type="dxa" w:w="1050"/>
            <w:tcMar>
              <w:top w:type="dxa" w:w="50"/>
              <w:left w:type="dxa" w:w="90"/>
              <w:bottom w:type="dxa" w:w="50"/>
              <w:right w:type="dxa" w:w="90"/>
            </w:tcMar>
            <w:vAlign w:val="top"/>
          </w:tcPr>
          <w:p>
            <w:pPr>
              <w:spacing w:after="20"/>
            </w:pPr>
            <w:r>
              <w:t xml:space="preserve">NBC (1A)</w:t>
            </w:r>
          </w:p>
        </w:tc>
        <w:tc>
          <w:tcPr>
            <w:tcW w:type="dxa" w:w="1000"/>
            <w:tcMar>
              <w:top w:type="dxa" w:w="50"/>
              <w:left w:type="dxa" w:w="90"/>
              <w:bottom w:type="dxa" w:w="50"/>
              <w:right w:type="dxa" w:w="90"/>
            </w:tcMar>
            <w:vAlign w:val="top"/>
          </w:tcPr>
          <w:p>
            <w:pPr>
              <w:spacing w:after="20"/>
            </w:pPr>
            <w:r>
              <w:t xml:space="preserve">2</w:t>
            </w:r>
          </w:p>
        </w:tc>
        <w:tc>
          <w:tcPr>
            <w:tcW w:type="dxa" w:w="900"/>
            <w:tcMar>
              <w:top w:type="dxa" w:w="50"/>
              <w:left w:type="dxa" w:w="90"/>
              <w:bottom w:type="dxa" w:w="50"/>
              <w:right w:type="dxa" w:w="90"/>
            </w:tcMar>
            <w:vAlign w:val="top"/>
          </w:tcPr>
          <w:p>
            <w:pPr>
              <w:spacing w:after="20"/>
            </w:pPr>
            <w:r>
              <w:t xml:space="preserve">DF-C</w:t>
            </w:r>
          </w:p>
        </w:tc>
        <w:tc>
          <w:tcPr>
            <w:tcW w:type="dxa" w:w="5018"/>
            <w:tcMar>
              <w:top w:type="dxa" w:w="50"/>
              <w:left w:type="dxa" w:w="90"/>
              <w:bottom w:type="dxa" w:w="50"/>
              <w:right w:type="dxa" w:w="90"/>
            </w:tcMar>
            <w:vAlign w:val="top"/>
          </w:tcPr>
          <w:p>
            <w:pPr>
              <w:spacing w:after="20"/>
            </w:pPr>
            <w:r>
              <w:t xml:space="preserve">CF400 chilled drinking fountains — supply under PC Sum; installed and connected by TriCore; signage excluded</w:t>
            </w:r>
          </w:p>
        </w:tc>
        <w:tc>
          <w:tcPr>
            <w:tcW w:type="dxa" w:w="2400"/>
            <w:tcMar>
              <w:top w:type="dxa" w:w="50"/>
              <w:left w:type="dxa" w:w="90"/>
              <w:bottom w:type="dxa" w:w="50"/>
              <w:right w:type="dxa" w:w="90"/>
            </w:tcMar>
            <w:vAlign w:val="top"/>
          </w:tcPr>
          <w:p>
            <w:pPr>
              <w:spacing w:after="20"/>
            </w:pPr>
            <w:r>
              <w:t xml:space="preserve">Final confirmation required — chilled/non-chilled SKU</w:t>
            </w:r>
          </w:p>
        </w:tc>
      </w:tr>
      <w:tr>
        <w:trPr>
          <w:cantSplit/>
          <w:tblHeader w:val="false"/>
        </w:trPr>
        <w:tc>
          <w:tcPr>
            <w:tcW w:type="dxa" w:w="1050"/>
            <w:tcMar>
              <w:top w:type="dxa" w:w="50"/>
              <w:left w:type="dxa" w:w="90"/>
              <w:bottom w:type="dxa" w:w="50"/>
              <w:right w:type="dxa" w:w="90"/>
            </w:tcMar>
            <w:vAlign w:val="top"/>
          </w:tcPr>
          <w:p>
            <w:pPr>
              <w:spacing w:after="20"/>
            </w:pPr>
            <w:r>
              <w:t xml:space="preserve">NBC (1A)</w:t>
            </w:r>
          </w:p>
        </w:tc>
        <w:tc>
          <w:tcPr>
            <w:tcW w:type="dxa" w:w="1000"/>
            <w:tcMar>
              <w:top w:type="dxa" w:w="50"/>
              <w:left w:type="dxa" w:w="90"/>
              <w:bottom w:type="dxa" w:w="50"/>
              <w:right w:type="dxa" w:w="90"/>
            </w:tcMar>
            <w:vAlign w:val="top"/>
          </w:tcPr>
          <w:p>
            <w:pPr>
              <w:spacing w:after="20"/>
            </w:pPr>
            <w:r>
              <w:t xml:space="preserve">2</w:t>
            </w:r>
          </w:p>
        </w:tc>
        <w:tc>
          <w:tcPr>
            <w:tcW w:type="dxa" w:w="900"/>
            <w:tcMar>
              <w:top w:type="dxa" w:w="50"/>
              <w:left w:type="dxa" w:w="90"/>
              <w:bottom w:type="dxa" w:w="50"/>
              <w:right w:type="dxa" w:w="90"/>
            </w:tcMar>
            <w:vAlign w:val="top"/>
          </w:tcPr>
          <w:p>
            <w:pPr>
              <w:spacing w:after="20"/>
            </w:pPr>
            <w:r>
              <w:t xml:space="preserve">HWU</w:t>
            </w:r>
          </w:p>
        </w:tc>
        <w:tc>
          <w:tcPr>
            <w:tcW w:type="dxa" w:w="5018"/>
            <w:tcMar>
              <w:top w:type="dxa" w:w="50"/>
              <w:left w:type="dxa" w:w="90"/>
              <w:bottom w:type="dxa" w:w="50"/>
              <w:right w:type="dxa" w:w="90"/>
            </w:tcMar>
            <w:vAlign w:val="top"/>
          </w:tcPr>
          <w:p>
            <w:pPr>
              <w:spacing w:after="20"/>
            </w:pPr>
            <w:r>
              <w:t xml:space="preserve">Rheem 613/315 315 L hot water units including safe trays, 316 stainless mounting plinths and seismic strapping</w:t>
            </w:r>
          </w:p>
        </w:tc>
        <w:tc>
          <w:tcPr>
            <w:tcW w:type="dxa" w:w="2400"/>
            <w:tcMar>
              <w:top w:type="dxa" w:w="50"/>
              <w:left w:type="dxa" w:w="90"/>
              <w:bottom w:type="dxa" w:w="50"/>
              <w:right w:type="dxa" w:w="90"/>
            </w:tcMar>
            <w:vAlign w:val="top"/>
          </w:tcPr>
          <w:p>
            <w:pPr>
              <w:spacing w:after="20"/>
            </w:pPr>
            <w:r>
              <w:t xml:space="preserve">Included — TriCore supply</w:t>
            </w:r>
          </w:p>
        </w:tc>
      </w:tr>
      <w:tr>
        <w:trPr>
          <w:cantSplit/>
          <w:tblHeader w:val="false"/>
        </w:trPr>
        <w:tc>
          <w:tcPr>
            <w:tcW w:type="dxa" w:w="1050"/>
            <w:tcMar>
              <w:top w:type="dxa" w:w="50"/>
              <w:left w:type="dxa" w:w="90"/>
              <w:bottom w:type="dxa" w:w="50"/>
              <w:right w:type="dxa" w:w="90"/>
            </w:tcMar>
            <w:vAlign w:val="top"/>
          </w:tcPr>
          <w:p>
            <w:pPr>
              <w:spacing w:after="20"/>
            </w:pPr>
            <w:r>
              <w:t xml:space="preserve">NBC (1A)</w:t>
            </w:r>
          </w:p>
        </w:tc>
        <w:tc>
          <w:tcPr>
            <w:tcW w:type="dxa" w:w="1000"/>
            <w:tcMar>
              <w:top w:type="dxa" w:w="50"/>
              <w:left w:type="dxa" w:w="90"/>
              <w:bottom w:type="dxa" w:w="50"/>
              <w:right w:type="dxa" w:w="90"/>
            </w:tcMar>
            <w:vAlign w:val="top"/>
          </w:tcPr>
          <w:p>
            <w:pPr>
              <w:spacing w:after="20"/>
            </w:pPr>
            <w:r>
              <w:t xml:space="preserve">1</w:t>
            </w:r>
          </w:p>
        </w:tc>
        <w:tc>
          <w:tcPr>
            <w:tcW w:type="dxa" w:w="900"/>
            <w:tcMar>
              <w:top w:type="dxa" w:w="50"/>
              <w:left w:type="dxa" w:w="90"/>
              <w:bottom w:type="dxa" w:w="50"/>
              <w:right w:type="dxa" w:w="90"/>
            </w:tcMar>
            <w:vAlign w:val="top"/>
          </w:tcPr>
          <w:p>
            <w:pPr>
              <w:spacing w:after="20"/>
            </w:pPr>
            <w:r>
              <w:t xml:space="preserve">HWP</w:t>
            </w:r>
          </w:p>
        </w:tc>
        <w:tc>
          <w:tcPr>
            <w:tcW w:type="dxa" w:w="5018"/>
            <w:tcMar>
              <w:top w:type="dxa" w:w="50"/>
              <w:left w:type="dxa" w:w="90"/>
              <w:bottom w:type="dxa" w:w="50"/>
              <w:right w:type="dxa" w:w="90"/>
            </w:tcMar>
            <w:vAlign w:val="top"/>
          </w:tcPr>
          <w:p>
            <w:pPr>
              <w:spacing w:after="20"/>
            </w:pPr>
            <w:r>
              <w:t xml:space="preserve">Hot water circulating pump set (dual stainless) with flow/return loop; integral controls; external power, panel and cabling by electrical trade</w:t>
            </w:r>
          </w:p>
        </w:tc>
        <w:tc>
          <w:tcPr>
            <w:tcW w:type="dxa" w:w="2400"/>
            <w:tcMar>
              <w:top w:type="dxa" w:w="50"/>
              <w:left w:type="dxa" w:w="90"/>
              <w:bottom w:type="dxa" w:w="50"/>
              <w:right w:type="dxa" w:w="90"/>
            </w:tcMar>
            <w:vAlign w:val="top"/>
          </w:tcPr>
          <w:p>
            <w:pPr>
              <w:spacing w:after="20"/>
            </w:pPr>
            <w:r>
              <w:t xml:space="preserve">Included — TriCore supply</w:t>
            </w:r>
          </w:p>
        </w:tc>
      </w:tr>
      <w:tr>
        <w:trPr>
          <w:cantSplit/>
          <w:tblHeader w:val="false"/>
        </w:trPr>
        <w:tc>
          <w:tcPr>
            <w:tcW w:type="dxa" w:w="1050"/>
            <w:tcMar>
              <w:top w:type="dxa" w:w="50"/>
              <w:left w:type="dxa" w:w="90"/>
              <w:bottom w:type="dxa" w:w="50"/>
              <w:right w:type="dxa" w:w="90"/>
            </w:tcMar>
            <w:vAlign w:val="top"/>
          </w:tcPr>
          <w:p>
            <w:pPr>
              <w:spacing w:after="20"/>
            </w:pPr>
            <w:r>
              <w:t xml:space="preserve">NBC (1A)</w:t>
            </w:r>
          </w:p>
        </w:tc>
        <w:tc>
          <w:tcPr>
            <w:tcW w:type="dxa" w:w="1000"/>
            <w:tcMar>
              <w:top w:type="dxa" w:w="50"/>
              <w:left w:type="dxa" w:w="90"/>
              <w:bottom w:type="dxa" w:w="50"/>
              <w:right w:type="dxa" w:w="90"/>
            </w:tcMar>
            <w:vAlign w:val="top"/>
          </w:tcPr>
          <w:p>
            <w:pPr>
              <w:spacing w:after="20"/>
            </w:pPr>
            <w:r>
              <w:t xml:space="preserve">1</w:t>
            </w:r>
          </w:p>
        </w:tc>
        <w:tc>
          <w:tcPr>
            <w:tcW w:type="dxa" w:w="900"/>
            <w:tcMar>
              <w:top w:type="dxa" w:w="50"/>
              <w:left w:type="dxa" w:w="90"/>
              <w:bottom w:type="dxa" w:w="50"/>
              <w:right w:type="dxa" w:w="90"/>
            </w:tcMar>
            <w:vAlign w:val="top"/>
          </w:tcPr>
          <w:p>
            <w:pPr>
              <w:spacing w:after="20"/>
            </w:pPr>
            <w:r>
              <w:t xml:space="preserve">GIT</w:t>
            </w:r>
          </w:p>
        </w:tc>
        <w:tc>
          <w:tcPr>
            <w:tcW w:type="dxa" w:w="5018"/>
            <w:tcMar>
              <w:top w:type="dxa" w:w="50"/>
              <w:left w:type="dxa" w:w="90"/>
              <w:bottom w:type="dxa" w:w="50"/>
              <w:right w:type="dxa" w:w="90"/>
            </w:tcMar>
            <w:vAlign w:val="top"/>
          </w:tcPr>
          <w:p>
            <w:pPr>
              <w:spacing w:after="20"/>
            </w:pPr>
            <w:r>
              <w:t xml:space="preserve">1500 L in-ground grease arrestor (Viking Paneltim basis) including access lids — stated allowance basis</w:t>
            </w:r>
          </w:p>
        </w:tc>
        <w:tc>
          <w:tcPr>
            <w:tcW w:type="dxa" w:w="2400"/>
            <w:tcMar>
              <w:top w:type="dxa" w:w="50"/>
              <w:left w:type="dxa" w:w="90"/>
              <w:bottom w:type="dxa" w:w="50"/>
              <w:right w:type="dxa" w:w="90"/>
            </w:tcMar>
            <w:vAlign w:val="top"/>
          </w:tcPr>
          <w:p>
            <w:pPr>
              <w:spacing w:after="20"/>
            </w:pPr>
            <w:r>
              <w:t xml:space="preserve">Final confirmation required — size conflict (query C7)</w:t>
            </w:r>
          </w:p>
        </w:tc>
      </w:tr>
      <w:tr>
        <w:trPr>
          <w:cantSplit/>
          <w:tblHeader w:val="false"/>
        </w:trPr>
        <w:tc>
          <w:tcPr>
            <w:tcW w:type="dxa" w:w="1050"/>
            <w:tcMar>
              <w:top w:type="dxa" w:w="50"/>
              <w:left w:type="dxa" w:w="90"/>
              <w:bottom w:type="dxa" w:w="50"/>
              <w:right w:type="dxa" w:w="90"/>
            </w:tcMar>
            <w:vAlign w:val="top"/>
          </w:tcPr>
          <w:p>
            <w:pPr>
              <w:spacing w:after="20"/>
            </w:pPr>
            <w:r>
              <w:t xml:space="preserve">NBC (1A)</w:t>
            </w:r>
          </w:p>
        </w:tc>
        <w:tc>
          <w:tcPr>
            <w:tcW w:type="dxa" w:w="1000"/>
            <w:tcMar>
              <w:top w:type="dxa" w:w="50"/>
              <w:left w:type="dxa" w:w="90"/>
              <w:bottom w:type="dxa" w:w="50"/>
              <w:right w:type="dxa" w:w="90"/>
            </w:tcMar>
            <w:vAlign w:val="top"/>
          </w:tcPr>
          <w:p>
            <w:pPr>
              <w:spacing w:after="20"/>
            </w:pPr>
            <w:r>
              <w:t xml:space="preserve">10</w:t>
            </w:r>
          </w:p>
        </w:tc>
        <w:tc>
          <w:tcPr>
            <w:tcW w:type="dxa" w:w="900"/>
            <w:tcMar>
              <w:top w:type="dxa" w:w="50"/>
              <w:left w:type="dxa" w:w="90"/>
              <w:bottom w:type="dxa" w:w="50"/>
              <w:right w:type="dxa" w:w="90"/>
            </w:tcMar>
            <w:vAlign w:val="top"/>
          </w:tcPr>
          <w:p>
            <w:pPr>
              <w:spacing w:after="20"/>
            </w:pPr>
            <w:r>
              <w:t xml:space="preserve">TMV</w:t>
            </w:r>
          </w:p>
        </w:tc>
        <w:tc>
          <w:tcPr>
            <w:tcW w:type="dxa" w:w="5018"/>
            <w:tcMar>
              <w:top w:type="dxa" w:w="50"/>
              <w:left w:type="dxa" w:w="90"/>
              <w:bottom w:type="dxa" w:w="50"/>
              <w:right w:type="dxa" w:w="90"/>
            </w:tcMar>
            <w:vAlign w:val="top"/>
          </w:tcPr>
          <w:p>
            <w:pPr>
              <w:spacing w:after="20"/>
            </w:pPr>
            <w:r>
              <w:t xml:space="preserve">Thermostatic mixing valves in lockable stainless boxes</w:t>
            </w:r>
          </w:p>
        </w:tc>
        <w:tc>
          <w:tcPr>
            <w:tcW w:type="dxa" w:w="2400"/>
            <w:tcMar>
              <w:top w:type="dxa" w:w="50"/>
              <w:left w:type="dxa" w:w="90"/>
              <w:bottom w:type="dxa" w:w="50"/>
              <w:right w:type="dxa" w:w="90"/>
            </w:tcMar>
            <w:vAlign w:val="top"/>
          </w:tcPr>
          <w:p>
            <w:pPr>
              <w:spacing w:after="20"/>
            </w:pPr>
            <w:r>
              <w:t xml:space="preserve">Count allowed per warm-water groups — confirm</w:t>
            </w:r>
          </w:p>
        </w:tc>
      </w:tr>
      <w:tr>
        <w:trPr>
          <w:cantSplit/>
          <w:tblHeader w:val="false"/>
        </w:trPr>
        <w:tc>
          <w:tcPr>
            <w:tcW w:type="dxa" w:w="1050"/>
            <w:tcMar>
              <w:top w:type="dxa" w:w="50"/>
              <w:left w:type="dxa" w:w="90"/>
              <w:bottom w:type="dxa" w:w="50"/>
              <w:right w:type="dxa" w:w="90"/>
            </w:tcMar>
            <w:vAlign w:val="top"/>
          </w:tcPr>
          <w:p>
            <w:pPr>
              <w:spacing w:after="20"/>
            </w:pPr>
            <w:r>
              <w:t xml:space="preserve">NBC (1A)</w:t>
            </w:r>
          </w:p>
        </w:tc>
        <w:tc>
          <w:tcPr>
            <w:tcW w:type="dxa" w:w="1000"/>
            <w:tcMar>
              <w:top w:type="dxa" w:w="50"/>
              <w:left w:type="dxa" w:w="90"/>
              <w:bottom w:type="dxa" w:w="50"/>
              <w:right w:type="dxa" w:w="90"/>
            </w:tcMar>
            <w:vAlign w:val="top"/>
          </w:tcPr>
          <w:p>
            <w:pPr>
              <w:spacing w:after="20"/>
            </w:pPr>
            <w:r>
              <w:t xml:space="preserve">4 + 2</w:t>
            </w:r>
          </w:p>
        </w:tc>
        <w:tc>
          <w:tcPr>
            <w:tcW w:type="dxa" w:w="900"/>
            <w:tcMar>
              <w:top w:type="dxa" w:w="50"/>
              <w:left w:type="dxa" w:w="90"/>
              <w:bottom w:type="dxa" w:w="50"/>
              <w:right w:type="dxa" w:w="90"/>
            </w:tcMar>
            <w:vAlign w:val="top"/>
          </w:tcPr>
          <w:p>
            <w:pPr>
              <w:spacing w:after="20"/>
            </w:pPr>
            <w:r>
              <w:t xml:space="preserve">RPZD</w:t>
            </w:r>
          </w:p>
        </w:tc>
        <w:tc>
          <w:tcPr>
            <w:tcW w:type="dxa" w:w="5018"/>
            <w:tcMar>
              <w:top w:type="dxa" w:w="50"/>
              <w:left w:type="dxa" w:w="90"/>
              <w:bottom w:type="dxa" w:w="50"/>
              <w:right w:type="dxa" w:w="90"/>
            </w:tcMar>
            <w:vAlign w:val="top"/>
          </w:tcPr>
          <w:p>
            <w:pPr>
              <w:spacing w:after="20"/>
            </w:pPr>
            <w:r>
              <w:t xml:space="preserve">Backflow prevention: 4 × 20 mm RPZD, 2 × 50 mm RPZD, check-valve assemblies (including 100 mm trade waste check); field-tested and certified; authority registration excluded (rides with approval lodgement)</w:t>
            </w:r>
          </w:p>
        </w:tc>
        <w:tc>
          <w:tcPr>
            <w:tcW w:type="dxa" w:w="2400"/>
            <w:tcMar>
              <w:top w:type="dxa" w:w="50"/>
              <w:left w:type="dxa" w:w="90"/>
              <w:bottom w:type="dxa" w:w="50"/>
              <w:right w:type="dxa" w:w="90"/>
            </w:tcMar>
            <w:vAlign w:val="top"/>
          </w:tcPr>
          <w:p>
            <w:pPr>
              <w:spacing w:after="20"/>
            </w:pPr>
            <w:r>
              <w:t xml:space="preserve">Included — TriCore supply</w:t>
            </w:r>
          </w:p>
        </w:tc>
      </w:tr>
      <w:tr>
        <w:trPr>
          <w:cantSplit/>
          <w:tblHeader w:val="false"/>
        </w:trPr>
        <w:tc>
          <w:tcPr>
            <w:tcW w:type="dxa" w:w="1050"/>
            <w:tcMar>
              <w:top w:type="dxa" w:w="50"/>
              <w:left w:type="dxa" w:w="90"/>
              <w:bottom w:type="dxa" w:w="50"/>
              <w:right w:type="dxa" w:w="90"/>
            </w:tcMar>
            <w:vAlign w:val="top"/>
          </w:tcPr>
          <w:p>
            <w:pPr>
              <w:spacing w:after="20"/>
            </w:pPr>
            <w:r>
              <w:t xml:space="preserve">NBC (1A)</w:t>
            </w:r>
          </w:p>
        </w:tc>
        <w:tc>
          <w:tcPr>
            <w:tcW w:type="dxa" w:w="1000"/>
            <w:tcMar>
              <w:top w:type="dxa" w:w="50"/>
              <w:left w:type="dxa" w:w="90"/>
              <w:bottom w:type="dxa" w:w="50"/>
              <w:right w:type="dxa" w:w="90"/>
            </w:tcMar>
            <w:vAlign w:val="top"/>
          </w:tcPr>
          <w:p>
            <w:pPr>
              <w:spacing w:after="20"/>
            </w:pPr>
            <w:r>
              <w:t xml:space="preserve">2</w:t>
            </w:r>
          </w:p>
        </w:tc>
        <w:tc>
          <w:tcPr>
            <w:tcW w:type="dxa" w:w="900"/>
            <w:tcMar>
              <w:top w:type="dxa" w:w="50"/>
              <w:left w:type="dxa" w:w="90"/>
              <w:bottom w:type="dxa" w:w="50"/>
              <w:right w:type="dxa" w:w="90"/>
            </w:tcMar>
            <w:vAlign w:val="top"/>
          </w:tcPr>
          <w:p>
            <w:pPr>
              <w:spacing w:after="20"/>
            </w:pPr>
            <w:r>
              <w:t xml:space="preserve">ATP</w:t>
            </w:r>
          </w:p>
        </w:tc>
        <w:tc>
          <w:tcPr>
            <w:tcW w:type="dxa" w:w="5018"/>
            <w:tcMar>
              <w:top w:type="dxa" w:w="50"/>
              <w:left w:type="dxa" w:w="90"/>
              <w:bottom w:type="dxa" w:w="50"/>
              <w:right w:type="dxa" w:w="90"/>
            </w:tcMar>
            <w:vAlign w:val="top"/>
          </w:tcPr>
          <w:p>
            <w:pPr>
              <w:spacing w:after="20"/>
            </w:pPr>
            <w:r>
              <w:t xml:space="preserve">Automatic trap primers</w:t>
            </w:r>
          </w:p>
        </w:tc>
        <w:tc>
          <w:tcPr>
            <w:tcW w:type="dxa" w:w="2400"/>
            <w:tcMar>
              <w:top w:type="dxa" w:w="50"/>
              <w:left w:type="dxa" w:w="90"/>
              <w:bottom w:type="dxa" w:w="50"/>
              <w:right w:type="dxa" w:w="90"/>
            </w:tcMar>
            <w:vAlign w:val="top"/>
          </w:tcPr>
          <w:p>
            <w:pPr>
              <w:spacing w:after="20"/>
            </w:pPr>
            <w:r>
              <w:t xml:space="preserve">Included</w:t>
            </w:r>
          </w:p>
        </w:tc>
      </w:tr>
      <w:tr>
        <w:trPr>
          <w:cantSplit/>
          <w:tblHeader w:val="false"/>
        </w:trPr>
        <w:tc>
          <w:tcPr>
            <w:tcW w:type="dxa" w:w="1050"/>
            <w:tcMar>
              <w:top w:type="dxa" w:w="50"/>
              <w:left w:type="dxa" w:w="90"/>
              <w:bottom w:type="dxa" w:w="50"/>
              <w:right w:type="dxa" w:w="90"/>
            </w:tcMar>
            <w:vAlign w:val="top"/>
          </w:tcPr>
          <w:p>
            <w:pPr>
              <w:spacing w:after="20"/>
            </w:pPr>
            <w:r>
              <w:t xml:space="preserve">NBC (1A)</w:t>
            </w:r>
          </w:p>
        </w:tc>
        <w:tc>
          <w:tcPr>
            <w:tcW w:type="dxa" w:w="1000"/>
            <w:tcMar>
              <w:top w:type="dxa" w:w="50"/>
              <w:left w:type="dxa" w:w="90"/>
              <w:bottom w:type="dxa" w:w="50"/>
              <w:right w:type="dxa" w:w="90"/>
            </w:tcMar>
            <w:vAlign w:val="top"/>
          </w:tcPr>
          <w:p>
            <w:pPr>
              <w:spacing w:after="20"/>
            </w:pPr>
            <w:r>
              <w:t xml:space="preserve">1 + 1</w:t>
            </w:r>
          </w:p>
        </w:tc>
        <w:tc>
          <w:tcPr>
            <w:tcW w:type="dxa" w:w="900"/>
            <w:tcMar>
              <w:top w:type="dxa" w:w="50"/>
              <w:left w:type="dxa" w:w="90"/>
              <w:bottom w:type="dxa" w:w="50"/>
              <w:right w:type="dxa" w:w="90"/>
            </w:tcMar>
            <w:vAlign w:val="top"/>
          </w:tcPr>
          <w:p>
            <w:pPr>
              <w:spacing w:after="20"/>
            </w:pPr>
            <w:r>
              <w:t xml:space="preserve">FHR/FB</w:t>
            </w:r>
          </w:p>
        </w:tc>
        <w:tc>
          <w:tcPr>
            <w:tcW w:type="dxa" w:w="5018"/>
            <w:tcMar>
              <w:top w:type="dxa" w:w="50"/>
              <w:left w:type="dxa" w:w="90"/>
              <w:bottom w:type="dxa" w:w="50"/>
              <w:right w:type="dxa" w:w="90"/>
            </w:tcMar>
            <w:vAlign w:val="top"/>
          </w:tcPr>
          <w:p>
            <w:pPr>
              <w:spacing w:after="20"/>
            </w:pPr>
            <w:r>
              <w:t xml:space="preserve">36 m fire hose reel with isolation valve; fire blanket; AS 1851 twelve-month maintenance and tagging</w:t>
            </w:r>
          </w:p>
        </w:tc>
        <w:tc>
          <w:tcPr>
            <w:tcW w:type="dxa" w:w="2400"/>
            <w:tcMar>
              <w:top w:type="dxa" w:w="50"/>
              <w:left w:type="dxa" w:w="90"/>
              <w:bottom w:type="dxa" w:w="50"/>
              <w:right w:type="dxa" w:w="90"/>
            </w:tcMar>
            <w:vAlign w:val="top"/>
          </w:tcPr>
          <w:p>
            <w:pPr>
              <w:spacing w:after="20"/>
            </w:pPr>
            <w:r>
              <w:t xml:space="preserve">Included</w:t>
            </w:r>
          </w:p>
        </w:tc>
      </w:tr>
      <w:tr>
        <w:trPr>
          <w:cantSplit/>
          <w:tblHeader w:val="false"/>
        </w:trPr>
        <w:tc>
          <w:tcPr>
            <w:tcW w:type="dxa" w:w="1050"/>
            <w:tcMar>
              <w:top w:type="dxa" w:w="50"/>
              <w:left w:type="dxa" w:w="90"/>
              <w:bottom w:type="dxa" w:w="50"/>
              <w:right w:type="dxa" w:w="90"/>
            </w:tcMar>
            <w:vAlign w:val="top"/>
          </w:tcPr>
          <w:p>
            <w:pPr>
              <w:spacing w:after="20"/>
            </w:pPr>
            <w:r>
              <w:t xml:space="preserve">NBC (1A)</w:t>
            </w:r>
          </w:p>
        </w:tc>
        <w:tc>
          <w:tcPr>
            <w:tcW w:type="dxa" w:w="1000"/>
            <w:tcMar>
              <w:top w:type="dxa" w:w="50"/>
              <w:left w:type="dxa" w:w="90"/>
              <w:bottom w:type="dxa" w:w="50"/>
              <w:right w:type="dxa" w:w="90"/>
            </w:tcMar>
            <w:vAlign w:val="top"/>
          </w:tcPr>
          <w:p>
            <w:pPr>
              <w:spacing w:after="20"/>
            </w:pPr>
            <w:r>
              <w:t xml:space="preserve">8</w:t>
            </w:r>
          </w:p>
        </w:tc>
        <w:tc>
          <w:tcPr>
            <w:tcW w:type="dxa" w:w="900"/>
            <w:tcMar>
              <w:top w:type="dxa" w:w="50"/>
              <w:left w:type="dxa" w:w="90"/>
              <w:bottom w:type="dxa" w:w="50"/>
              <w:right w:type="dxa" w:w="90"/>
            </w:tcMar>
            <w:vAlign w:val="top"/>
          </w:tcPr>
          <w:p>
            <w:pPr>
              <w:spacing w:after="20"/>
            </w:pPr>
            <w:r>
              <w:t xml:space="preserve">FE</w:t>
            </w:r>
          </w:p>
        </w:tc>
        <w:tc>
          <w:tcPr>
            <w:tcW w:type="dxa" w:w="5018"/>
            <w:tcMar>
              <w:top w:type="dxa" w:w="50"/>
              <w:left w:type="dxa" w:w="90"/>
              <w:bottom w:type="dxa" w:w="50"/>
              <w:right w:type="dxa" w:w="90"/>
            </w:tcMar>
            <w:vAlign w:val="top"/>
          </w:tcPr>
          <w:p>
            <w:pPr>
              <w:spacing w:after="20"/>
            </w:pPr>
            <w:r>
              <w:t xml:space="preserve">Portable fire extinguishers — EXCLUDED; supply ownership unallocated in the documents; add-price held</w:t>
            </w:r>
          </w:p>
        </w:tc>
        <w:tc>
          <w:tcPr>
            <w:tcW w:type="dxa" w:w="2400"/>
            <w:tcMar>
              <w:top w:type="dxa" w:w="50"/>
              <w:left w:type="dxa" w:w="90"/>
              <w:bottom w:type="dxa" w:w="50"/>
              <w:right w:type="dxa" w:w="90"/>
            </w:tcMar>
            <w:vAlign w:val="top"/>
          </w:tcPr>
          <w:p>
            <w:pPr>
              <w:spacing w:after="20"/>
            </w:pPr>
            <w:r>
              <w:t xml:space="preserve">Excluded (query C10)</w:t>
            </w:r>
          </w:p>
        </w:tc>
      </w:tr>
      <w:tr>
        <w:trPr>
          <w:cantSplit/>
          <w:tblHeader w:val="false"/>
        </w:trPr>
        <w:tc>
          <w:tcPr>
            <w:tcW w:type="dxa" w:w="1050"/>
            <w:tcMar>
              <w:top w:type="dxa" w:w="50"/>
              <w:left w:type="dxa" w:w="90"/>
              <w:bottom w:type="dxa" w:w="50"/>
              <w:right w:type="dxa" w:w="90"/>
            </w:tcMar>
            <w:vAlign w:val="top"/>
          </w:tcPr>
          <w:p>
            <w:pPr>
              <w:spacing w:after="20"/>
            </w:pPr>
            <w:r>
              <w:t xml:space="preserve">Site (1A)</w:t>
            </w:r>
          </w:p>
        </w:tc>
        <w:tc>
          <w:tcPr>
            <w:tcW w:type="dxa" w:w="1000"/>
            <w:tcMar>
              <w:top w:type="dxa" w:w="50"/>
              <w:left w:type="dxa" w:w="90"/>
              <w:bottom w:type="dxa" w:w="50"/>
              <w:right w:type="dxa" w:w="90"/>
            </w:tcMar>
            <w:vAlign w:val="top"/>
          </w:tcPr>
          <w:p>
            <w:pPr>
              <w:spacing w:after="20"/>
            </w:pPr>
            <w:r>
              <w:t xml:space="preserve">2</w:t>
            </w:r>
          </w:p>
        </w:tc>
        <w:tc>
          <w:tcPr>
            <w:tcW w:type="dxa" w:w="900"/>
            <w:tcMar>
              <w:top w:type="dxa" w:w="50"/>
              <w:left w:type="dxa" w:w="90"/>
              <w:bottom w:type="dxa" w:w="50"/>
              <w:right w:type="dxa" w:w="90"/>
            </w:tcMar>
            <w:vAlign w:val="top"/>
          </w:tcPr>
          <w:p>
            <w:pPr>
              <w:spacing w:after="20"/>
            </w:pPr>
            <w:r>
              <w:t xml:space="preserve">WM</w:t>
            </w:r>
          </w:p>
        </w:tc>
        <w:tc>
          <w:tcPr>
            <w:tcW w:type="dxa" w:w="5018"/>
            <w:tcMar>
              <w:top w:type="dxa" w:w="50"/>
              <w:left w:type="dxa" w:w="90"/>
              <w:bottom w:type="dxa" w:w="50"/>
              <w:right w:type="dxa" w:w="90"/>
            </w:tcMar>
            <w:vAlign w:val="top"/>
          </w:tcPr>
          <w:p>
            <w:pPr>
              <w:spacing w:after="20"/>
            </w:pPr>
            <w:r>
              <w:t xml:space="preserve">100 mm fire and 100 mm cold water meter assemblies at the H003 meter slab, including the 4 m × 2 m slab and bollards; credit applies should FRW supply meter bodies</w:t>
            </w:r>
          </w:p>
        </w:tc>
        <w:tc>
          <w:tcPr>
            <w:tcW w:type="dxa" w:w="2400"/>
            <w:tcMar>
              <w:top w:type="dxa" w:w="50"/>
              <w:left w:type="dxa" w:w="90"/>
              <w:bottom w:type="dxa" w:w="50"/>
              <w:right w:type="dxa" w:w="90"/>
            </w:tcMar>
            <w:vAlign w:val="top"/>
          </w:tcPr>
          <w:p>
            <w:pPr>
              <w:spacing w:after="20"/>
            </w:pPr>
            <w:r>
              <w:t xml:space="preserve">Included — TriCore supply</w:t>
            </w:r>
          </w:p>
        </w:tc>
      </w:tr>
      <w:tr>
        <w:trPr>
          <w:cantSplit/>
          <w:tblHeader w:val="false"/>
        </w:trPr>
        <w:tc>
          <w:tcPr>
            <w:tcW w:type="dxa" w:w="1050"/>
            <w:tcMar>
              <w:top w:type="dxa" w:w="50"/>
              <w:left w:type="dxa" w:w="90"/>
              <w:bottom w:type="dxa" w:w="50"/>
              <w:right w:type="dxa" w:w="90"/>
            </w:tcMar>
            <w:vAlign w:val="top"/>
          </w:tcPr>
          <w:p>
            <w:pPr>
              <w:spacing w:after="20"/>
            </w:pPr>
            <w:r>
              <w:t xml:space="preserve">Site (1A)</w:t>
            </w:r>
          </w:p>
        </w:tc>
        <w:tc>
          <w:tcPr>
            <w:tcW w:type="dxa" w:w="1000"/>
            <w:tcMar>
              <w:top w:type="dxa" w:w="50"/>
              <w:left w:type="dxa" w:w="90"/>
              <w:bottom w:type="dxa" w:w="50"/>
              <w:right w:type="dxa" w:w="90"/>
            </w:tcMar>
            <w:vAlign w:val="top"/>
          </w:tcPr>
          <w:p>
            <w:pPr>
              <w:spacing w:after="20"/>
            </w:pPr>
            <w:r>
              <w:t xml:space="preserve">1</w:t>
            </w:r>
          </w:p>
        </w:tc>
        <w:tc>
          <w:tcPr>
            <w:tcW w:type="dxa" w:w="900"/>
            <w:tcMar>
              <w:top w:type="dxa" w:w="50"/>
              <w:left w:type="dxa" w:w="90"/>
              <w:bottom w:type="dxa" w:w="50"/>
              <w:right w:type="dxa" w:w="90"/>
            </w:tcMar>
            <w:vAlign w:val="top"/>
          </w:tcPr>
          <w:p>
            <w:pPr>
              <w:spacing w:after="20"/>
            </w:pPr>
            <w:r>
              <w:t xml:space="preserve">BST</w:t>
            </w:r>
          </w:p>
        </w:tc>
        <w:tc>
          <w:tcPr>
            <w:tcW w:type="dxa" w:w="5018"/>
            <w:tcMar>
              <w:top w:type="dxa" w:w="50"/>
              <w:left w:type="dxa" w:w="90"/>
              <w:bottom w:type="dxa" w:w="50"/>
              <w:right w:type="dxa" w:w="90"/>
            </w:tcMar>
            <w:vAlign w:val="top"/>
          </w:tcPr>
          <w:p>
            <w:pPr>
              <w:spacing w:after="20"/>
            </w:pPr>
            <w:r>
              <w:t xml:space="preserve">150 mm H-pattern booster assembly with cabinet</w:t>
            </w:r>
          </w:p>
        </w:tc>
        <w:tc>
          <w:tcPr>
            <w:tcW w:type="dxa" w:w="2400"/>
            <w:tcMar>
              <w:top w:type="dxa" w:w="50"/>
              <w:left w:type="dxa" w:w="90"/>
              <w:bottom w:type="dxa" w:w="50"/>
              <w:right w:type="dxa" w:w="90"/>
            </w:tcMar>
            <w:vAlign w:val="top"/>
          </w:tcPr>
          <w:p>
            <w:pPr>
              <w:spacing w:after="20"/>
            </w:pPr>
            <w:r>
              <w:t xml:space="preserve">Included</w:t>
            </w:r>
          </w:p>
        </w:tc>
      </w:tr>
      <w:tr>
        <w:trPr>
          <w:cantSplit/>
          <w:tblHeader w:val="false"/>
        </w:trPr>
        <w:tc>
          <w:tcPr>
            <w:tcW w:type="dxa" w:w="1050"/>
            <w:tcMar>
              <w:top w:type="dxa" w:w="50"/>
              <w:left w:type="dxa" w:w="90"/>
              <w:bottom w:type="dxa" w:w="50"/>
              <w:right w:type="dxa" w:w="90"/>
            </w:tcMar>
            <w:vAlign w:val="top"/>
          </w:tcPr>
          <w:p>
            <w:pPr>
              <w:spacing w:after="20"/>
            </w:pPr>
            <w:r>
              <w:t xml:space="preserve">Site (1A)</w:t>
            </w:r>
          </w:p>
        </w:tc>
        <w:tc>
          <w:tcPr>
            <w:tcW w:type="dxa" w:w="1000"/>
            <w:tcMar>
              <w:top w:type="dxa" w:w="50"/>
              <w:left w:type="dxa" w:w="90"/>
              <w:bottom w:type="dxa" w:w="50"/>
              <w:right w:type="dxa" w:w="90"/>
            </w:tcMar>
            <w:vAlign w:val="top"/>
          </w:tcPr>
          <w:p>
            <w:pPr>
              <w:spacing w:after="20"/>
            </w:pPr>
            <w:r>
              <w:t xml:space="preserve">1</w:t>
            </w:r>
          </w:p>
        </w:tc>
        <w:tc>
          <w:tcPr>
            <w:tcW w:type="dxa" w:w="900"/>
            <w:tcMar>
              <w:top w:type="dxa" w:w="50"/>
              <w:left w:type="dxa" w:w="90"/>
              <w:bottom w:type="dxa" w:w="50"/>
              <w:right w:type="dxa" w:w="90"/>
            </w:tcMar>
            <w:vAlign w:val="top"/>
          </w:tcPr>
          <w:p>
            <w:pPr>
              <w:spacing w:after="20"/>
            </w:pPr>
            <w:r>
              <w:t xml:space="preserve">HYD</w:t>
            </w:r>
          </w:p>
        </w:tc>
        <w:tc>
          <w:tcPr>
            <w:tcW w:type="dxa" w:w="5018"/>
            <w:tcMar>
              <w:top w:type="dxa" w:w="50"/>
              <w:left w:type="dxa" w:w="90"/>
              <w:bottom w:type="dxa" w:w="50"/>
              <w:right w:type="dxa" w:w="90"/>
            </w:tcMar>
            <w:vAlign w:val="top"/>
          </w:tcPr>
          <w:p>
            <w:pPr>
              <w:spacing w:after="20"/>
            </w:pPr>
            <w:r>
              <w:t xml:space="preserve">100 mm dual pillar hydrant, flanged base</w:t>
            </w:r>
          </w:p>
        </w:tc>
        <w:tc>
          <w:tcPr>
            <w:tcW w:type="dxa" w:w="2400"/>
            <w:tcMar>
              <w:top w:type="dxa" w:w="50"/>
              <w:left w:type="dxa" w:w="90"/>
              <w:bottom w:type="dxa" w:w="50"/>
              <w:right w:type="dxa" w:w="90"/>
            </w:tcMar>
            <w:vAlign w:val="top"/>
          </w:tcPr>
          <w:p>
            <w:pPr>
              <w:spacing w:after="20"/>
            </w:pPr>
            <w:r>
              <w:t xml:space="preserve">Included — coverage query C3</w:t>
            </w:r>
          </w:p>
        </w:tc>
      </w:tr>
      <w:tr>
        <w:trPr>
          <w:cantSplit/>
          <w:tblHeader w:val="false"/>
        </w:trPr>
        <w:tc>
          <w:tcPr>
            <w:tcW w:type="dxa" w:w="1050"/>
            <w:tcMar>
              <w:top w:type="dxa" w:w="50"/>
              <w:left w:type="dxa" w:w="90"/>
              <w:bottom w:type="dxa" w:w="50"/>
              <w:right w:type="dxa" w:w="90"/>
            </w:tcMar>
            <w:vAlign w:val="top"/>
          </w:tcPr>
          <w:p>
            <w:pPr>
              <w:spacing w:after="20"/>
            </w:pPr>
            <w:r>
              <w:t xml:space="preserve">Site (1A)</w:t>
            </w:r>
          </w:p>
        </w:tc>
        <w:tc>
          <w:tcPr>
            <w:tcW w:type="dxa" w:w="1000"/>
            <w:tcMar>
              <w:top w:type="dxa" w:w="50"/>
              <w:left w:type="dxa" w:w="90"/>
              <w:bottom w:type="dxa" w:w="50"/>
              <w:right w:type="dxa" w:w="90"/>
            </w:tcMar>
            <w:vAlign w:val="top"/>
          </w:tcPr>
          <w:p>
            <w:pPr>
              <w:spacing w:after="20"/>
            </w:pPr>
            <w:r>
              <w:t xml:space="preserve">6</w:t>
            </w:r>
          </w:p>
        </w:tc>
        <w:tc>
          <w:tcPr>
            <w:tcW w:type="dxa" w:w="900"/>
            <w:tcMar>
              <w:top w:type="dxa" w:w="50"/>
              <w:left w:type="dxa" w:w="90"/>
              <w:bottom w:type="dxa" w:w="50"/>
              <w:right w:type="dxa" w:w="90"/>
            </w:tcMar>
            <w:vAlign w:val="top"/>
          </w:tcPr>
          <w:p>
            <w:pPr>
              <w:spacing w:after="20"/>
            </w:pPr>
            <w:r>
              <w:t xml:space="preserve">CV</w:t>
            </w:r>
          </w:p>
        </w:tc>
        <w:tc>
          <w:tcPr>
            <w:tcW w:type="dxa" w:w="5018"/>
            <w:tcMar>
              <w:top w:type="dxa" w:w="50"/>
              <w:left w:type="dxa" w:w="90"/>
              <w:bottom w:type="dxa" w:w="50"/>
              <w:right w:type="dxa" w:w="90"/>
            </w:tcMar>
            <w:vAlign w:val="top"/>
          </w:tcPr>
          <w:p>
            <w:pPr>
              <w:spacing w:after="20"/>
            </w:pPr>
            <w:r>
              <w:t xml:space="preserve">100 mm check valves — site services</w:t>
            </w:r>
          </w:p>
        </w:tc>
        <w:tc>
          <w:tcPr>
            <w:tcW w:type="dxa" w:w="2400"/>
            <w:tcMar>
              <w:top w:type="dxa" w:w="50"/>
              <w:left w:type="dxa" w:w="90"/>
              <w:bottom w:type="dxa" w:w="50"/>
              <w:right w:type="dxa" w:w="90"/>
            </w:tcMar>
            <w:vAlign w:val="top"/>
          </w:tcPr>
          <w:p>
            <w:pPr>
              <w:spacing w:after="20"/>
            </w:pPr>
            <w:r>
              <w:t xml:space="preserve">Included</w:t>
            </w:r>
          </w:p>
        </w:tc>
      </w:tr>
      <w:tr>
        <w:trPr>
          <w:cantSplit/>
          <w:tblHeader w:val="false"/>
        </w:trPr>
        <w:tc>
          <w:tcPr>
            <w:tcW w:type="dxa" w:w="1050"/>
            <w:tcMar>
              <w:top w:type="dxa" w:w="50"/>
              <w:left w:type="dxa" w:w="90"/>
              <w:bottom w:type="dxa" w:w="50"/>
              <w:right w:type="dxa" w:w="90"/>
            </w:tcMar>
            <w:vAlign w:val="top"/>
          </w:tcPr>
          <w:p>
            <w:pPr>
              <w:spacing w:after="20"/>
            </w:pPr>
            <w:r>
              <w:t xml:space="preserve">Site (1A/1B)</w:t>
            </w:r>
          </w:p>
        </w:tc>
        <w:tc>
          <w:tcPr>
            <w:tcW w:type="dxa" w:w="1000"/>
            <w:tcMar>
              <w:top w:type="dxa" w:w="50"/>
              <w:left w:type="dxa" w:w="90"/>
              <w:bottom w:type="dxa" w:w="50"/>
              <w:right w:type="dxa" w:w="90"/>
            </w:tcMar>
            <w:vAlign w:val="top"/>
          </w:tcPr>
          <w:p>
            <w:pPr>
              <w:spacing w:after="20"/>
            </w:pPr>
            <w:r>
              <w:t xml:space="preserve">19 (adopted)</w:t>
            </w:r>
          </w:p>
        </w:tc>
        <w:tc>
          <w:tcPr>
            <w:tcW w:type="dxa" w:w="900"/>
            <w:tcMar>
              <w:top w:type="dxa" w:w="50"/>
              <w:left w:type="dxa" w:w="90"/>
              <w:bottom w:type="dxa" w:w="50"/>
              <w:right w:type="dxa" w:w="90"/>
            </w:tcMar>
            <w:vAlign w:val="top"/>
          </w:tcPr>
          <w:p>
            <w:pPr>
              <w:spacing w:after="20"/>
            </w:pPr>
            <w:r>
              <w:t xml:space="preserve">DP</w:t>
            </w:r>
          </w:p>
        </w:tc>
        <w:tc>
          <w:tcPr>
            <w:tcW w:type="dxa" w:w="5018"/>
            <w:tcMar>
              <w:top w:type="dxa" w:w="50"/>
              <w:left w:type="dxa" w:w="90"/>
              <w:bottom w:type="dxa" w:w="50"/>
              <w:right w:type="dxa" w:w="90"/>
            </w:tcMar>
            <w:vAlign w:val="top"/>
          </w:tcPr>
          <w:p>
            <w:pPr>
              <w:spacing w:after="20"/>
            </w:pPr>
            <w:r>
              <w:t xml:space="preserve">Roof downpipe in-ground connection stubs terminating at the "CONNECT TO CIVIL" points</w:t>
            </w:r>
          </w:p>
        </w:tc>
        <w:tc>
          <w:tcPr>
            <w:tcW w:type="dxa" w:w="2400"/>
            <w:tcMar>
              <w:top w:type="dxa" w:w="50"/>
              <w:left w:type="dxa" w:w="90"/>
              <w:bottom w:type="dxa" w:w="50"/>
              <w:right w:type="dxa" w:w="90"/>
            </w:tcMar>
            <w:vAlign w:val="top"/>
          </w:tcPr>
          <w:p>
            <w:pPr>
              <w:spacing w:after="20"/>
            </w:pPr>
            <w:r>
              <w:t xml:space="preserve">Count and connection points — query C11</w:t>
            </w:r>
          </w:p>
        </w:tc>
      </w:tr>
      <w:tr>
        <w:trPr>
          <w:cantSplit/>
          <w:tblHeader w:val="false"/>
        </w:trPr>
        <w:tc>
          <w:tcPr>
            <w:tcW w:type="dxa" w:w="1050"/>
            <w:tcMar>
              <w:top w:type="dxa" w:w="50"/>
              <w:left w:type="dxa" w:w="90"/>
              <w:bottom w:type="dxa" w:w="50"/>
              <w:right w:type="dxa" w:w="90"/>
            </w:tcMar>
            <w:vAlign w:val="top"/>
          </w:tcPr>
          <w:p>
            <w:pPr>
              <w:spacing w:after="20"/>
            </w:pPr>
            <w:r>
              <w:t xml:space="preserve">Site (1A)</w:t>
            </w:r>
          </w:p>
        </w:tc>
        <w:tc>
          <w:tcPr>
            <w:tcW w:type="dxa" w:w="1000"/>
            <w:tcMar>
              <w:top w:type="dxa" w:w="50"/>
              <w:left w:type="dxa" w:w="90"/>
              <w:bottom w:type="dxa" w:w="50"/>
              <w:right w:type="dxa" w:w="90"/>
            </w:tcMar>
            <w:vAlign w:val="top"/>
          </w:tcPr>
          <w:p>
            <w:pPr>
              <w:spacing w:after="20"/>
            </w:pPr>
            <w:r>
              <w:t xml:space="preserve">—</w:t>
            </w:r>
          </w:p>
        </w:tc>
        <w:tc>
          <w:tcPr>
            <w:tcW w:type="dxa" w:w="900"/>
            <w:tcMar>
              <w:top w:type="dxa" w:w="50"/>
              <w:left w:type="dxa" w:w="90"/>
              <w:bottom w:type="dxa" w:w="50"/>
              <w:right w:type="dxa" w:w="90"/>
            </w:tcMar>
            <w:vAlign w:val="top"/>
          </w:tcPr>
          <w:p>
            <w:pPr>
              <w:spacing w:after="20"/>
            </w:pPr>
            <w:r>
              <w:t xml:space="preserve">SPS</w:t>
            </w:r>
          </w:p>
        </w:tc>
        <w:tc>
          <w:tcPr>
            <w:tcW w:type="dxa" w:w="5018"/>
            <w:tcMar>
              <w:top w:type="dxa" w:w="50"/>
              <w:left w:type="dxa" w:w="90"/>
              <w:bottom w:type="dxa" w:w="50"/>
              <w:right w:type="dxa" w:w="90"/>
            </w:tcMar>
            <w:vAlign w:val="top"/>
          </w:tcPr>
          <w:p>
            <w:pPr>
              <w:spacing w:after="20"/>
            </w:pPr>
            <w:r>
              <w:t xml:space="preserve">Sewage pump station and rising main — EXCLUDED (Council-installed per Addendum 2; rising main add-price held)</w:t>
            </w:r>
          </w:p>
        </w:tc>
        <w:tc>
          <w:tcPr>
            <w:tcW w:type="dxa" w:w="2400"/>
            <w:tcMar>
              <w:top w:type="dxa" w:w="50"/>
              <w:left w:type="dxa" w:w="90"/>
              <w:bottom w:type="dxa" w:w="50"/>
              <w:right w:type="dxa" w:w="90"/>
            </w:tcMar>
            <w:vAlign w:val="top"/>
          </w:tcPr>
          <w:p>
            <w:pPr>
              <w:spacing w:after="20"/>
            </w:pPr>
            <w:r>
              <w:t xml:space="preserve">Excluded (query C1)</w:t>
            </w:r>
          </w:p>
        </w:tc>
      </w:tr>
      <w:tr>
        <w:trPr>
          <w:cantSplit/>
          <w:tblHeader w:val="false"/>
        </w:trPr>
        <w:tc>
          <w:tcPr>
            <w:tcW w:type="dxa" w:w="1050"/>
            <w:tcMar>
              <w:top w:type="dxa" w:w="50"/>
              <w:left w:type="dxa" w:w="90"/>
              <w:bottom w:type="dxa" w:w="50"/>
              <w:right w:type="dxa" w:w="90"/>
            </w:tcMar>
            <w:vAlign w:val="top"/>
          </w:tcPr>
          <w:p>
            <w:pPr>
              <w:spacing w:after="20"/>
            </w:pPr>
            <w:r>
              <w:t xml:space="preserve">PAM (1B)</w:t>
            </w:r>
          </w:p>
        </w:tc>
        <w:tc>
          <w:tcPr>
            <w:tcW w:type="dxa" w:w="1000"/>
            <w:tcMar>
              <w:top w:type="dxa" w:w="50"/>
              <w:left w:type="dxa" w:w="90"/>
              <w:bottom w:type="dxa" w:w="50"/>
              <w:right w:type="dxa" w:w="90"/>
            </w:tcMar>
            <w:vAlign w:val="top"/>
          </w:tcPr>
          <w:p>
            <w:pPr>
              <w:spacing w:after="20"/>
            </w:pPr>
            <w:r>
              <w:t xml:space="preserve">15 (adopted)</w:t>
            </w:r>
          </w:p>
        </w:tc>
        <w:tc>
          <w:tcPr>
            <w:tcW w:type="dxa" w:w="900"/>
            <w:tcMar>
              <w:top w:type="dxa" w:w="50"/>
              <w:left w:type="dxa" w:w="90"/>
              <w:bottom w:type="dxa" w:w="50"/>
              <w:right w:type="dxa" w:w="90"/>
            </w:tcMar>
            <w:vAlign w:val="top"/>
          </w:tcPr>
          <w:p>
            <w:pPr>
              <w:spacing w:after="20"/>
            </w:pPr>
            <w:r>
              <w:t xml:space="preserve">FIX</w:t>
            </w:r>
          </w:p>
        </w:tc>
        <w:tc>
          <w:tcPr>
            <w:tcW w:type="dxa" w:w="5018"/>
            <w:tcMar>
              <w:top w:type="dxa" w:w="50"/>
              <w:left w:type="dxa" w:w="90"/>
              <w:bottom w:type="dxa" w:w="50"/>
              <w:right w:type="dxa" w:w="90"/>
            </w:tcMar>
            <w:vAlign w:val="top"/>
          </w:tcPr>
          <w:p>
            <w:pPr>
              <w:spacing w:after="20"/>
            </w:pPr>
            <w:r>
              <w:t xml:space="preserve">PAM fixture set: 8 × stainless WC pans with in-wall cisterns; 1800 trough; PWD basin; cleaner’s sink; timed-flow taps; 2 × TR units (as scheduled) — supply under the Stage 1B fixture PC Sum; installation in the lump sum</w:t>
            </w:r>
          </w:p>
        </w:tc>
        <w:tc>
          <w:tcPr>
            <w:tcW w:type="dxa" w:w="2400"/>
            <w:tcMar>
              <w:top w:type="dxa" w:w="50"/>
              <w:left w:type="dxa" w:w="90"/>
              <w:bottom w:type="dxa" w:w="50"/>
              <w:right w:type="dxa" w:w="90"/>
            </w:tcMar>
            <w:vAlign w:val="top"/>
          </w:tcPr>
          <w:p>
            <w:pPr>
              <w:spacing w:after="20"/>
            </w:pPr>
            <w:r>
              <w:t xml:space="preserve">Final confirmation required (query C6)</w:t>
            </w:r>
          </w:p>
        </w:tc>
      </w:tr>
      <w:tr>
        <w:trPr>
          <w:cantSplit/>
          <w:tblHeader w:val="false"/>
        </w:trPr>
        <w:tc>
          <w:tcPr>
            <w:tcW w:type="dxa" w:w="1050"/>
            <w:tcMar>
              <w:top w:type="dxa" w:w="50"/>
              <w:left w:type="dxa" w:w="90"/>
              <w:bottom w:type="dxa" w:w="50"/>
              <w:right w:type="dxa" w:w="90"/>
            </w:tcMar>
            <w:vAlign w:val="top"/>
          </w:tcPr>
          <w:p>
            <w:pPr>
              <w:spacing w:after="20"/>
            </w:pPr>
            <w:r>
              <w:t xml:space="preserve">PAM (1B)</w:t>
            </w:r>
          </w:p>
        </w:tc>
        <w:tc>
          <w:tcPr>
            <w:tcW w:type="dxa" w:w="1000"/>
            <w:tcMar>
              <w:top w:type="dxa" w:w="50"/>
              <w:left w:type="dxa" w:w="90"/>
              <w:bottom w:type="dxa" w:w="50"/>
              <w:right w:type="dxa" w:w="90"/>
            </w:tcMar>
            <w:vAlign w:val="top"/>
          </w:tcPr>
          <w:p>
            <w:pPr>
              <w:spacing w:after="20"/>
            </w:pPr>
            <w:r>
              <w:t xml:space="preserve">1</w:t>
            </w:r>
          </w:p>
        </w:tc>
        <w:tc>
          <w:tcPr>
            <w:tcW w:type="dxa" w:w="900"/>
            <w:tcMar>
              <w:top w:type="dxa" w:w="50"/>
              <w:left w:type="dxa" w:w="90"/>
              <w:bottom w:type="dxa" w:w="50"/>
              <w:right w:type="dxa" w:w="90"/>
            </w:tcMar>
            <w:vAlign w:val="top"/>
          </w:tcPr>
          <w:p>
            <w:pPr>
              <w:spacing w:after="20"/>
            </w:pPr>
            <w:r>
              <w:t xml:space="preserve">HWU</w:t>
            </w:r>
          </w:p>
        </w:tc>
        <w:tc>
          <w:tcPr>
            <w:tcW w:type="dxa" w:w="5018"/>
            <w:tcMar>
              <w:top w:type="dxa" w:w="50"/>
              <w:left w:type="dxa" w:w="90"/>
              <w:bottom w:type="dxa" w:w="50"/>
              <w:right w:type="dxa" w:w="90"/>
            </w:tcMar>
            <w:vAlign w:val="top"/>
          </w:tcPr>
          <w:p>
            <w:pPr>
              <w:spacing w:after="20"/>
            </w:pPr>
            <w:r>
              <w:t xml:space="preserve">Rheem 613/050 50 L hot water unit including safe tray, 316 stainless plinth and seismic restraint</w:t>
            </w:r>
          </w:p>
        </w:tc>
        <w:tc>
          <w:tcPr>
            <w:tcW w:type="dxa" w:w="2400"/>
            <w:tcMar>
              <w:top w:type="dxa" w:w="50"/>
              <w:left w:type="dxa" w:w="90"/>
              <w:bottom w:type="dxa" w:w="50"/>
              <w:right w:type="dxa" w:w="90"/>
            </w:tcMar>
            <w:vAlign w:val="top"/>
          </w:tcPr>
          <w:p>
            <w:pPr>
              <w:spacing w:after="20"/>
            </w:pPr>
            <w:r>
              <w:t xml:space="preserve">Included — TriCore supply</w:t>
            </w:r>
          </w:p>
        </w:tc>
      </w:tr>
      <w:tr>
        <w:trPr>
          <w:cantSplit/>
          <w:tblHeader w:val="false"/>
        </w:trPr>
        <w:tc>
          <w:tcPr>
            <w:tcW w:type="dxa" w:w="1050"/>
            <w:tcMar>
              <w:top w:type="dxa" w:w="50"/>
              <w:left w:type="dxa" w:w="90"/>
              <w:bottom w:type="dxa" w:w="50"/>
              <w:right w:type="dxa" w:w="90"/>
            </w:tcMar>
            <w:vAlign w:val="top"/>
          </w:tcPr>
          <w:p>
            <w:pPr>
              <w:spacing w:after="20"/>
            </w:pPr>
            <w:r>
              <w:t xml:space="preserve">PAM (1B)</w:t>
            </w:r>
          </w:p>
        </w:tc>
        <w:tc>
          <w:tcPr>
            <w:tcW w:type="dxa" w:w="1000"/>
            <w:tcMar>
              <w:top w:type="dxa" w:w="50"/>
              <w:left w:type="dxa" w:w="90"/>
              <w:bottom w:type="dxa" w:w="50"/>
              <w:right w:type="dxa" w:w="90"/>
            </w:tcMar>
            <w:vAlign w:val="top"/>
          </w:tcPr>
          <w:p>
            <w:pPr>
              <w:spacing w:after="20"/>
            </w:pPr>
            <w:r>
              <w:t xml:space="preserve">1</w:t>
            </w:r>
          </w:p>
        </w:tc>
        <w:tc>
          <w:tcPr>
            <w:tcW w:type="dxa" w:w="900"/>
            <w:tcMar>
              <w:top w:type="dxa" w:w="50"/>
              <w:left w:type="dxa" w:w="90"/>
              <w:bottom w:type="dxa" w:w="50"/>
              <w:right w:type="dxa" w:w="90"/>
            </w:tcMar>
            <w:vAlign w:val="top"/>
          </w:tcPr>
          <w:p>
            <w:pPr>
              <w:spacing w:after="20"/>
            </w:pPr>
            <w:r>
              <w:t xml:space="preserve">TMV</w:t>
            </w:r>
          </w:p>
        </w:tc>
        <w:tc>
          <w:tcPr>
            <w:tcW w:type="dxa" w:w="5018"/>
            <w:tcMar>
              <w:top w:type="dxa" w:w="50"/>
              <w:left w:type="dxa" w:w="90"/>
              <w:bottom w:type="dxa" w:w="50"/>
              <w:right w:type="dxa" w:w="90"/>
            </w:tcMar>
            <w:vAlign w:val="top"/>
          </w:tcPr>
          <w:p>
            <w:pPr>
              <w:spacing w:after="20"/>
            </w:pPr>
            <w:r>
              <w:t xml:space="preserve">Thermostatic mixing valve in lockable stainless cabinet</w:t>
            </w:r>
          </w:p>
        </w:tc>
        <w:tc>
          <w:tcPr>
            <w:tcW w:type="dxa" w:w="2400"/>
            <w:tcMar>
              <w:top w:type="dxa" w:w="50"/>
              <w:left w:type="dxa" w:w="90"/>
              <w:bottom w:type="dxa" w:w="50"/>
              <w:right w:type="dxa" w:w="90"/>
            </w:tcMar>
            <w:vAlign w:val="top"/>
          </w:tcPr>
          <w:p>
            <w:pPr>
              <w:spacing w:after="20"/>
            </w:pPr>
            <w:r>
              <w:t xml:space="preserve">Included</w:t>
            </w:r>
          </w:p>
        </w:tc>
      </w:tr>
      <w:tr>
        <w:trPr>
          <w:cantSplit/>
          <w:tblHeader w:val="false"/>
        </w:trPr>
        <w:tc>
          <w:tcPr>
            <w:tcW w:type="dxa" w:w="1050"/>
            <w:tcMar>
              <w:top w:type="dxa" w:w="50"/>
              <w:left w:type="dxa" w:w="90"/>
              <w:bottom w:type="dxa" w:w="50"/>
              <w:right w:type="dxa" w:w="90"/>
            </w:tcMar>
            <w:vAlign w:val="top"/>
          </w:tcPr>
          <w:p>
            <w:pPr>
              <w:spacing w:after="20"/>
            </w:pPr>
            <w:r>
              <w:t xml:space="preserve">PAM (1B)</w:t>
            </w:r>
          </w:p>
        </w:tc>
        <w:tc>
          <w:tcPr>
            <w:tcW w:type="dxa" w:w="1000"/>
            <w:tcMar>
              <w:top w:type="dxa" w:w="50"/>
              <w:left w:type="dxa" w:w="90"/>
              <w:bottom w:type="dxa" w:w="50"/>
              <w:right w:type="dxa" w:w="90"/>
            </w:tcMar>
            <w:vAlign w:val="top"/>
          </w:tcPr>
          <w:p>
            <w:pPr>
              <w:spacing w:after="20"/>
            </w:pPr>
            <w:r>
              <w:t xml:space="preserve">1</w:t>
            </w:r>
          </w:p>
        </w:tc>
        <w:tc>
          <w:tcPr>
            <w:tcW w:type="dxa" w:w="900"/>
            <w:tcMar>
              <w:top w:type="dxa" w:w="50"/>
              <w:left w:type="dxa" w:w="90"/>
              <w:bottom w:type="dxa" w:w="50"/>
              <w:right w:type="dxa" w:w="90"/>
            </w:tcMar>
            <w:vAlign w:val="top"/>
          </w:tcPr>
          <w:p>
            <w:pPr>
              <w:spacing w:after="20"/>
            </w:pPr>
            <w:r>
              <w:t xml:space="preserve">WM-32</w:t>
            </w:r>
          </w:p>
        </w:tc>
        <w:tc>
          <w:tcPr>
            <w:tcW w:type="dxa" w:w="5018"/>
            <w:tcMar>
              <w:top w:type="dxa" w:w="50"/>
              <w:left w:type="dxa" w:w="90"/>
              <w:bottom w:type="dxa" w:w="50"/>
              <w:right w:type="dxa" w:w="90"/>
            </w:tcMar>
            <w:vAlign w:val="top"/>
          </w:tcPr>
          <w:p>
            <w:pPr>
              <w:spacing w:after="20"/>
            </w:pPr>
            <w:r>
              <w:t xml:space="preserve">Ø32 check-meter assembly at the building entry (no PRV documented — refer clarifications)</w:t>
            </w:r>
          </w:p>
        </w:tc>
        <w:tc>
          <w:tcPr>
            <w:tcW w:type="dxa" w:w="2400"/>
            <w:tcMar>
              <w:top w:type="dxa" w:w="50"/>
              <w:left w:type="dxa" w:w="90"/>
              <w:bottom w:type="dxa" w:w="50"/>
              <w:right w:type="dxa" w:w="90"/>
            </w:tcMar>
            <w:vAlign w:val="top"/>
          </w:tcPr>
          <w:p>
            <w:pPr>
              <w:spacing w:after="20"/>
            </w:pPr>
            <w:r>
              <w:t xml:space="preserve">Included</w:t>
            </w:r>
          </w:p>
        </w:tc>
      </w:tr>
      <w:tr>
        <w:trPr>
          <w:cantSplit/>
          <w:tblHeader w:val="false"/>
        </w:trPr>
        <w:tc>
          <w:tcPr>
            <w:tcW w:type="dxa" w:w="1050"/>
            <w:tcMar>
              <w:top w:type="dxa" w:w="50"/>
              <w:left w:type="dxa" w:w="90"/>
              <w:bottom w:type="dxa" w:w="50"/>
              <w:right w:type="dxa" w:w="90"/>
            </w:tcMar>
            <w:vAlign w:val="top"/>
          </w:tcPr>
          <w:p>
            <w:pPr>
              <w:spacing w:after="20"/>
            </w:pPr>
            <w:r>
              <w:t xml:space="preserve">PAM (1B)</w:t>
            </w:r>
          </w:p>
        </w:tc>
        <w:tc>
          <w:tcPr>
            <w:tcW w:type="dxa" w:w="1000"/>
            <w:tcMar>
              <w:top w:type="dxa" w:w="50"/>
              <w:left w:type="dxa" w:w="90"/>
              <w:bottom w:type="dxa" w:w="50"/>
              <w:right w:type="dxa" w:w="90"/>
            </w:tcMar>
            <w:vAlign w:val="top"/>
          </w:tcPr>
          <w:p>
            <w:pPr>
              <w:spacing w:after="20"/>
            </w:pPr>
            <w:r>
              <w:t xml:space="preserve">4 + 1</w:t>
            </w:r>
          </w:p>
        </w:tc>
        <w:tc>
          <w:tcPr>
            <w:tcW w:type="dxa" w:w="900"/>
            <w:tcMar>
              <w:top w:type="dxa" w:w="50"/>
              <w:left w:type="dxa" w:w="90"/>
              <w:bottom w:type="dxa" w:w="50"/>
              <w:right w:type="dxa" w:w="90"/>
            </w:tcMar>
            <w:vAlign w:val="top"/>
          </w:tcPr>
          <w:p>
            <w:pPr>
              <w:spacing w:after="20"/>
            </w:pPr>
            <w:r>
              <w:t xml:space="preserve">FWG/ORG</w:t>
            </w:r>
          </w:p>
        </w:tc>
        <w:tc>
          <w:tcPr>
            <w:tcW w:type="dxa" w:w="5018"/>
            <w:tcMar>
              <w:top w:type="dxa" w:w="50"/>
              <w:left w:type="dxa" w:w="90"/>
              <w:bottom w:type="dxa" w:w="50"/>
              <w:right w:type="dxa" w:w="90"/>
            </w:tcMar>
            <w:vAlign w:val="top"/>
          </w:tcPr>
          <w:p>
            <w:pPr>
              <w:spacing w:after="20"/>
            </w:pPr>
            <w:r>
              <w:t xml:space="preserve">Floor waste gullies (4) and overflow relief gully (1)</w:t>
            </w:r>
          </w:p>
        </w:tc>
        <w:tc>
          <w:tcPr>
            <w:tcW w:type="dxa" w:w="2400"/>
            <w:tcMar>
              <w:top w:type="dxa" w:w="50"/>
              <w:left w:type="dxa" w:w="90"/>
              <w:bottom w:type="dxa" w:w="50"/>
              <w:right w:type="dxa" w:w="90"/>
            </w:tcMar>
            <w:vAlign w:val="top"/>
          </w:tcPr>
          <w:p>
            <w:pPr>
              <w:spacing w:after="20"/>
            </w:pPr>
            <w:r>
              <w:t xml:space="preserve">Included</w:t>
            </w:r>
          </w:p>
        </w:tc>
      </w:tr>
      <w:tr>
        <w:trPr>
          <w:cantSplit/>
          <w:tblHeader w:val="false"/>
        </w:trPr>
        <w:tc>
          <w:tcPr>
            <w:tcW w:type="dxa" w:w="1050"/>
            <w:tcMar>
              <w:top w:type="dxa" w:w="50"/>
              <w:left w:type="dxa" w:w="90"/>
              <w:bottom w:type="dxa" w:w="50"/>
              <w:right w:type="dxa" w:w="90"/>
            </w:tcMar>
            <w:vAlign w:val="top"/>
          </w:tcPr>
          <w:p>
            <w:pPr>
              <w:spacing w:after="20"/>
            </w:pPr>
            <w:r>
              <w:t xml:space="preserve">PAM (1B)</w:t>
            </w:r>
          </w:p>
        </w:tc>
        <w:tc>
          <w:tcPr>
            <w:tcW w:type="dxa" w:w="1000"/>
            <w:tcMar>
              <w:top w:type="dxa" w:w="50"/>
              <w:left w:type="dxa" w:w="90"/>
              <w:bottom w:type="dxa" w:w="50"/>
              <w:right w:type="dxa" w:w="90"/>
            </w:tcMar>
            <w:vAlign w:val="top"/>
          </w:tcPr>
          <w:p>
            <w:pPr>
              <w:spacing w:after="20"/>
            </w:pPr>
            <w:r>
              <w:t xml:space="preserve">2</w:t>
            </w:r>
          </w:p>
        </w:tc>
        <w:tc>
          <w:tcPr>
            <w:tcW w:type="dxa" w:w="900"/>
            <w:tcMar>
              <w:top w:type="dxa" w:w="50"/>
              <w:left w:type="dxa" w:w="90"/>
              <w:bottom w:type="dxa" w:w="50"/>
              <w:right w:type="dxa" w:w="90"/>
            </w:tcMar>
            <w:vAlign w:val="top"/>
          </w:tcPr>
          <w:p>
            <w:pPr>
              <w:spacing w:after="20"/>
            </w:pPr>
            <w:r>
              <w:t xml:space="preserve">DF-N</w:t>
            </w:r>
          </w:p>
        </w:tc>
        <w:tc>
          <w:tcPr>
            <w:tcW w:type="dxa" w:w="5018"/>
            <w:tcMar>
              <w:top w:type="dxa" w:w="50"/>
              <w:left w:type="dxa" w:w="90"/>
              <w:bottom w:type="dxa" w:w="50"/>
              <w:right w:type="dxa" w:w="90"/>
            </w:tcMar>
            <w:vAlign w:val="top"/>
          </w:tcPr>
          <w:p>
            <w:pPr>
              <w:spacing w:after="20"/>
            </w:pPr>
            <w:r>
              <w:t xml:space="preserve">CF400 non-chilled drinking fountains — supply under PC Sum; installed and connected by TriCore; signage excluded</w:t>
            </w:r>
          </w:p>
        </w:tc>
        <w:tc>
          <w:tcPr>
            <w:tcW w:type="dxa" w:w="2400"/>
            <w:tcMar>
              <w:top w:type="dxa" w:w="50"/>
              <w:left w:type="dxa" w:w="90"/>
              <w:bottom w:type="dxa" w:w="50"/>
              <w:right w:type="dxa" w:w="90"/>
            </w:tcMar>
            <w:vAlign w:val="top"/>
          </w:tcPr>
          <w:p>
            <w:pPr>
              <w:spacing w:after="20"/>
            </w:pPr>
            <w:r>
              <w:t xml:space="preserve">Final confirmation required</w:t>
            </w:r>
          </w:p>
        </w:tc>
      </w:tr>
      <w:tr>
        <w:trPr>
          <w:cantSplit/>
          <w:tblHeader w:val="false"/>
        </w:trPr>
        <w:tc>
          <w:tcPr>
            <w:tcW w:type="dxa" w:w="1050"/>
            <w:tcMar>
              <w:top w:type="dxa" w:w="50"/>
              <w:left w:type="dxa" w:w="90"/>
              <w:bottom w:type="dxa" w:w="50"/>
              <w:right w:type="dxa" w:w="90"/>
            </w:tcMar>
            <w:vAlign w:val="top"/>
          </w:tcPr>
          <w:p>
            <w:pPr>
              <w:spacing w:after="20"/>
            </w:pPr>
            <w:r>
              <w:t xml:space="preserve">PAM (1B)</w:t>
            </w:r>
          </w:p>
        </w:tc>
        <w:tc>
          <w:tcPr>
            <w:tcW w:type="dxa" w:w="1000"/>
            <w:tcMar>
              <w:top w:type="dxa" w:w="50"/>
              <w:left w:type="dxa" w:w="90"/>
              <w:bottom w:type="dxa" w:w="50"/>
              <w:right w:type="dxa" w:w="90"/>
            </w:tcMar>
            <w:vAlign w:val="top"/>
          </w:tcPr>
          <w:p>
            <w:pPr>
              <w:spacing w:after="20"/>
            </w:pPr>
            <w:r>
              <w:t xml:space="preserve">1</w:t>
            </w:r>
          </w:p>
        </w:tc>
        <w:tc>
          <w:tcPr>
            <w:tcW w:type="dxa" w:w="900"/>
            <w:tcMar>
              <w:top w:type="dxa" w:w="50"/>
              <w:left w:type="dxa" w:w="90"/>
              <w:bottom w:type="dxa" w:w="50"/>
              <w:right w:type="dxa" w:w="90"/>
            </w:tcMar>
            <w:vAlign w:val="top"/>
          </w:tcPr>
          <w:p>
            <w:pPr>
              <w:spacing w:after="20"/>
            </w:pPr>
            <w:r>
              <w:t xml:space="preserve">FE</w:t>
            </w:r>
          </w:p>
        </w:tc>
        <w:tc>
          <w:tcPr>
            <w:tcW w:type="dxa" w:w="5018"/>
            <w:tcMar>
              <w:top w:type="dxa" w:w="50"/>
              <w:left w:type="dxa" w:w="90"/>
              <w:bottom w:type="dxa" w:w="50"/>
              <w:right w:type="dxa" w:w="90"/>
            </w:tcMar>
            <w:vAlign w:val="top"/>
          </w:tcPr>
          <w:p>
            <w:pPr>
              <w:spacing w:after="20"/>
            </w:pPr>
            <w:r>
              <w:t xml:space="preserve">Portable fire extinguisher — EXCLUDED; add-price held</w:t>
            </w:r>
          </w:p>
        </w:tc>
        <w:tc>
          <w:tcPr>
            <w:tcW w:type="dxa" w:w="2400"/>
            <w:tcMar>
              <w:top w:type="dxa" w:w="50"/>
              <w:left w:type="dxa" w:w="90"/>
              <w:bottom w:type="dxa" w:w="50"/>
              <w:right w:type="dxa" w:w="90"/>
            </w:tcMar>
            <w:vAlign w:val="top"/>
          </w:tcPr>
          <w:p>
            <w:pPr>
              <w:spacing w:after="20"/>
            </w:pPr>
            <w:r>
              <w:t xml:space="preserve">Excluded (query C10)</w:t>
            </w:r>
          </w:p>
        </w:tc>
      </w:tr>
      <w:tr>
        <w:trPr>
          <w:cantSplit/>
          <w:tblHeader w:val="false"/>
        </w:trPr>
        <w:tc>
          <w:tcPr>
            <w:tcW w:type="dxa" w:w="1050"/>
            <w:tcMar>
              <w:top w:type="dxa" w:w="50"/>
              <w:left w:type="dxa" w:w="90"/>
              <w:bottom w:type="dxa" w:w="50"/>
              <w:right w:type="dxa" w:w="90"/>
            </w:tcMar>
            <w:vAlign w:val="top"/>
          </w:tcPr>
          <w:p>
            <w:pPr>
              <w:spacing w:after="20"/>
            </w:pPr>
            <w:r>
              <w:t xml:space="preserve">Park (1B)</w:t>
            </w:r>
          </w:p>
        </w:tc>
        <w:tc>
          <w:tcPr>
            <w:tcW w:type="dxa" w:w="1000"/>
            <w:tcMar>
              <w:top w:type="dxa" w:w="50"/>
              <w:left w:type="dxa" w:w="90"/>
              <w:bottom w:type="dxa" w:w="50"/>
              <w:right w:type="dxa" w:w="90"/>
            </w:tcMar>
            <w:vAlign w:val="top"/>
          </w:tcPr>
          <w:p>
            <w:pPr>
              <w:spacing w:after="20"/>
            </w:pPr>
            <w:r>
              <w:t xml:space="preserve">4</w:t>
            </w:r>
          </w:p>
        </w:tc>
        <w:tc>
          <w:tcPr>
            <w:tcW w:type="dxa" w:w="900"/>
            <w:tcMar>
              <w:top w:type="dxa" w:w="50"/>
              <w:left w:type="dxa" w:w="90"/>
              <w:bottom w:type="dxa" w:w="50"/>
              <w:right w:type="dxa" w:w="90"/>
            </w:tcMar>
            <w:vAlign w:val="top"/>
          </w:tcPr>
          <w:p>
            <w:pPr>
              <w:spacing w:after="20"/>
            </w:pPr>
            <w:r>
              <w:t xml:space="preserve">WBS</w:t>
            </w:r>
          </w:p>
        </w:tc>
        <w:tc>
          <w:tcPr>
            <w:tcW w:type="dxa" w:w="5018"/>
            <w:tcMar>
              <w:top w:type="dxa" w:w="50"/>
              <w:left w:type="dxa" w:w="90"/>
              <w:bottom w:type="dxa" w:w="50"/>
              <w:right w:type="dxa" w:w="90"/>
            </w:tcMar>
            <w:vAlign w:val="top"/>
          </w:tcPr>
          <w:p>
            <w:pPr>
              <w:spacing w:after="20"/>
            </w:pPr>
            <w:r>
              <w:t xml:space="preserve">Water bubbler stations at the H003 DF/BT positions — supply under PC Sum; installed and connected by TriCore; slabs and surrounds by others</w:t>
            </w:r>
          </w:p>
        </w:tc>
        <w:tc>
          <w:tcPr>
            <w:tcW w:type="dxa" w:w="2400"/>
            <w:tcMar>
              <w:top w:type="dxa" w:w="50"/>
              <w:left w:type="dxa" w:w="90"/>
              <w:bottom w:type="dxa" w:w="50"/>
              <w:right w:type="dxa" w:w="90"/>
            </w:tcMar>
            <w:vAlign w:val="top"/>
          </w:tcPr>
          <w:p>
            <w:pPr>
              <w:spacing w:after="20"/>
            </w:pPr>
            <w:r>
              <w:t xml:space="preserve">Final confirmation required — unit type undefined (legend)</w:t>
            </w:r>
          </w:p>
        </w:tc>
      </w:tr>
    </w:tbl>
    <w:p>
      <w:pPr>
        <w:spacing w:before="80"/>
      </w:pPr>
      <w:r>
        <w:t xml:space="preserve">Final handed orientation, colour, mounting arrangement and any item marked for final confirmation are to be confirmed prior to procurement. Non-hydraulic FF&amp;E items are excluded.</w:t>
      </w:r>
    </w:p>
    <w:p>
      <w:r>
        <w:br w:type="page"/>
      </w:r>
    </w:p>
    <w:p>
      <w:pPr>
        <w:pStyle w:val="Heading1"/>
        <w:keepNext/>
      </w:pPr>
      <w:r>
        <w:t xml:space="preserve">Appendix B — Tender Query Schedule</w:t>
      </w:r>
    </w:p>
    <w:p>
      <w:pPr>
        <w:spacing w:after="100"/>
      </w:pPr>
      <w:r>
        <w:t xml:space="preserve">Hydraulic Specification VOL 38 §3.58 and drawing H002 note 15 provide that where documents conflict or are ambiguous, the tender is deemed to have priced the larger quantity or the more expensive component unless the ambiguity is raised at tender. This schedule raises them. Each query states the query and the documents in conflict, the assumption we have adopted for pricing, and the consequence if the answer differs. Priority: </w:t>
      </w:r>
      <w:r>
        <w:rPr>
          <w:b/>
          <w:bCs/>
        </w:rPr>
        <w:t xml:space="preserve">P1</w:t>
      </w:r>
      <w:r>
        <w:t xml:space="preserve"> = price-changing or scope-defining, answer requested before award · </w:t>
      </w:r>
      <w:r>
        <w:rPr>
          <w:b/>
          <w:bCs/>
        </w:rPr>
        <w:t xml:space="preserve">P2</w:t>
      </w:r>
      <w:r>
        <w:t xml:space="preserve"> = material, managed by qualification · </w:t>
      </w:r>
      <w:r>
        <w:rPr>
          <w:b/>
          <w:bCs/>
        </w:rPr>
        <w:t xml:space="preserve">P3</w:t>
      </w:r>
      <w:r>
        <w:t xml:space="preserve"> = administrative/documentation.</w:t>
      </w:r>
    </w:p>
    <w:p>
      <w:pPr>
        <w:pStyle w:val="Heading2"/>
        <w:keepNext/>
      </w:pPr>
      <w:r>
        <w:t xml:space="preserve">Section A — Queries affecting both packages</w:t>
      </w:r>
    </w:p>
    <w:tbl>
      <w:tblPr>
        <w:tblW w:type="dxa" w:w="10368"/>
        <w:tblBorders>
          <w:top w:val="single" w:color="BFBFBF" w:sz="4"/>
          <w:left w:val="single" w:color="BFBFBF" w:sz="4"/>
          <w:bottom w:val="single" w:color="BFBFBF" w:sz="4"/>
          <w:right w:val="single" w:color="BFBFBF" w:sz="4"/>
          <w:insideH w:val="single" w:color="BFBFBF" w:sz="4"/>
          <w:insideV w:val="single" w:color="BFBFBF" w:sz="4"/>
        </w:tblBorders>
      </w:tblPr>
      <w:tblGrid>
        <w:gridCol w:w="650"/>
        <w:gridCol w:w="550"/>
        <w:gridCol w:w="4218"/>
        <w:gridCol w:w="2750"/>
        <w:gridCol w:w="2200"/>
      </w:tblGrid>
      <w:tr>
        <w:trPr>
          <w:cantSplit/>
          <w:tblHeader/>
        </w:trPr>
        <w:tc>
          <w:tcPr>
            <w:tcW w:type="dxa" w:w="650"/>
            <w:shd w:fill="DEEAF6" w:color="auto" w:val="clear"/>
            <w:tcMar>
              <w:top w:type="dxa" w:w="50"/>
              <w:left w:type="dxa" w:w="90"/>
              <w:bottom w:type="dxa" w:w="50"/>
              <w:right w:type="dxa" w:w="90"/>
            </w:tcMar>
            <w:vAlign w:val="top"/>
          </w:tcPr>
          <w:p>
            <w:pPr>
              <w:spacing w:after="20"/>
            </w:pPr>
            <w:r>
              <w:rPr>
                <w:b/>
                <w:bCs/>
                <w:color w:val="1F4E79"/>
              </w:rPr>
              <w:t xml:space="preserve">Ref</w:t>
            </w:r>
          </w:p>
        </w:tc>
        <w:tc>
          <w:tcPr>
            <w:tcW w:type="dxa" w:w="550"/>
            <w:shd w:fill="DEEAF6" w:color="auto" w:val="clear"/>
            <w:tcMar>
              <w:top w:type="dxa" w:w="50"/>
              <w:left w:type="dxa" w:w="90"/>
              <w:bottom w:type="dxa" w:w="50"/>
              <w:right w:type="dxa" w:w="90"/>
            </w:tcMar>
            <w:vAlign w:val="top"/>
          </w:tcPr>
          <w:p>
            <w:pPr>
              <w:spacing w:after="20"/>
            </w:pPr>
            <w:r>
              <w:rPr>
                <w:b/>
                <w:bCs/>
                <w:color w:val="1F4E79"/>
              </w:rPr>
              <w:t xml:space="preserve">P</w:t>
            </w:r>
          </w:p>
        </w:tc>
        <w:tc>
          <w:tcPr>
            <w:tcW w:type="dxa" w:w="4218"/>
            <w:shd w:fill="DEEAF6" w:color="auto" w:val="clear"/>
            <w:tcMar>
              <w:top w:type="dxa" w:w="50"/>
              <w:left w:type="dxa" w:w="90"/>
              <w:bottom w:type="dxa" w:w="50"/>
              <w:right w:type="dxa" w:w="90"/>
            </w:tcMar>
            <w:vAlign w:val="top"/>
          </w:tcPr>
          <w:p>
            <w:pPr>
              <w:spacing w:after="20"/>
            </w:pPr>
            <w:r>
              <w:rPr>
                <w:b/>
                <w:bCs/>
                <w:color w:val="1F4E79"/>
              </w:rPr>
              <w:t xml:space="preserve">Query and documents in conflict</w:t>
            </w:r>
          </w:p>
        </w:tc>
        <w:tc>
          <w:tcPr>
            <w:tcW w:type="dxa" w:w="2750"/>
            <w:shd w:fill="DEEAF6" w:color="auto" w:val="clear"/>
            <w:tcMar>
              <w:top w:type="dxa" w:w="50"/>
              <w:left w:type="dxa" w:w="90"/>
              <w:bottom w:type="dxa" w:w="50"/>
              <w:right w:type="dxa" w:w="90"/>
            </w:tcMar>
            <w:vAlign w:val="top"/>
          </w:tcPr>
          <w:p>
            <w:pPr>
              <w:spacing w:after="20"/>
            </w:pPr>
            <w:r>
              <w:rPr>
                <w:b/>
                <w:bCs/>
                <w:color w:val="1F4E79"/>
              </w:rPr>
              <w:t xml:space="preserve">Assumption adopted for pricing</w:t>
            </w:r>
          </w:p>
        </w:tc>
        <w:tc>
          <w:tcPr>
            <w:tcW w:type="dxa" w:w="2200"/>
            <w:shd w:fill="DEEAF6" w:color="auto" w:val="clear"/>
            <w:tcMar>
              <w:top w:type="dxa" w:w="50"/>
              <w:left w:type="dxa" w:w="90"/>
              <w:bottom w:type="dxa" w:w="50"/>
              <w:right w:type="dxa" w:w="90"/>
            </w:tcMar>
            <w:vAlign w:val="top"/>
          </w:tcPr>
          <w:p>
            <w:pPr>
              <w:spacing w:after="20"/>
            </w:pPr>
            <w:r>
              <w:rPr>
                <w:b/>
                <w:bCs/>
                <w:color w:val="1F4E79"/>
              </w:rPr>
              <w:t xml:space="preserve">Consequence if different</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A1</w:t>
            </w:r>
          </w:p>
        </w:tc>
        <w:tc>
          <w:tcPr>
            <w:tcW w:type="dxa" w:w="550"/>
            <w:tcMar>
              <w:top w:type="dxa" w:w="50"/>
              <w:left w:type="dxa" w:w="90"/>
              <w:bottom w:type="dxa" w:w="50"/>
              <w:right w:type="dxa" w:w="90"/>
            </w:tcMar>
            <w:vAlign w:val="top"/>
          </w:tcPr>
          <w:p>
            <w:pPr>
              <w:spacing w:after="20"/>
            </w:pPr>
            <w:r>
              <w:t xml:space="preserve">P1</w:t>
            </w:r>
          </w:p>
        </w:tc>
        <w:tc>
          <w:tcPr>
            <w:tcW w:type="dxa" w:w="4218"/>
            <w:tcMar>
              <w:top w:type="dxa" w:w="50"/>
              <w:left w:type="dxa" w:w="90"/>
              <w:bottom w:type="dxa" w:w="50"/>
              <w:right w:type="dxa" w:w="90"/>
            </w:tcMar>
            <w:vAlign w:val="top"/>
          </w:tcPr>
          <w:p>
            <w:pPr>
              <w:spacing w:after="20"/>
            </w:pPr>
            <w:r>
              <w:t xml:space="preserve">Confirm the pricing-entry convention for Tender Schedule 3 and the roll-up. The Stage 1A lump-sum formula (=SUM(F6:F131)) excludes Section 6.0 entirely, and both stage tabs sum section Total rows together with individual line rows, creating a double-count path. Confirm whether prices are entered at line level or section-Total level. [Schedule 3 workbook, both tabs]</w:t>
            </w:r>
          </w:p>
        </w:tc>
        <w:tc>
          <w:tcPr>
            <w:tcW w:type="dxa" w:w="2750"/>
            <w:tcMar>
              <w:top w:type="dxa" w:w="50"/>
              <w:left w:type="dxa" w:w="90"/>
              <w:bottom w:type="dxa" w:w="50"/>
              <w:right w:type="dxa" w:w="90"/>
            </w:tcMar>
            <w:vAlign w:val="top"/>
          </w:tcPr>
          <w:p>
            <w:pPr>
              <w:spacing w:after="20"/>
            </w:pPr>
            <w:r>
              <w:t xml:space="preserve">Prices entered at section-Total level; our stated stage totals govern; Section 6.0 is not our scope.</w:t>
            </w:r>
          </w:p>
        </w:tc>
        <w:tc>
          <w:tcPr>
            <w:tcW w:type="dxa" w:w="2200"/>
            <w:tcMar>
              <w:top w:type="dxa" w:w="50"/>
              <w:left w:type="dxa" w:w="90"/>
              <w:bottom w:type="dxa" w:w="50"/>
              <w:right w:type="dxa" w:w="90"/>
            </w:tcMar>
            <w:vAlign w:val="top"/>
          </w:tcPr>
          <w:p>
            <w:pPr>
              <w:spacing w:after="20"/>
            </w:pPr>
            <w:r>
              <w:t xml:space="preserve">Re-entry of prices; risk of arithmetic dispute at tender assessment.</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A2</w:t>
            </w:r>
          </w:p>
        </w:tc>
        <w:tc>
          <w:tcPr>
            <w:tcW w:type="dxa" w:w="550"/>
            <w:tcMar>
              <w:top w:type="dxa" w:w="50"/>
              <w:left w:type="dxa" w:w="90"/>
              <w:bottom w:type="dxa" w:w="50"/>
              <w:right w:type="dxa" w:w="90"/>
            </w:tcMar>
            <w:vAlign w:val="top"/>
          </w:tcPr>
          <w:p>
            <w:pPr>
              <w:spacing w:after="20"/>
            </w:pPr>
            <w:r>
              <w:t xml:space="preserve">P1</w:t>
            </w:r>
          </w:p>
        </w:tc>
        <w:tc>
          <w:tcPr>
            <w:tcW w:type="dxa" w:w="4218"/>
            <w:tcMar>
              <w:top w:type="dxa" w:w="50"/>
              <w:left w:type="dxa" w:w="90"/>
              <w:bottom w:type="dxa" w:w="50"/>
              <w:right w:type="dxa" w:w="90"/>
            </w:tcMar>
            <w:vAlign w:val="top"/>
          </w:tcPr>
          <w:p>
            <w:pPr>
              <w:spacing w:after="20"/>
            </w:pPr>
            <w:r>
              <w:t xml:space="preserve">Rock and unsuitable material: three different regimes appear — which governs? (a) ITT Pt 2 §18: remeasurable rates payable only with prior written Superintendent direction, rock defined against a 20–30 t excavator with ripper; (b) H002 note 24: rock deemed included where "reasonably anticipated" or where bore results are available, with extra-over m³ rates required for soft AND hard rock, for trenches AND pits; (c) VOL 38 §7.7/§7.11: rock and water-charged bedding deemed included.</w:t>
            </w:r>
          </w:p>
        </w:tc>
        <w:tc>
          <w:tcPr>
            <w:tcW w:type="dxa" w:w="2750"/>
            <w:tcMar>
              <w:top w:type="dxa" w:w="50"/>
              <w:left w:type="dxa" w:w="90"/>
              <w:bottom w:type="dxa" w:w="50"/>
              <w:right w:type="dxa" w:w="90"/>
            </w:tcMar>
            <w:vAlign w:val="top"/>
          </w:tcPr>
          <w:p>
            <w:pPr>
              <w:spacing w:after="20"/>
            </w:pPr>
            <w:r>
              <w:t xml:space="preserve">Rock reasonably inferable from geotechnical report NQL2024-0320 is included in our lump sums; rock beyond that is subject to the extra-over rate schedule tendered herein. 25 of 36 test locations recorded refusal (shallowest 0.70 m; extremely weathered rock 0.2–2.2 m at six pits).</w:t>
            </w:r>
          </w:p>
        </w:tc>
        <w:tc>
          <w:tcPr>
            <w:tcW w:type="dxa" w:w="2200"/>
            <w:tcMar>
              <w:top w:type="dxa" w:w="50"/>
              <w:left w:type="dxa" w:w="90"/>
              <w:bottom w:type="dxa" w:w="50"/>
              <w:right w:type="dxa" w:w="90"/>
            </w:tcMar>
            <w:vAlign w:val="top"/>
          </w:tcPr>
          <w:p>
            <w:pPr>
              <w:spacing w:after="20"/>
            </w:pPr>
            <w:r>
              <w:t xml:space="preserve">If (c) governs unqualified, the rate schedule is defeated and all rock risk transfers to us — a material repricing event.</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A3</w:t>
            </w:r>
          </w:p>
        </w:tc>
        <w:tc>
          <w:tcPr>
            <w:tcW w:type="dxa" w:w="550"/>
            <w:tcMar>
              <w:top w:type="dxa" w:w="50"/>
              <w:left w:type="dxa" w:w="90"/>
              <w:bottom w:type="dxa" w:w="50"/>
              <w:right w:type="dxa" w:w="90"/>
            </w:tcMar>
            <w:vAlign w:val="top"/>
          </w:tcPr>
          <w:p>
            <w:pPr>
              <w:spacing w:after="20"/>
            </w:pPr>
            <w:r>
              <w:t xml:space="preserve">P1</w:t>
            </w:r>
          </w:p>
        </w:tc>
        <w:tc>
          <w:tcPr>
            <w:tcW w:type="dxa" w:w="4218"/>
            <w:tcMar>
              <w:top w:type="dxa" w:w="50"/>
              <w:left w:type="dxa" w:w="90"/>
              <w:bottom w:type="dxa" w:w="50"/>
              <w:right w:type="dxa" w:w="90"/>
            </w:tcMar>
            <w:vAlign w:val="top"/>
          </w:tcPr>
          <w:p>
            <w:pPr>
              <w:spacing w:after="20"/>
            </w:pPr>
            <w:r>
              <w:t xml:space="preserve">Geotechnical report §5.3.3 requires temporary batters no steeper than 1.5H:1V for excavations less than 2 m deep, flattening to 3H:1V or benching where perched groundwater or soft material is encountered, and a geotechnical engineer’s inspection before personnel entry to any trench exceeding 1.5 m bench height. Confirm the Principal Contractor accepts trench shielding as the compliance method for trenches requiring personnel entry, and confirm who bears the geotechnical inspection cost. [NQL2024-0320 §5.3.3]</w:t>
            </w:r>
          </w:p>
        </w:tc>
        <w:tc>
          <w:tcPr>
            <w:tcW w:type="dxa" w:w="2750"/>
            <w:tcMar>
              <w:top w:type="dxa" w:w="50"/>
              <w:left w:type="dxa" w:w="90"/>
              <w:bottom w:type="dxa" w:w="50"/>
              <w:right w:type="dxa" w:w="90"/>
            </w:tcMar>
            <w:vAlign w:val="top"/>
          </w:tcPr>
          <w:p>
            <w:pPr>
              <w:spacing w:after="20"/>
            </w:pPr>
            <w:r>
              <w:t xml:space="preserve">Trench shields allowed for runs requiring personnel entry; battering priced where shields are impracticable; one geotechnical inspection attendance allowed.</w:t>
            </w:r>
          </w:p>
        </w:tc>
        <w:tc>
          <w:tcPr>
            <w:tcW w:type="dxa" w:w="2200"/>
            <w:tcMar>
              <w:top w:type="dxa" w:w="50"/>
              <w:left w:type="dxa" w:w="90"/>
              <w:bottom w:type="dxa" w:w="50"/>
              <w:right w:type="dxa" w:w="90"/>
            </w:tcMar>
            <w:vAlign w:val="top"/>
          </w:tcPr>
          <w:p>
            <w:pPr>
              <w:spacing w:after="20"/>
            </w:pPr>
            <w:r>
              <w:t xml:space="preserve">Widened trenches materially increase excavation, spoil handling, bedding and backfill quantities across the whole network.</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A4</w:t>
            </w:r>
          </w:p>
        </w:tc>
        <w:tc>
          <w:tcPr>
            <w:tcW w:type="dxa" w:w="550"/>
            <w:tcMar>
              <w:top w:type="dxa" w:w="50"/>
              <w:left w:type="dxa" w:w="90"/>
              <w:bottom w:type="dxa" w:w="50"/>
              <w:right w:type="dxa" w:w="90"/>
            </w:tcMar>
            <w:vAlign w:val="top"/>
          </w:tcPr>
          <w:p>
            <w:pPr>
              <w:spacing w:after="20"/>
            </w:pPr>
            <w:r>
              <w:t xml:space="preserve">P1</w:t>
            </w:r>
          </w:p>
        </w:tc>
        <w:tc>
          <w:tcPr>
            <w:tcW w:type="dxa" w:w="4218"/>
            <w:tcMar>
              <w:top w:type="dxa" w:w="50"/>
              <w:left w:type="dxa" w:w="90"/>
              <w:bottom w:type="dxa" w:w="50"/>
              <w:right w:type="dxa" w:w="90"/>
            </w:tcMar>
            <w:vAlign w:val="top"/>
          </w:tcPr>
          <w:p>
            <w:pPr>
              <w:spacing w:after="20"/>
            </w:pPr>
            <w:r>
              <w:t xml:space="preserve">Addendum 2 records "no spoil to leave site" and ITT §17.9 requires spoil to remain on site pending EMR de-listing, while Design Report §4.3 states site-won high-plasticity clay is unsuitable for reuse without treatment and recommends imported fill. Confirm: (i) the nominated on-site stockpile location(s) and haul distance; (ii) that imported bedding/backfill is accepted where site-won material fails; (iii) who bears unsuitable-material classification and treatment costs. [Addendum 2 · ITT §17.9 · RPT006_B §4.3.7–4.3.9]</w:t>
            </w:r>
          </w:p>
        </w:tc>
        <w:tc>
          <w:tcPr>
            <w:tcW w:type="dxa" w:w="2750"/>
            <w:tcMar>
              <w:top w:type="dxa" w:w="50"/>
              <w:left w:type="dxa" w:w="90"/>
              <w:bottom w:type="dxa" w:w="50"/>
              <w:right w:type="dxa" w:w="90"/>
            </w:tcMar>
            <w:vAlign w:val="top"/>
          </w:tcPr>
          <w:p>
            <w:pPr>
              <w:spacing w:after="20"/>
            </w:pPr>
            <w:r>
              <w:t xml:space="preserve">Trench spoil stockpiled on site within 500 m; bedding and select backfill imported; no off-site disposal priced; no treatment of site-won clay priced.</w:t>
            </w:r>
          </w:p>
        </w:tc>
        <w:tc>
          <w:tcPr>
            <w:tcW w:type="dxa" w:w="2200"/>
            <w:tcMar>
              <w:top w:type="dxa" w:w="50"/>
              <w:left w:type="dxa" w:w="90"/>
              <w:bottom w:type="dxa" w:w="50"/>
              <w:right w:type="dxa" w:w="90"/>
            </w:tcMar>
            <w:vAlign w:val="top"/>
          </w:tcPr>
          <w:p>
            <w:pPr>
              <w:spacing w:after="20"/>
            </w:pPr>
            <w:r>
              <w:t xml:space="preserve">Double-handling, longer hauls or treatment obligations are unpriced and would be claimed.</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A5</w:t>
            </w:r>
          </w:p>
        </w:tc>
        <w:tc>
          <w:tcPr>
            <w:tcW w:type="dxa" w:w="550"/>
            <w:tcMar>
              <w:top w:type="dxa" w:w="50"/>
              <w:left w:type="dxa" w:w="90"/>
              <w:bottom w:type="dxa" w:w="50"/>
              <w:right w:type="dxa" w:w="90"/>
            </w:tcMar>
            <w:vAlign w:val="top"/>
          </w:tcPr>
          <w:p>
            <w:pPr>
              <w:spacing w:after="20"/>
            </w:pPr>
            <w:r>
              <w:t xml:space="preserve">P2</w:t>
            </w:r>
          </w:p>
        </w:tc>
        <w:tc>
          <w:tcPr>
            <w:tcW w:type="dxa" w:w="4218"/>
            <w:tcMar>
              <w:top w:type="dxa" w:w="50"/>
              <w:left w:type="dxa" w:w="90"/>
              <w:bottom w:type="dxa" w:w="50"/>
              <w:right w:type="dxa" w:w="90"/>
            </w:tcMar>
            <w:vAlign w:val="top"/>
          </w:tcPr>
          <w:p>
            <w:pPr>
              <w:spacing w:after="20"/>
            </w:pPr>
            <w:r>
              <w:t xml:space="preserve">ITT §20.h allows only 5 days combined for inclement weather and latent conditions across the programme. For a Central Queensland site with 2027 commencement, and with the VFMP 6 pm–6 am machinery curfew near retained trees, confirm the mechanism for weather beyond 5 days. [ITT §20.h · VFMP]</w:t>
            </w:r>
          </w:p>
        </w:tc>
        <w:tc>
          <w:tcPr>
            <w:tcW w:type="dxa" w:w="2750"/>
            <w:tcMar>
              <w:top w:type="dxa" w:w="50"/>
              <w:left w:type="dxa" w:w="90"/>
              <w:bottom w:type="dxa" w:w="50"/>
              <w:right w:type="dxa" w:w="90"/>
            </w:tcMar>
            <w:vAlign w:val="top"/>
          </w:tcPr>
          <w:p>
            <w:pPr>
              <w:spacing w:after="20"/>
            </w:pPr>
            <w:r>
              <w:t xml:space="preserve">Five days allowed as directed; extension-of-time relief available for weather beyond that; no acceleration priced.</w:t>
            </w:r>
          </w:p>
        </w:tc>
        <w:tc>
          <w:tcPr>
            <w:tcW w:type="dxa" w:w="2200"/>
            <w:tcMar>
              <w:top w:type="dxa" w:w="50"/>
              <w:left w:type="dxa" w:w="90"/>
              <w:bottom w:type="dxa" w:w="50"/>
              <w:right w:type="dxa" w:w="90"/>
            </w:tcMar>
            <w:vAlign w:val="top"/>
          </w:tcPr>
          <w:p>
            <w:pPr>
              <w:spacing w:after="20"/>
            </w:pPr>
            <w:r>
              <w:t xml:space="preserve">Acceleration or liquidated-damages exposure not in our price.</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A6</w:t>
            </w:r>
          </w:p>
        </w:tc>
        <w:tc>
          <w:tcPr>
            <w:tcW w:type="dxa" w:w="550"/>
            <w:tcMar>
              <w:top w:type="dxa" w:w="50"/>
              <w:left w:type="dxa" w:w="90"/>
              <w:bottom w:type="dxa" w:w="50"/>
              <w:right w:type="dxa" w:w="90"/>
            </w:tcMar>
            <w:vAlign w:val="top"/>
          </w:tcPr>
          <w:p>
            <w:pPr>
              <w:spacing w:after="20"/>
            </w:pPr>
            <w:r>
              <w:t xml:space="preserve">P3</w:t>
            </w:r>
          </w:p>
        </w:tc>
        <w:tc>
          <w:tcPr>
            <w:tcW w:type="dxa" w:w="4218"/>
            <w:tcMar>
              <w:top w:type="dxa" w:w="50"/>
              <w:left w:type="dxa" w:w="90"/>
              <w:bottom w:type="dxa" w:w="50"/>
              <w:right w:type="dxa" w:w="90"/>
            </w:tcMar>
            <w:vAlign w:val="top"/>
          </w:tcPr>
          <w:p>
            <w:pPr>
              <w:spacing w:after="20"/>
            </w:pPr>
            <w:r>
              <w:t xml:space="preserve">ADAC-compliant XML as-constructed data and RPEQ certification are required (ITT §19; Schedule item 1.6 both stages), and VOL 38 §3.56 requires CCTV of all in-ground drainage by an independent Superintendent-approved firm in the Superintendent’s presence. Confirm the split of ADAC/CCTV obligations between trades where both our packages install in-ground assets, and confirm whether the Principal Contractor engages the CCTV firm.</w:t>
            </w:r>
          </w:p>
        </w:tc>
        <w:tc>
          <w:tcPr>
            <w:tcW w:type="dxa" w:w="2750"/>
            <w:tcMar>
              <w:top w:type="dxa" w:w="50"/>
              <w:left w:type="dxa" w:w="90"/>
              <w:bottom w:type="dxa" w:w="50"/>
              <w:right w:type="dxa" w:w="90"/>
            </w:tcMar>
            <w:vAlign w:val="top"/>
          </w:tcPr>
          <w:p>
            <w:pPr>
              <w:spacing w:after="20"/>
            </w:pPr>
            <w:r>
              <w:t xml:space="preserve">Each package carries ADAC data capture and CCTV for its own in-ground assets; the CCTV firm is engaged by us and attends once per system.</w:t>
            </w:r>
          </w:p>
        </w:tc>
        <w:tc>
          <w:tcPr>
            <w:tcW w:type="dxa" w:w="2200"/>
            <w:tcMar>
              <w:top w:type="dxa" w:w="50"/>
              <w:left w:type="dxa" w:w="90"/>
              <w:bottom w:type="dxa" w:w="50"/>
              <w:right w:type="dxa" w:w="90"/>
            </w:tcMar>
            <w:vAlign w:val="top"/>
          </w:tcPr>
          <w:p>
            <w:pPr>
              <w:spacing w:after="20"/>
            </w:pPr>
            <w:r>
              <w:t xml:space="preserve">Duplicated or transferred obligation changes both prices.</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A7</w:t>
            </w:r>
          </w:p>
        </w:tc>
        <w:tc>
          <w:tcPr>
            <w:tcW w:type="dxa" w:w="550"/>
            <w:tcMar>
              <w:top w:type="dxa" w:w="50"/>
              <w:left w:type="dxa" w:w="90"/>
              <w:bottom w:type="dxa" w:w="50"/>
              <w:right w:type="dxa" w:w="90"/>
            </w:tcMar>
            <w:vAlign w:val="top"/>
          </w:tcPr>
          <w:p>
            <w:pPr>
              <w:spacing w:after="20"/>
            </w:pPr>
            <w:r>
              <w:t xml:space="preserve">P3</w:t>
            </w:r>
          </w:p>
        </w:tc>
        <w:tc>
          <w:tcPr>
            <w:tcW w:type="dxa" w:w="4218"/>
            <w:tcMar>
              <w:top w:type="dxa" w:w="50"/>
              <w:left w:type="dxa" w:w="90"/>
              <w:bottom w:type="dxa" w:w="50"/>
              <w:right w:type="dxa" w:w="90"/>
            </w:tcMar>
            <w:vAlign w:val="top"/>
          </w:tcPr>
          <w:p>
            <w:pPr>
              <w:spacing w:after="20"/>
            </w:pPr>
            <w:r>
              <w:t xml:space="preserve">The Document Register lists 43 volumes; 32 were not issued to us, and RRC Addenda Nos. 1 to 6 were not received in any form (we hold RRC Addenda 7–10 and builder-circulated clarifications). Confirm whether Addenda 1–6 contain any change affecting hydraulic or civil stormwater scope, and provide VOL 35 (Civil &amp; Field of Play Technical Specifications) and VOL 32.</w:t>
            </w:r>
          </w:p>
        </w:tc>
        <w:tc>
          <w:tcPr>
            <w:tcW w:type="dxa" w:w="2750"/>
            <w:tcMar>
              <w:top w:type="dxa" w:w="50"/>
              <w:left w:type="dxa" w:w="90"/>
              <w:bottom w:type="dxa" w:w="50"/>
              <w:right w:type="dxa" w:w="90"/>
            </w:tcMar>
            <w:vAlign w:val="top"/>
          </w:tcPr>
          <w:p>
            <w:pPr>
              <w:spacing w:after="20"/>
            </w:pPr>
            <w:r>
              <w:t xml:space="preserve">Priced on documents received; no scope change assumed from unsighted addenda.</w:t>
            </w:r>
          </w:p>
        </w:tc>
        <w:tc>
          <w:tcPr>
            <w:tcW w:type="dxa" w:w="2200"/>
            <w:tcMar>
              <w:top w:type="dxa" w:w="50"/>
              <w:left w:type="dxa" w:w="90"/>
              <w:bottom w:type="dxa" w:w="50"/>
              <w:right w:type="dxa" w:w="90"/>
            </w:tcMar>
            <w:vAlign w:val="top"/>
          </w:tcPr>
          <w:p>
            <w:pPr>
              <w:spacing w:after="20"/>
            </w:pPr>
            <w:r>
              <w:t xml:space="preserve">Any requirement in the unsighted documents beyond the drawings is unpriced.</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A8</w:t>
            </w:r>
          </w:p>
        </w:tc>
        <w:tc>
          <w:tcPr>
            <w:tcW w:type="dxa" w:w="550"/>
            <w:tcMar>
              <w:top w:type="dxa" w:w="50"/>
              <w:left w:type="dxa" w:w="90"/>
              <w:bottom w:type="dxa" w:w="50"/>
              <w:right w:type="dxa" w:w="90"/>
            </w:tcMar>
            <w:vAlign w:val="top"/>
          </w:tcPr>
          <w:p>
            <w:pPr>
              <w:spacing w:after="20"/>
            </w:pPr>
            <w:r>
              <w:t xml:space="preserve">P3</w:t>
            </w:r>
          </w:p>
        </w:tc>
        <w:tc>
          <w:tcPr>
            <w:tcW w:type="dxa" w:w="4218"/>
            <w:tcMar>
              <w:top w:type="dxa" w:w="50"/>
              <w:left w:type="dxa" w:w="90"/>
              <w:bottom w:type="dxa" w:w="50"/>
              <w:right w:type="dxa" w:w="90"/>
            </w:tcMar>
            <w:vAlign w:val="top"/>
          </w:tcPr>
          <w:p>
            <w:pPr>
              <w:spacing w:after="20"/>
            </w:pPr>
            <w:r>
              <w:t xml:space="preserve">The ITT §27 Appendix Folder (RRC ShareFile) is stated to be mandatory reading and contains the Development Approval conditions and referenced documents. It was not accessible to us. Please provide, and confirm whether any DA condition imposes obligations on subcontract works.</w:t>
            </w:r>
          </w:p>
        </w:tc>
        <w:tc>
          <w:tcPr>
            <w:tcW w:type="dxa" w:w="2750"/>
            <w:tcMar>
              <w:top w:type="dxa" w:w="50"/>
              <w:left w:type="dxa" w:w="90"/>
              <w:bottom w:type="dxa" w:w="50"/>
              <w:right w:type="dxa" w:w="90"/>
            </w:tcMar>
            <w:vAlign w:val="top"/>
          </w:tcPr>
          <w:p>
            <w:pPr>
              <w:spacing w:after="20"/>
            </w:pPr>
            <w:r>
              <w:t xml:space="preserve">No DA-condition obligations priced beyond those visible in the Design Report.</w:t>
            </w:r>
          </w:p>
        </w:tc>
        <w:tc>
          <w:tcPr>
            <w:tcW w:type="dxa" w:w="2200"/>
            <w:tcMar>
              <w:top w:type="dxa" w:w="50"/>
              <w:left w:type="dxa" w:w="90"/>
              <w:bottom w:type="dxa" w:w="50"/>
              <w:right w:type="dxa" w:w="90"/>
            </w:tcMar>
            <w:vAlign w:val="top"/>
          </w:tcPr>
          <w:p>
            <w:pPr>
              <w:spacing w:after="20"/>
            </w:pPr>
            <w:r>
              <w:t xml:space="preserve">Unknown compliance obligations.</w:t>
            </w:r>
          </w:p>
        </w:tc>
      </w:tr>
    </w:tbl>
    <w:p>
      <w:pPr>
        <w:pStyle w:val="Heading2"/>
        <w:keepNext/>
      </w:pPr>
      <w:r>
        <w:t xml:space="preserve">Section C — Queries: hydraulic services</w:t>
      </w:r>
    </w:p>
    <w:tbl>
      <w:tblPr>
        <w:tblW w:type="dxa" w:w="10368"/>
        <w:tblBorders>
          <w:top w:val="single" w:color="BFBFBF" w:sz="4"/>
          <w:left w:val="single" w:color="BFBFBF" w:sz="4"/>
          <w:bottom w:val="single" w:color="BFBFBF" w:sz="4"/>
          <w:right w:val="single" w:color="BFBFBF" w:sz="4"/>
          <w:insideH w:val="single" w:color="BFBFBF" w:sz="4"/>
          <w:insideV w:val="single" w:color="BFBFBF" w:sz="4"/>
        </w:tblBorders>
      </w:tblPr>
      <w:tblGrid>
        <w:gridCol w:w="650"/>
        <w:gridCol w:w="550"/>
        <w:gridCol w:w="4218"/>
        <w:gridCol w:w="2750"/>
        <w:gridCol w:w="2200"/>
      </w:tblGrid>
      <w:tr>
        <w:trPr>
          <w:cantSplit/>
          <w:tblHeader/>
        </w:trPr>
        <w:tc>
          <w:tcPr>
            <w:tcW w:type="dxa" w:w="650"/>
            <w:shd w:fill="DEEAF6" w:color="auto" w:val="clear"/>
            <w:tcMar>
              <w:top w:type="dxa" w:w="50"/>
              <w:left w:type="dxa" w:w="90"/>
              <w:bottom w:type="dxa" w:w="50"/>
              <w:right w:type="dxa" w:w="90"/>
            </w:tcMar>
            <w:vAlign w:val="top"/>
          </w:tcPr>
          <w:p>
            <w:pPr>
              <w:spacing w:after="20"/>
            </w:pPr>
            <w:r>
              <w:rPr>
                <w:b/>
                <w:bCs/>
                <w:color w:val="1F4E79"/>
              </w:rPr>
              <w:t xml:space="preserve">Ref</w:t>
            </w:r>
          </w:p>
        </w:tc>
        <w:tc>
          <w:tcPr>
            <w:tcW w:type="dxa" w:w="550"/>
            <w:shd w:fill="DEEAF6" w:color="auto" w:val="clear"/>
            <w:tcMar>
              <w:top w:type="dxa" w:w="50"/>
              <w:left w:type="dxa" w:w="90"/>
              <w:bottom w:type="dxa" w:w="50"/>
              <w:right w:type="dxa" w:w="90"/>
            </w:tcMar>
            <w:vAlign w:val="top"/>
          </w:tcPr>
          <w:p>
            <w:pPr>
              <w:spacing w:after="20"/>
            </w:pPr>
            <w:r>
              <w:rPr>
                <w:b/>
                <w:bCs/>
                <w:color w:val="1F4E79"/>
              </w:rPr>
              <w:t xml:space="preserve">P</w:t>
            </w:r>
          </w:p>
        </w:tc>
        <w:tc>
          <w:tcPr>
            <w:tcW w:type="dxa" w:w="4218"/>
            <w:shd w:fill="DEEAF6" w:color="auto" w:val="clear"/>
            <w:tcMar>
              <w:top w:type="dxa" w:w="50"/>
              <w:left w:type="dxa" w:w="90"/>
              <w:bottom w:type="dxa" w:w="50"/>
              <w:right w:type="dxa" w:w="90"/>
            </w:tcMar>
            <w:vAlign w:val="top"/>
          </w:tcPr>
          <w:p>
            <w:pPr>
              <w:spacing w:after="20"/>
            </w:pPr>
            <w:r>
              <w:rPr>
                <w:b/>
                <w:bCs/>
                <w:color w:val="1F4E79"/>
              </w:rPr>
              <w:t xml:space="preserve">Query and documents in conflict</w:t>
            </w:r>
          </w:p>
        </w:tc>
        <w:tc>
          <w:tcPr>
            <w:tcW w:type="dxa" w:w="2750"/>
            <w:shd w:fill="DEEAF6" w:color="auto" w:val="clear"/>
            <w:tcMar>
              <w:top w:type="dxa" w:w="50"/>
              <w:left w:type="dxa" w:w="90"/>
              <w:bottom w:type="dxa" w:w="50"/>
              <w:right w:type="dxa" w:w="90"/>
            </w:tcMar>
            <w:vAlign w:val="top"/>
          </w:tcPr>
          <w:p>
            <w:pPr>
              <w:spacing w:after="20"/>
            </w:pPr>
            <w:r>
              <w:rPr>
                <w:b/>
                <w:bCs/>
                <w:color w:val="1F4E79"/>
              </w:rPr>
              <w:t xml:space="preserve">Assumption adopted for pricing</w:t>
            </w:r>
          </w:p>
        </w:tc>
        <w:tc>
          <w:tcPr>
            <w:tcW w:type="dxa" w:w="2200"/>
            <w:shd w:fill="DEEAF6" w:color="auto" w:val="clear"/>
            <w:tcMar>
              <w:top w:type="dxa" w:w="50"/>
              <w:left w:type="dxa" w:w="90"/>
              <w:bottom w:type="dxa" w:w="50"/>
              <w:right w:type="dxa" w:w="90"/>
            </w:tcMar>
            <w:vAlign w:val="top"/>
          </w:tcPr>
          <w:p>
            <w:pPr>
              <w:spacing w:after="20"/>
            </w:pPr>
            <w:r>
              <w:rPr>
                <w:b/>
                <w:bCs/>
                <w:color w:val="1F4E79"/>
              </w:rPr>
              <w:t xml:space="preserve">Consequence if different</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C1</w:t>
            </w:r>
          </w:p>
        </w:tc>
        <w:tc>
          <w:tcPr>
            <w:tcW w:type="dxa" w:w="550"/>
            <w:tcMar>
              <w:top w:type="dxa" w:w="50"/>
              <w:left w:type="dxa" w:w="90"/>
              <w:bottom w:type="dxa" w:w="50"/>
              <w:right w:type="dxa" w:w="90"/>
            </w:tcMar>
            <w:vAlign w:val="top"/>
          </w:tcPr>
          <w:p>
            <w:pPr>
              <w:spacing w:after="20"/>
            </w:pPr>
            <w:r>
              <w:t xml:space="preserve">P1</w:t>
            </w:r>
          </w:p>
        </w:tc>
        <w:tc>
          <w:tcPr>
            <w:tcW w:type="dxa" w:w="4218"/>
            <w:tcMar>
              <w:top w:type="dxa" w:w="50"/>
              <w:left w:type="dxa" w:w="90"/>
              <w:bottom w:type="dxa" w:w="50"/>
              <w:right w:type="dxa" w:w="90"/>
            </w:tcMar>
            <w:vAlign w:val="top"/>
          </w:tcPr>
          <w:p>
            <w:pPr>
              <w:spacing w:after="20"/>
            </w:pPr>
            <w:r>
              <w:t xml:space="preserve">Sewage pump station. Addendum 2 records "Sewage Pump Station will be getting installed by Council", yet H003/VOL 17 document a QMax Fortis 3200 pumpwell and VOL 38 §24 specifies a different station (2 × Sulzer ABS XFP 100E chopper pumps, 10 L/s). Confirm the station is Council-installed and define the interface precisely: (i) who installs the gravity sewer to the pumpwell; (ii) who installs the Ø100 rising main and where it discharges — H003 states "location to be confirmed and coordinated" and shows no tie-in to the Ø225 authority main; (iii) valve and junction pits; (iv) electrical supply, control cabling, switchboard and controls (VOL 38 §24.1.2 places pump-to-panel wiring in the hydraulic subcontract); (v) commissioning and authority witnessing; (vi) builder’s work and slab interfaces.</w:t>
            </w:r>
          </w:p>
        </w:tc>
        <w:tc>
          <w:tcPr>
            <w:tcW w:type="dxa" w:w="2750"/>
            <w:tcMar>
              <w:top w:type="dxa" w:w="50"/>
              <w:left w:type="dxa" w:w="90"/>
              <w:bottom w:type="dxa" w:w="50"/>
              <w:right w:type="dxa" w:w="90"/>
            </w:tcMar>
            <w:vAlign w:val="top"/>
          </w:tcPr>
          <w:p>
            <w:pPr>
              <w:spacing w:after="20"/>
            </w:pPr>
            <w:r>
              <w:t xml:space="preserve">Station supply and installation excluded. We carry the gravity sewer to the station’s nominated inlet. The rising main is excluded but costed — an add-price is held and can be provided on instruction. Electrical supply, controls, switchboard and commissioning of the station excluded.</w:t>
            </w:r>
          </w:p>
        </w:tc>
        <w:tc>
          <w:tcPr>
            <w:tcW w:type="dxa" w:w="2200"/>
            <w:tcMar>
              <w:top w:type="dxa" w:w="50"/>
              <w:left w:type="dxa" w:w="90"/>
              <w:bottom w:type="dxa" w:w="50"/>
              <w:right w:type="dxa" w:w="90"/>
            </w:tcMar>
            <w:vAlign w:val="top"/>
          </w:tcPr>
          <w:p>
            <w:pPr>
              <w:spacing w:after="20"/>
            </w:pPr>
            <w:r>
              <w:t xml:space="preserve">Without a defined interface the connecting works may be assumed included — the single largest scope-gap risk in this package.</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C2</w:t>
            </w:r>
          </w:p>
        </w:tc>
        <w:tc>
          <w:tcPr>
            <w:tcW w:type="dxa" w:w="550"/>
            <w:tcMar>
              <w:top w:type="dxa" w:w="50"/>
              <w:left w:type="dxa" w:w="90"/>
              <w:bottom w:type="dxa" w:w="50"/>
              <w:right w:type="dxa" w:w="90"/>
            </w:tcMar>
            <w:vAlign w:val="top"/>
          </w:tcPr>
          <w:p>
            <w:pPr>
              <w:spacing w:after="20"/>
            </w:pPr>
            <w:r>
              <w:t xml:space="preserve">P1</w:t>
            </w:r>
          </w:p>
        </w:tc>
        <w:tc>
          <w:tcPr>
            <w:tcW w:type="dxa" w:w="4218"/>
            <w:tcMar>
              <w:top w:type="dxa" w:w="50"/>
              <w:left w:type="dxa" w:w="90"/>
              <w:bottom w:type="dxa" w:w="50"/>
              <w:right w:type="dxa" w:w="90"/>
            </w:tcMar>
            <w:vAlign w:val="top"/>
          </w:tcPr>
          <w:p>
            <w:pPr>
              <w:spacing w:after="20"/>
            </w:pPr>
            <w:r>
              <w:t xml:space="preserve">Drawing H003 twice states "FOR CONTINUATION REFER TO DRAWING H004", but H004 is not listed in the H001 drawing schedule and was not issued. Provide H004 or confirm no further reticulation exists beyond the H003 sheet limit.</w:t>
            </w:r>
          </w:p>
        </w:tc>
        <w:tc>
          <w:tcPr>
            <w:tcW w:type="dxa" w:w="2750"/>
            <w:tcMar>
              <w:top w:type="dxa" w:w="50"/>
              <w:left w:type="dxa" w:w="90"/>
              <w:bottom w:type="dxa" w:w="50"/>
              <w:right w:type="dxa" w:w="90"/>
            </w:tcMar>
            <w:vAlign w:val="top"/>
          </w:tcPr>
          <w:p>
            <w:pPr>
              <w:spacing w:after="20"/>
            </w:pPr>
            <w:r>
              <w:t xml:space="preserve">No scope beyond the H003 sheet limit.</w:t>
            </w:r>
          </w:p>
        </w:tc>
        <w:tc>
          <w:tcPr>
            <w:tcW w:type="dxa" w:w="2200"/>
            <w:tcMar>
              <w:top w:type="dxa" w:w="50"/>
              <w:left w:type="dxa" w:w="90"/>
              <w:bottom w:type="dxa" w:w="50"/>
              <w:right w:type="dxa" w:w="90"/>
            </w:tcMar>
            <w:vAlign w:val="top"/>
          </w:tcPr>
          <w:p>
            <w:pPr>
              <w:spacing w:after="20"/>
            </w:pPr>
            <w:r>
              <w:t xml:space="preserve">Additional site reticulation unpriced.</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C3</w:t>
            </w:r>
          </w:p>
        </w:tc>
        <w:tc>
          <w:tcPr>
            <w:tcW w:type="dxa" w:w="550"/>
            <w:tcMar>
              <w:top w:type="dxa" w:w="50"/>
              <w:left w:type="dxa" w:w="90"/>
              <w:bottom w:type="dxa" w:w="50"/>
              <w:right w:type="dxa" w:w="90"/>
            </w:tcMar>
            <w:vAlign w:val="top"/>
          </w:tcPr>
          <w:p>
            <w:pPr>
              <w:spacing w:after="20"/>
            </w:pPr>
            <w:r>
              <w:t xml:space="preserve">P1</w:t>
            </w:r>
          </w:p>
        </w:tc>
        <w:tc>
          <w:tcPr>
            <w:tcW w:type="dxa" w:w="4218"/>
            <w:tcMar>
              <w:top w:type="dxa" w:w="50"/>
              <w:left w:type="dxa" w:w="90"/>
              <w:bottom w:type="dxa" w:w="50"/>
              <w:right w:type="dxa" w:w="90"/>
            </w:tcMar>
            <w:vAlign w:val="top"/>
          </w:tcPr>
          <w:p>
            <w:pPr>
              <w:spacing w:after="20"/>
            </w:pPr>
            <w:r>
              <w:t xml:space="preserve">Fire service extent. H003 shows no legible hydrant or booster symbols and prints no pipe lengths; our measured extent is a single 100 mm dual pillar hydrant and one booster assembly serving 16 netball courts, the clubhouse and the amenities building. Confirm the hydrant coverage design has been assessed against AS 2419.1 and provide the hydrant block plan (VOL 38 §25 requires preliminary approval of the block plan before manufacture).</w:t>
            </w:r>
          </w:p>
        </w:tc>
        <w:tc>
          <w:tcPr>
            <w:tcW w:type="dxa" w:w="2750"/>
            <w:tcMar>
              <w:top w:type="dxa" w:w="50"/>
              <w:left w:type="dxa" w:w="90"/>
              <w:bottom w:type="dxa" w:w="50"/>
              <w:right w:type="dxa" w:w="90"/>
            </w:tcMar>
            <w:vAlign w:val="top"/>
          </w:tcPr>
          <w:p>
            <w:pPr>
              <w:spacing w:after="20"/>
            </w:pPr>
            <w:r>
              <w:t xml:space="preserve">Priced as drawn: one dual pillar hydrant, one booster assembly, 217.73 m of DN125 fire main.</w:t>
            </w:r>
          </w:p>
        </w:tc>
        <w:tc>
          <w:tcPr>
            <w:tcW w:type="dxa" w:w="2200"/>
            <w:tcMar>
              <w:top w:type="dxa" w:w="50"/>
              <w:left w:type="dxa" w:w="90"/>
              <w:bottom w:type="dxa" w:w="50"/>
              <w:right w:type="dxa" w:w="90"/>
            </w:tcMar>
            <w:vAlign w:val="top"/>
          </w:tcPr>
          <w:p>
            <w:pPr>
              <w:spacing w:after="20"/>
            </w:pPr>
            <w:r>
              <w:t xml:space="preserve">Additional hydrants, mains extension and flow-test remediation would be significant.</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C4</w:t>
            </w:r>
          </w:p>
        </w:tc>
        <w:tc>
          <w:tcPr>
            <w:tcW w:type="dxa" w:w="550"/>
            <w:tcMar>
              <w:top w:type="dxa" w:w="50"/>
              <w:left w:type="dxa" w:w="90"/>
              <w:bottom w:type="dxa" w:w="50"/>
              <w:right w:type="dxa" w:w="90"/>
            </w:tcMar>
            <w:vAlign w:val="top"/>
          </w:tcPr>
          <w:p>
            <w:pPr>
              <w:spacing w:after="20"/>
            </w:pPr>
            <w:r>
              <w:t xml:space="preserve">P1</w:t>
            </w:r>
          </w:p>
        </w:tc>
        <w:tc>
          <w:tcPr>
            <w:tcW w:type="dxa" w:w="4218"/>
            <w:tcMar>
              <w:top w:type="dxa" w:w="50"/>
              <w:left w:type="dxa" w:w="90"/>
              <w:bottom w:type="dxa" w:w="50"/>
              <w:right w:type="dxa" w:w="90"/>
            </w:tcMar>
            <w:vAlign w:val="top"/>
          </w:tcPr>
          <w:p>
            <w:pPr>
              <w:spacing w:after="20"/>
            </w:pPr>
            <w:r>
              <w:t xml:space="preserve">Confirm the Ø200 water main material. VOL 38 §10.1 specifies Kembla Copper Type B in-ground but the same clause’s alternatives table expressly permits "Cromford – Blue Stripe PE Grade: PN16" with an equivalence of Copper 200 ≡ Cromford PN16 250. We have tendered PE100 SDR11 (Ø200 internal diameter) in accordance with that table, given RRC/Fitzroy River Water reticulation practice, CMDG, and geotechnical Table 14 soil aggressivity (TP7 resistivity 952 ohm-cm; chloride 1,600 mg/kg; exposure Mild–Moderate for steel). Please confirm acceptance.</w:t>
            </w:r>
          </w:p>
        </w:tc>
        <w:tc>
          <w:tcPr>
            <w:tcW w:type="dxa" w:w="2750"/>
            <w:tcMar>
              <w:top w:type="dxa" w:w="50"/>
              <w:left w:type="dxa" w:w="90"/>
              <w:bottom w:type="dxa" w:w="50"/>
              <w:right w:type="dxa" w:w="90"/>
            </w:tcMar>
            <w:vAlign w:val="top"/>
          </w:tcPr>
          <w:p>
            <w:pPr>
              <w:spacing w:after="20"/>
            </w:pPr>
            <w:r>
              <w:t xml:space="preserve">PE100 SDR11 potable main tendered; no copper alternate offered in-ground.</w:t>
            </w:r>
          </w:p>
        </w:tc>
        <w:tc>
          <w:tcPr>
            <w:tcW w:type="dxa" w:w="2200"/>
            <w:tcMar>
              <w:top w:type="dxa" w:w="50"/>
              <w:left w:type="dxa" w:w="90"/>
              <w:bottom w:type="dxa" w:w="50"/>
              <w:right w:type="dxa" w:w="90"/>
            </w:tcMar>
            <w:vAlign w:val="top"/>
          </w:tcPr>
          <w:p>
            <w:pPr>
              <w:spacing w:after="20"/>
            </w:pPr>
            <w:r>
              <w:t xml:space="preserve">Reversion to buried Type B copper is a material cost increase and a durability position we do not support.</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C5</w:t>
            </w:r>
          </w:p>
        </w:tc>
        <w:tc>
          <w:tcPr>
            <w:tcW w:type="dxa" w:w="550"/>
            <w:tcMar>
              <w:top w:type="dxa" w:w="50"/>
              <w:left w:type="dxa" w:w="90"/>
              <w:bottom w:type="dxa" w:w="50"/>
              <w:right w:type="dxa" w:w="90"/>
            </w:tcMar>
            <w:vAlign w:val="top"/>
          </w:tcPr>
          <w:p>
            <w:pPr>
              <w:spacing w:after="20"/>
            </w:pPr>
            <w:r>
              <w:t xml:space="preserve">P1</w:t>
            </w:r>
          </w:p>
        </w:tc>
        <w:tc>
          <w:tcPr>
            <w:tcW w:type="dxa" w:w="4218"/>
            <w:tcMar>
              <w:top w:type="dxa" w:w="50"/>
              <w:left w:type="dxa" w:w="90"/>
              <w:bottom w:type="dxa" w:w="50"/>
              <w:right w:type="dxa" w:w="90"/>
            </w:tcMar>
            <w:vAlign w:val="top"/>
          </w:tcPr>
          <w:p>
            <w:pPr>
              <w:spacing w:after="20"/>
            </w:pPr>
            <w:r>
              <w:t xml:space="preserve">Confirm the above-ground water pipe material. H-NBC-002 note WS2 requires ≤DN22 PEX and &gt;DN22 316 stainless press-fit (VOL 38 nominates Viega Sanpress Inox), while the same specification’s alternatives table also permits copper. We have tendered the conforming stainless system and separately identified a copper alternative.</w:t>
            </w:r>
          </w:p>
        </w:tc>
        <w:tc>
          <w:tcPr>
            <w:tcW w:type="dxa" w:w="2750"/>
            <w:tcMar>
              <w:top w:type="dxa" w:w="50"/>
              <w:left w:type="dxa" w:w="90"/>
              <w:bottom w:type="dxa" w:w="50"/>
              <w:right w:type="dxa" w:w="90"/>
            </w:tcMar>
            <w:vAlign w:val="top"/>
          </w:tcPr>
          <w:p>
            <w:pPr>
              <w:spacing w:after="20"/>
            </w:pPr>
            <w:r>
              <w:t xml:space="preserve">Conforming 316 stainless press-fit tendered as the base sums; copper identified as a labelled alternate.</w:t>
            </w:r>
          </w:p>
        </w:tc>
        <w:tc>
          <w:tcPr>
            <w:tcW w:type="dxa" w:w="2200"/>
            <w:tcMar>
              <w:top w:type="dxa" w:w="50"/>
              <w:left w:type="dxa" w:w="90"/>
              <w:bottom w:type="dxa" w:w="50"/>
              <w:right w:type="dxa" w:w="90"/>
            </w:tcMar>
            <w:vAlign w:val="top"/>
          </w:tcPr>
          <w:p>
            <w:pPr>
              <w:spacing w:after="20"/>
            </w:pPr>
            <w:r>
              <w:t xml:space="preserve">—</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C6</w:t>
            </w:r>
          </w:p>
        </w:tc>
        <w:tc>
          <w:tcPr>
            <w:tcW w:type="dxa" w:w="550"/>
            <w:tcMar>
              <w:top w:type="dxa" w:w="50"/>
              <w:left w:type="dxa" w:w="90"/>
              <w:bottom w:type="dxa" w:w="50"/>
              <w:right w:type="dxa" w:w="90"/>
            </w:tcMar>
            <w:vAlign w:val="top"/>
          </w:tcPr>
          <w:p>
            <w:pPr>
              <w:spacing w:after="20"/>
            </w:pPr>
            <w:r>
              <w:t xml:space="preserve">P1</w:t>
            </w:r>
          </w:p>
        </w:tc>
        <w:tc>
          <w:tcPr>
            <w:tcW w:type="dxa" w:w="4218"/>
            <w:tcMar>
              <w:top w:type="dxa" w:w="50"/>
              <w:left w:type="dxa" w:w="90"/>
              <w:bottom w:type="dxa" w:w="50"/>
              <w:right w:type="dxa" w:w="90"/>
            </w:tcMar>
            <w:vAlign w:val="top"/>
          </w:tcPr>
          <w:p>
            <w:pPr>
              <w:spacing w:after="20"/>
            </w:pPr>
            <w:r>
              <w:t xml:space="preserve">Fixture quantities and supply responsibility. The FF&amp;E schedules (VOL 25, VOL 28) list fixture types with no quantities, and state supply responsibility only for the Billi unit, cooker and fryer ("provided by RCC"). The architectural drawings (Volumes 03 and 08) were not issued. Confirm (i) fixture quantities per building, and (ii) that all plumbing fixtures other than RCC-marked items are contractor-supplied through the hydraulic package.</w:t>
            </w:r>
          </w:p>
        </w:tc>
        <w:tc>
          <w:tcPr>
            <w:tcW w:type="dxa" w:w="2750"/>
            <w:tcMar>
              <w:top w:type="dxa" w:w="50"/>
              <w:left w:type="dxa" w:w="90"/>
              <w:bottom w:type="dxa" w:w="50"/>
              <w:right w:type="dxa" w:w="90"/>
            </w:tcMar>
            <w:vAlign w:val="top"/>
          </w:tcPr>
          <w:p>
            <w:pPr>
              <w:spacing w:after="20"/>
            </w:pPr>
            <w:r>
              <w:t xml:space="preserve">All fixtures other than RCC-marked items are supplied by us under the PC Sums; quantities taken from the hydraulic layouts and available room layouts at the adopted counts stated.</w:t>
            </w:r>
          </w:p>
        </w:tc>
        <w:tc>
          <w:tcPr>
            <w:tcW w:type="dxa" w:w="2200"/>
            <w:tcMar>
              <w:top w:type="dxa" w:w="50"/>
              <w:left w:type="dxa" w:w="90"/>
              <w:bottom w:type="dxa" w:w="50"/>
              <w:right w:type="dxa" w:w="90"/>
            </w:tcMar>
            <w:vAlign w:val="top"/>
          </w:tcPr>
          <w:p>
            <w:pPr>
              <w:spacing w:after="20"/>
            </w:pPr>
            <w:r>
              <w:t xml:space="preserve">Free-issue fixtures would reduce our price; additional fixtures increase it.</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C7</w:t>
            </w:r>
          </w:p>
        </w:tc>
        <w:tc>
          <w:tcPr>
            <w:tcW w:type="dxa" w:w="550"/>
            <w:tcMar>
              <w:top w:type="dxa" w:w="50"/>
              <w:left w:type="dxa" w:w="90"/>
              <w:bottom w:type="dxa" w:w="50"/>
              <w:right w:type="dxa" w:w="90"/>
            </w:tcMar>
            <w:vAlign w:val="top"/>
          </w:tcPr>
          <w:p>
            <w:pPr>
              <w:spacing w:after="20"/>
            </w:pPr>
            <w:r>
              <w:t xml:space="preserve">P2</w:t>
            </w:r>
          </w:p>
        </w:tc>
        <w:tc>
          <w:tcPr>
            <w:tcW w:type="dxa" w:w="4218"/>
            <w:tcMar>
              <w:top w:type="dxa" w:w="50"/>
              <w:left w:type="dxa" w:w="90"/>
              <w:bottom w:type="dxa" w:w="50"/>
              <w:right w:type="dxa" w:w="90"/>
            </w:tcMar>
            <w:vAlign w:val="top"/>
          </w:tcPr>
          <w:p>
            <w:pPr>
              <w:spacing w:after="20"/>
            </w:pPr>
            <w:r>
              <w:t xml:space="preserve">Confirm the grease arrestor size. Three documents give three answers: H-NBC-102 shows a 1500 L Viking Paneltim in-ground unit; Design Report §12.4 nominates 2000 L "pending updated kitchen layouts"; VOL 38 §22.25–22.27 nominates the Halgan range 550–5000 L with no size selected and location blank.</w:t>
            </w:r>
          </w:p>
        </w:tc>
        <w:tc>
          <w:tcPr>
            <w:tcW w:type="dxa" w:w="2750"/>
            <w:tcMar>
              <w:top w:type="dxa" w:w="50"/>
              <w:left w:type="dxa" w:w="90"/>
              <w:bottom w:type="dxa" w:w="50"/>
              <w:right w:type="dxa" w:w="90"/>
            </w:tcMar>
            <w:vAlign w:val="top"/>
          </w:tcPr>
          <w:p>
            <w:pPr>
              <w:spacing w:after="20"/>
            </w:pPr>
            <w:r>
              <w:t xml:space="preserve">Priced on the 1500 L unit as drawn, with a stated allowance; the trade waste application is excluded (query C8).</w:t>
            </w:r>
          </w:p>
        </w:tc>
        <w:tc>
          <w:tcPr>
            <w:tcW w:type="dxa" w:w="2200"/>
            <w:tcMar>
              <w:top w:type="dxa" w:w="50"/>
              <w:left w:type="dxa" w:w="90"/>
              <w:bottom w:type="dxa" w:w="50"/>
              <w:right w:type="dxa" w:w="90"/>
            </w:tcMar>
            <w:vAlign w:val="top"/>
          </w:tcPr>
          <w:p>
            <w:pPr>
              <w:spacing w:after="20"/>
            </w:pPr>
            <w:r>
              <w:t xml:space="preserve">A larger unit changes excavation, unit cost and connection.</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C8</w:t>
            </w:r>
          </w:p>
        </w:tc>
        <w:tc>
          <w:tcPr>
            <w:tcW w:type="dxa" w:w="550"/>
            <w:tcMar>
              <w:top w:type="dxa" w:w="50"/>
              <w:left w:type="dxa" w:w="90"/>
              <w:bottom w:type="dxa" w:w="50"/>
              <w:right w:type="dxa" w:w="90"/>
            </w:tcMar>
            <w:vAlign w:val="top"/>
          </w:tcPr>
          <w:p>
            <w:pPr>
              <w:spacing w:after="20"/>
            </w:pPr>
            <w:r>
              <w:t xml:space="preserve">P2</w:t>
            </w:r>
          </w:p>
        </w:tc>
        <w:tc>
          <w:tcPr>
            <w:tcW w:type="dxa" w:w="4218"/>
            <w:tcMar>
              <w:top w:type="dxa" w:w="50"/>
              <w:left w:type="dxa" w:w="90"/>
              <w:bottom w:type="dxa" w:w="50"/>
              <w:right w:type="dxa" w:w="90"/>
            </w:tcMar>
            <w:vAlign w:val="top"/>
          </w:tcPr>
          <w:p>
            <w:pPr>
              <w:spacing w:after="20"/>
            </w:pPr>
            <w:r>
              <w:t xml:space="preserve">Confirm who lodges and pays for authority applications. ITT Pt 2 §16 states the Plumbing Subcontractor prepares, coordinates and lodges plumbing approval applications and pays the fees (reimbursed via Provisional Sums), while the same clause places the Fitzroy River Water Private Works Application and the water/sewer connection works with the Principal Contractor. H002 note 25 additionally makes the Trade Waste application the plumbing contractor’s.</w:t>
            </w:r>
          </w:p>
        </w:tc>
        <w:tc>
          <w:tcPr>
            <w:tcW w:type="dxa" w:w="2750"/>
            <w:tcMar>
              <w:top w:type="dxa" w:w="50"/>
              <w:left w:type="dxa" w:w="90"/>
              <w:bottom w:type="dxa" w:w="50"/>
              <w:right w:type="dxa" w:w="90"/>
            </w:tcMar>
            <w:vAlign w:val="top"/>
          </w:tcPr>
          <w:p>
            <w:pPr>
              <w:spacing w:after="20"/>
            </w:pPr>
            <w:r>
              <w:t xml:space="preserve">Plumbing approval lodgement, documentation, attendance at approval inspections and the Trade Waste application are excluded from our price. The $20,000 provisional sums for connection fees are carried as directed in both stages. FRW Private Works lodgement is understood to be the Principal Contractor’s in any event.</w:t>
            </w:r>
          </w:p>
        </w:tc>
        <w:tc>
          <w:tcPr>
            <w:tcW w:type="dxa" w:w="2200"/>
            <w:tcMar>
              <w:top w:type="dxa" w:w="50"/>
              <w:left w:type="dxa" w:w="90"/>
              <w:bottom w:type="dxa" w:w="50"/>
              <w:right w:type="dxa" w:w="90"/>
            </w:tcMar>
            <w:vAlign w:val="top"/>
          </w:tcPr>
          <w:p>
            <w:pPr>
              <w:spacing w:after="20"/>
            </w:pPr>
            <w:r>
              <w:t xml:space="preserve">If lodgement is required of us, an add-price applies (held).</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C9</w:t>
            </w:r>
          </w:p>
        </w:tc>
        <w:tc>
          <w:tcPr>
            <w:tcW w:type="dxa" w:w="550"/>
            <w:tcMar>
              <w:top w:type="dxa" w:w="50"/>
              <w:left w:type="dxa" w:w="90"/>
              <w:bottom w:type="dxa" w:w="50"/>
              <w:right w:type="dxa" w:w="90"/>
            </w:tcMar>
            <w:vAlign w:val="top"/>
          </w:tcPr>
          <w:p>
            <w:pPr>
              <w:spacing w:after="20"/>
            </w:pPr>
            <w:r>
              <w:t xml:space="preserve">P2</w:t>
            </w:r>
          </w:p>
        </w:tc>
        <w:tc>
          <w:tcPr>
            <w:tcW w:type="dxa" w:w="4218"/>
            <w:tcMar>
              <w:top w:type="dxa" w:w="50"/>
              <w:left w:type="dxa" w:w="90"/>
              <w:bottom w:type="dxa" w:w="50"/>
              <w:right w:type="dxa" w:w="90"/>
            </w:tcMar>
            <w:vAlign w:val="top"/>
          </w:tcPr>
          <w:p>
            <w:pPr>
              <w:spacing w:after="20"/>
            </w:pPr>
            <w:r>
              <w:t xml:space="preserve">The specification contains substantial content that does not correspond to this project: a non-potable (lilac) hydrant and hose reel system (§12.15/§13.11) on a potable Fitzroy River Water supply; reverse-osmosis servicing under an "Extinguishers" heading (§15); swimming pool backwash (§9.15); bio-septic (§9.24); gas services throughout although no gas is in the scope description; an obligation to locate, re-lay and concrete-encase an existing joint sewer (§9.22) on a greenfield site; and jurisdictional references to NSW and Victorian authorities. Please confirm these clauses do not apply.</w:t>
            </w:r>
          </w:p>
        </w:tc>
        <w:tc>
          <w:tcPr>
            <w:tcW w:type="dxa" w:w="2750"/>
            <w:tcMar>
              <w:top w:type="dxa" w:w="50"/>
              <w:left w:type="dxa" w:w="90"/>
              <w:bottom w:type="dxa" w:w="50"/>
              <w:right w:type="dxa" w:w="90"/>
            </w:tcMar>
            <w:vAlign w:val="top"/>
          </w:tcPr>
          <w:p>
            <w:pPr>
              <w:spacing w:after="20"/>
            </w:pPr>
            <w:r>
              <w:t xml:space="preserve">Priced to the Queensland statutory framework, RRC/Fitzroy River Water requirements, CMDG and the nominated equipment schedules; the clauses listed are treated as not applicable.</w:t>
            </w:r>
          </w:p>
        </w:tc>
        <w:tc>
          <w:tcPr>
            <w:tcW w:type="dxa" w:w="2200"/>
            <w:tcMar>
              <w:top w:type="dxa" w:w="50"/>
              <w:left w:type="dxa" w:w="90"/>
              <w:bottom w:type="dxa" w:w="50"/>
              <w:right w:type="dxa" w:w="90"/>
            </w:tcMar>
            <w:vAlign w:val="top"/>
          </w:tcPr>
          <w:p>
            <w:pPr>
              <w:spacing w:after="20"/>
            </w:pPr>
            <w:r>
              <w:t xml:space="preserve">Any clause enforced as written is unpriced.</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C10</w:t>
            </w:r>
          </w:p>
        </w:tc>
        <w:tc>
          <w:tcPr>
            <w:tcW w:type="dxa" w:w="550"/>
            <w:tcMar>
              <w:top w:type="dxa" w:w="50"/>
              <w:left w:type="dxa" w:w="90"/>
              <w:bottom w:type="dxa" w:w="50"/>
              <w:right w:type="dxa" w:w="90"/>
            </w:tcMar>
            <w:vAlign w:val="top"/>
          </w:tcPr>
          <w:p>
            <w:pPr>
              <w:spacing w:after="20"/>
            </w:pPr>
            <w:r>
              <w:t xml:space="preserve">P2</w:t>
            </w:r>
          </w:p>
        </w:tc>
        <w:tc>
          <w:tcPr>
            <w:tcW w:type="dxa" w:w="4218"/>
            <w:tcMar>
              <w:top w:type="dxa" w:w="50"/>
              <w:left w:type="dxa" w:w="90"/>
              <w:bottom w:type="dxa" w:w="50"/>
              <w:right w:type="dxa" w:w="90"/>
            </w:tcMar>
            <w:vAlign w:val="top"/>
          </w:tcPr>
          <w:p>
            <w:pPr>
              <w:spacing w:after="20"/>
            </w:pPr>
            <w:r>
              <w:t xml:space="preserve">Confirm fire equipment supply responsibility. VOL 38 §14.1 requires the plumbing contractor to supply, install and price extinguishers, while the same clause notes the builder or sprinkler contractor generally provides them. The NBC drawings show 8 extinguishers, 1 hose reel and 1 fire blanket with no trade allocation.</w:t>
            </w:r>
          </w:p>
        </w:tc>
        <w:tc>
          <w:tcPr>
            <w:tcW w:type="dxa" w:w="2750"/>
            <w:tcMar>
              <w:top w:type="dxa" w:w="50"/>
              <w:left w:type="dxa" w:w="90"/>
              <w:bottom w:type="dxa" w:w="50"/>
              <w:right w:type="dxa" w:w="90"/>
            </w:tcMar>
            <w:vAlign w:val="top"/>
          </w:tcPr>
          <w:p>
            <w:pPr>
              <w:spacing w:after="20"/>
            </w:pPr>
            <w:r>
              <w:t xml:space="preserve">Portable fire equipment (extinguishers, blankets other than the drawn kitchen fire blanket) excluded; fire hose reel and fire blanket installation included as stated.</w:t>
            </w:r>
          </w:p>
        </w:tc>
        <w:tc>
          <w:tcPr>
            <w:tcW w:type="dxa" w:w="2200"/>
            <w:tcMar>
              <w:top w:type="dxa" w:w="50"/>
              <w:left w:type="dxa" w:w="90"/>
              <w:bottom w:type="dxa" w:w="50"/>
              <w:right w:type="dxa" w:w="90"/>
            </w:tcMar>
            <w:vAlign w:val="top"/>
          </w:tcPr>
          <w:p>
            <w:pPr>
              <w:spacing w:after="20"/>
            </w:pPr>
            <w:r>
              <w:t xml:space="preserve">Add-price held.</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C11</w:t>
            </w:r>
          </w:p>
        </w:tc>
        <w:tc>
          <w:tcPr>
            <w:tcW w:type="dxa" w:w="550"/>
            <w:tcMar>
              <w:top w:type="dxa" w:w="50"/>
              <w:left w:type="dxa" w:w="90"/>
              <w:bottom w:type="dxa" w:w="50"/>
              <w:right w:type="dxa" w:w="90"/>
            </w:tcMar>
            <w:vAlign w:val="top"/>
          </w:tcPr>
          <w:p>
            <w:pPr>
              <w:spacing w:after="20"/>
            </w:pPr>
            <w:r>
              <w:t xml:space="preserve">P2</w:t>
            </w:r>
          </w:p>
        </w:tc>
        <w:tc>
          <w:tcPr>
            <w:tcW w:type="dxa" w:w="4218"/>
            <w:tcMar>
              <w:top w:type="dxa" w:w="50"/>
              <w:left w:type="dxa" w:w="90"/>
              <w:bottom w:type="dxa" w:w="50"/>
              <w:right w:type="dxa" w:w="90"/>
            </w:tcMar>
            <w:vAlign w:val="top"/>
          </w:tcPr>
          <w:p>
            <w:pPr>
              <w:spacing w:after="20"/>
            </w:pPr>
            <w:r>
              <w:t xml:space="preserve">Confirm the downpipe connection points for both buildings. H-NBC-103 shows 11 × Ø150 downpipes and H-PAM-101 shows 4 × Ø100 downpipes annotated "CONNECT TO CIVIL", but the PAM sheets carry no civil connection note and the civil set shows fewer connection markers than there are downpipes. Please nominate each connection point.</w:t>
            </w:r>
          </w:p>
        </w:tc>
        <w:tc>
          <w:tcPr>
            <w:tcW w:type="dxa" w:w="2750"/>
            <w:tcMar>
              <w:top w:type="dxa" w:w="50"/>
              <w:left w:type="dxa" w:w="90"/>
              <w:bottom w:type="dxa" w:w="50"/>
              <w:right w:type="dxa" w:w="90"/>
            </w:tcMar>
            <w:vAlign w:val="top"/>
          </w:tcPr>
          <w:p>
            <w:pPr>
              <w:spacing w:after="20"/>
            </w:pPr>
            <w:r>
              <w:t xml:space="preserve">Roofing, roof plumbing and downpipes are excluded; we have allowed in-ground connection stubs at each downpipe as drawn, terminating at the nominated civil connection point; the civil drainage beyond that point is priced in the TriCore Civil Services submission.</w:t>
            </w:r>
          </w:p>
        </w:tc>
        <w:tc>
          <w:tcPr>
            <w:tcW w:type="dxa" w:w="2200"/>
            <w:tcMar>
              <w:top w:type="dxa" w:w="50"/>
              <w:left w:type="dxa" w:w="90"/>
              <w:bottom w:type="dxa" w:w="50"/>
              <w:right w:type="dxa" w:w="90"/>
            </w:tcMar>
            <w:vAlign w:val="top"/>
          </w:tcPr>
          <w:p>
            <w:pPr>
              <w:spacing w:after="20"/>
            </w:pPr>
            <w:r>
              <w:t xml:space="preserve">Mismatched connection counts leave a gap between packages.</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C12</w:t>
            </w:r>
          </w:p>
        </w:tc>
        <w:tc>
          <w:tcPr>
            <w:tcW w:type="dxa" w:w="550"/>
            <w:tcMar>
              <w:top w:type="dxa" w:w="50"/>
              <w:left w:type="dxa" w:w="90"/>
              <w:bottom w:type="dxa" w:w="50"/>
              <w:right w:type="dxa" w:w="90"/>
            </w:tcMar>
            <w:vAlign w:val="top"/>
          </w:tcPr>
          <w:p>
            <w:pPr>
              <w:spacing w:after="20"/>
            </w:pPr>
            <w:r>
              <w:t xml:space="preserve">P3</w:t>
            </w:r>
          </w:p>
        </w:tc>
        <w:tc>
          <w:tcPr>
            <w:tcW w:type="dxa" w:w="4218"/>
            <w:tcMar>
              <w:top w:type="dxa" w:w="50"/>
              <w:left w:type="dxa" w:w="90"/>
              <w:bottom w:type="dxa" w:w="50"/>
              <w:right w:type="dxa" w:w="90"/>
            </w:tcMar>
            <w:vAlign w:val="top"/>
          </w:tcPr>
          <w:p>
            <w:pPr>
              <w:spacing w:after="20"/>
            </w:pPr>
            <w:r>
              <w:t xml:space="preserve">Drawing H-PAM-002 general note G1 invokes "Schedule 5 NT Building Regulations" (Northern Territory) while the equivalent NBC note does not. Confirm the Queensland framework applies. Also note the sheet-numbering defects in both hydraulic sets (NBC sheets numbered "of 10" for 12 sheets; PAM "of 06" for 8 sheets, with duplicated sheet numbers) and note SD6 missing from the note sequence on both notes sheets.</w:t>
            </w:r>
          </w:p>
        </w:tc>
        <w:tc>
          <w:tcPr>
            <w:tcW w:type="dxa" w:w="2750"/>
            <w:tcMar>
              <w:top w:type="dxa" w:w="50"/>
              <w:left w:type="dxa" w:w="90"/>
              <w:bottom w:type="dxa" w:w="50"/>
              <w:right w:type="dxa" w:w="90"/>
            </w:tcMar>
            <w:vAlign w:val="top"/>
          </w:tcPr>
          <w:p>
            <w:pPr>
              <w:spacing w:after="20"/>
            </w:pPr>
            <w:r>
              <w:t xml:space="preserve">Queensland NCC/QDC and CMDG framework applies.</w:t>
            </w:r>
          </w:p>
        </w:tc>
        <w:tc>
          <w:tcPr>
            <w:tcW w:type="dxa" w:w="2200"/>
            <w:tcMar>
              <w:top w:type="dxa" w:w="50"/>
              <w:left w:type="dxa" w:w="90"/>
              <w:bottom w:type="dxa" w:w="50"/>
              <w:right w:type="dxa" w:w="90"/>
            </w:tcMar>
            <w:vAlign w:val="top"/>
          </w:tcPr>
          <w:p>
            <w:pPr>
              <w:spacing w:after="20"/>
            </w:pPr>
            <w:r>
              <w:t xml:space="preserve">—</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C13</w:t>
            </w:r>
          </w:p>
        </w:tc>
        <w:tc>
          <w:tcPr>
            <w:tcW w:type="dxa" w:w="550"/>
            <w:tcMar>
              <w:top w:type="dxa" w:w="50"/>
              <w:left w:type="dxa" w:w="90"/>
              <w:bottom w:type="dxa" w:w="50"/>
              <w:right w:type="dxa" w:w="90"/>
            </w:tcMar>
            <w:vAlign w:val="top"/>
          </w:tcPr>
          <w:p>
            <w:pPr>
              <w:spacing w:after="20"/>
            </w:pPr>
            <w:r>
              <w:t xml:space="preserve">P3</w:t>
            </w:r>
          </w:p>
        </w:tc>
        <w:tc>
          <w:tcPr>
            <w:tcW w:type="dxa" w:w="4218"/>
            <w:tcMar>
              <w:top w:type="dxa" w:w="50"/>
              <w:left w:type="dxa" w:w="90"/>
              <w:bottom w:type="dxa" w:w="50"/>
              <w:right w:type="dxa" w:w="90"/>
            </w:tcMar>
            <w:vAlign w:val="top"/>
          </w:tcPr>
          <w:p>
            <w:pPr>
              <w:spacing w:after="20"/>
            </w:pPr>
            <w:r>
              <w:t xml:space="preserve">H002 note 26 leaves the water main connection diameter blank ("........mm") while H003 shows a Ø200 tapping; and H002 note 17, headed "COMPACTION SCHEDULE", is a verbatim duplicate of note 16, so no compaction requirement is stated on the drawings (VOL 38 §3.62 tables are internally inconsistent: 95% Standard in one clause and 93–98% Modified in another). Confirm the tapping size and the governing compaction standard.</w:t>
            </w:r>
          </w:p>
        </w:tc>
        <w:tc>
          <w:tcPr>
            <w:tcW w:type="dxa" w:w="2750"/>
            <w:tcMar>
              <w:top w:type="dxa" w:w="50"/>
              <w:left w:type="dxa" w:w="90"/>
              <w:bottom w:type="dxa" w:w="50"/>
              <w:right w:type="dxa" w:w="90"/>
            </w:tcMar>
            <w:vAlign w:val="top"/>
          </w:tcPr>
          <w:p>
            <w:pPr>
              <w:spacing w:after="20"/>
            </w:pPr>
            <w:r>
              <w:t xml:space="preserve">Ø200 tapping; backfill compacted to 98% Modified MDD in trafficable areas per §3.62.</w:t>
            </w:r>
          </w:p>
        </w:tc>
        <w:tc>
          <w:tcPr>
            <w:tcW w:type="dxa" w:w="2200"/>
            <w:tcMar>
              <w:top w:type="dxa" w:w="50"/>
              <w:left w:type="dxa" w:w="90"/>
              <w:bottom w:type="dxa" w:w="50"/>
              <w:right w:type="dxa" w:w="90"/>
            </w:tcMar>
            <w:vAlign w:val="top"/>
          </w:tcPr>
          <w:p>
            <w:pPr>
              <w:spacing w:after="20"/>
            </w:pPr>
            <w:r>
              <w:t xml:space="preserve">Higher compaction standards affect backfill method and testing.</w:t>
            </w:r>
          </w:p>
        </w:tc>
      </w:tr>
      <w:tr>
        <w:trPr>
          <w:cantSplit/>
          <w:tblHeader w:val="false"/>
        </w:trPr>
        <w:tc>
          <w:tcPr>
            <w:tcW w:type="dxa" w:w="650"/>
            <w:tcMar>
              <w:top w:type="dxa" w:w="50"/>
              <w:left w:type="dxa" w:w="90"/>
              <w:bottom w:type="dxa" w:w="50"/>
              <w:right w:type="dxa" w:w="90"/>
            </w:tcMar>
            <w:vAlign w:val="top"/>
          </w:tcPr>
          <w:p>
            <w:pPr>
              <w:spacing w:after="20"/>
            </w:pPr>
            <w:r>
              <w:rPr>
                <w:b/>
                <w:bCs/>
              </w:rPr>
              <w:t xml:space="preserve">C14</w:t>
            </w:r>
          </w:p>
        </w:tc>
        <w:tc>
          <w:tcPr>
            <w:tcW w:type="dxa" w:w="550"/>
            <w:tcMar>
              <w:top w:type="dxa" w:w="50"/>
              <w:left w:type="dxa" w:w="90"/>
              <w:bottom w:type="dxa" w:w="50"/>
              <w:right w:type="dxa" w:w="90"/>
            </w:tcMar>
            <w:vAlign w:val="top"/>
          </w:tcPr>
          <w:p>
            <w:pPr>
              <w:spacing w:after="20"/>
            </w:pPr>
            <w:r>
              <w:t xml:space="preserve">P2</w:t>
            </w:r>
          </w:p>
        </w:tc>
        <w:tc>
          <w:tcPr>
            <w:tcW w:type="dxa" w:w="4218"/>
            <w:tcMar>
              <w:top w:type="dxa" w:w="50"/>
              <w:left w:type="dxa" w:w="90"/>
              <w:bottom w:type="dxa" w:w="50"/>
              <w:right w:type="dxa" w:w="90"/>
            </w:tcMar>
            <w:vAlign w:val="top"/>
          </w:tcPr>
          <w:p>
            <w:pPr>
              <w:spacing w:after="20"/>
            </w:pPr>
            <w:r>
              <w:t xml:space="preserve">Confirm whether the 10% of hydraulic contract value withheld until final as-built and O&amp;M documentation is approved (VOL 38 §4.4.1(3)) is intended to apply to a subcontract of this nature, and confirm the release mechanism and timing.</w:t>
            </w:r>
          </w:p>
        </w:tc>
        <w:tc>
          <w:tcPr>
            <w:tcW w:type="dxa" w:w="2750"/>
            <w:tcMar>
              <w:top w:type="dxa" w:w="50"/>
              <w:left w:type="dxa" w:w="90"/>
              <w:bottom w:type="dxa" w:w="50"/>
              <w:right w:type="dxa" w:w="90"/>
            </w:tcMar>
            <w:vAlign w:val="top"/>
          </w:tcPr>
          <w:p>
            <w:pPr>
              <w:spacing w:after="20"/>
            </w:pPr>
            <w:r>
              <w:t xml:space="preserve">Standard subcontract security/retention terms assumed; the 10% documentation withholding is noted and qualified.</w:t>
            </w:r>
          </w:p>
        </w:tc>
        <w:tc>
          <w:tcPr>
            <w:tcW w:type="dxa" w:w="2200"/>
            <w:tcMar>
              <w:top w:type="dxa" w:w="50"/>
              <w:left w:type="dxa" w:w="90"/>
              <w:bottom w:type="dxa" w:w="50"/>
              <w:right w:type="dxa" w:w="90"/>
            </w:tcMar>
            <w:vAlign w:val="top"/>
          </w:tcPr>
          <w:p>
            <w:pPr>
              <w:spacing w:after="20"/>
            </w:pPr>
            <w:r>
              <w:t xml:space="preserve">Cash-flow and pricing impact.</w:t>
            </w:r>
          </w:p>
        </w:tc>
      </w:tr>
    </w:tbl>
    <w:p>
      <w:pPr>
        <w:spacing w:before="100"/>
      </w:pPr>
      <w:r>
        <w:t xml:space="preserve">Our tendered sums are based on the assumptions stated above. Where the answer to any query differs from the assumption adopted, we reserve the right to adjust our price for that item. This schedule is issued to satisfy the requirement in VOL 38 §3.58 and H002 note 15 that ambiguities and conflicts be raised at tender.</w:t>
      </w:r>
    </w:p>
    <w:p>
      <w:pPr>
        <w:pStyle w:val="Heading1"/>
        <w:keepNext/>
      </w:pPr>
      <w:r>
        <w:t xml:space="preserve">Appendix C — Client and Consultant References</w:t>
      </w:r>
    </w:p>
    <w:p>
      <w:pPr>
        <w:spacing w:after="100"/>
      </w:pPr>
      <w:r>
        <w:t xml:space="preserve">The following reference letters accompany this submission as separate attachments:</w:t>
      </w:r>
    </w:p>
    <w:p>
      <w:pPr>
        <w:pStyle w:val="ListParagraph"/>
        <w:numPr>
          <w:ilvl w:val="0"/>
          <w:numId w:val="2"/>
        </w:numPr>
        <w:spacing w:after="60"/>
      </w:pPr>
      <w:r>
        <w:t xml:space="preserve">Central Queensland University — testimonial letter, Senior Project Manager (8 September 2025): CQU Rockhampton North fire main construction project, completed 2025.</w:t>
      </w:r>
    </w:p>
    <w:p>
      <w:pPr>
        <w:pStyle w:val="ListParagraph"/>
        <w:numPr>
          <w:ilvl w:val="0"/>
          <w:numId w:val="2"/>
        </w:numPr>
        <w:spacing w:after="60"/>
      </w:pPr>
      <w:r>
        <w:t xml:space="preserve">GHD Pty Ltd — reference letter, Senior Hydraulic and Fire Consultant (10 December 2025): the same project’s lead fire system designer, recommending TriCore for future civil, plumbing and fire infrastructure projects.</w:t>
      </w:r>
    </w:p>
    <w:sectPr>
      <w:headerReference w:type="default" r:id="rId7"/>
      <w:footerReference w:type="default" r:id="rId8"/>
      <w:pgSz w:w="12240" w:h="15840" w:orient="portrait"/>
      <w:pgMar w:top="1500" w:right="936" w:bottom="1100" w:left="936" w:header="34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after="20"/>
      <w:jc w:val="center"/>
    </w:pPr>
    <w:r>
      <w:rPr>
        <w:color w:val="595959"/>
        <w:sz w:val="15"/>
        <w:szCs w:val="15"/>
      </w:rPr>
      <w:t xml:space="preserve">TriCore Plumbing Services Pty Ltd | PO Box 103 Rockhampton QLD 4700 | Tel: 07 3390 5803 | tricoreplumbing.com.au</w:t>
    </w:r>
  </w:p>
  <w:p>
    <w:pPr>
      <w:jc w:val="center"/>
    </w:pPr>
    <w:r>
      <w:rPr>
        <w:color w:val="595959"/>
        <w:sz w:val="15"/>
        <w:szCs w:val="15"/>
      </w:rPr>
      <w:t xml:space="preserve">TPS-TEN16699  |  Hydraulic Services  |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368"/>
      <w:tblBorders>
        <w:top w:val="none" w:color="FFFFFF" w:sz="0"/>
        <w:left w:val="none" w:color="FFFFFF" w:sz="0"/>
        <w:bottom w:val="none" w:color="FFFFFF" w:sz="0"/>
        <w:right w:val="none" w:color="FFFFFF" w:sz="0"/>
        <w:insideH w:val="none" w:color="FFFFFF" w:sz="0"/>
        <w:insideV w:val="none" w:color="FFFFFF" w:sz="0"/>
      </w:tblBorders>
    </w:tblPr>
    <w:tblGrid>
      <w:gridCol w:w="1400"/>
      <w:gridCol w:w="8968"/>
    </w:tblGrid>
    <w:tr>
      <w:tc>
        <w:tcPr>
          <w:tcW w:type="dxa" w:w="1400"/>
          <w:tcBorders>
            <w:top w:val="none" w:color="FFFFFF" w:sz="0"/>
            <w:left w:val="none" w:color="FFFFFF" w:sz="0"/>
            <w:bottom w:val="none" w:color="FFFFFF" w:sz="0"/>
            <w:right w:val="none" w:color="FFFFFF" w:sz="0"/>
          </w:tcBorders>
        </w:tcPr>
        <w:p>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 cy="590550"/>
                        </a:xfrm>
                        <a:prstGeom prst="rect">
                          <a:avLst/>
                        </a:prstGeom>
                      </pic:spPr>
                    </pic:pic>
                  </a:graphicData>
                </a:graphic>
              </wp:inline>
            </w:drawing>
          </w:r>
        </w:p>
      </w:tc>
      <w:tc>
        <w:tcPr>
          <w:tcW w:type="dxa" w:w="8968"/>
          <w:tcBorders>
            <w:top w:val="none" w:color="FFFFFF" w:sz="0"/>
            <w:left w:val="none" w:color="FFFFFF" w:sz="0"/>
            <w:bottom w:val="none" w:color="FFFFFF" w:sz="0"/>
            <w:right w:val="none" w:color="FFFFFF" w:sz="0"/>
          </w:tcBorders>
          <w:vAlign w:val="center"/>
        </w:tcPr>
        <w:p>
          <w:pPr>
            <w:jc w:val="right"/>
          </w:pPr>
          <w:r>
            <w:rPr>
              <w:b/>
              <w:bCs/>
              <w:color w:val="1F4E79"/>
              <w:sz w:val="20"/>
              <w:szCs w:val="20"/>
            </w:rPr>
            <w:t xml:space="preserve">Rockhampton Sports Precinct — Stage 1A &amp; Stage 1B</w:t>
          </w:r>
        </w:p>
        <w:p>
          <w:pPr>
            <w:jc w:val="right"/>
          </w:pPr>
          <w:r>
            <w:rPr>
              <w:color w:val="1F4E79"/>
              <w:sz w:val="18"/>
              <w:szCs w:val="18"/>
            </w:rPr>
            <w:t xml:space="preserve">Hydraulic Services Tender Submission — TEN16699</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00" w:line="252"/>
    </w:pPr>
    <w:rPr>
      <w:rFonts w:ascii="Arial" w:cs="Arial" w:eastAsia="Arial" w:hAnsi="Arial"/>
      <w:color w:val="1E1E1E"/>
      <w:sz w:val="18"/>
      <w:szCs w:val="18"/>
    </w:rPr>
  </w:style>
  <w:style w:type="paragraph" w:styleId="Heading1">
    <w:name w:val="Heading 1"/>
    <w:basedOn w:val="Normal"/>
    <w:next w:val="Normal"/>
    <w:qFormat/>
    <w:pPr>
      <w:keepNext/>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keepNext/>
      <w:spacing w:after="80" w:before="20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e2bfa3382a9dfefd52f9ea0b7dacc3016167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TEN16699 Hydraulic Services Tender Submission — TriCore Plumbing Services</dc:title>
  <dc:creator>TriCore Plumbing Services Pty Ltd</dc:creator>
  <dc:description>Rockhampton Sports Precinct Stage 1A &amp; 1B — Hydraulic Services Tender Submission</dc:description>
  <cp:lastModifiedBy>Un-named</cp:lastModifiedBy>
  <cp:revision>1</cp:revision>
  <dcterms:created xsi:type="dcterms:W3CDTF">2026-07-26T19:35:36.671Z</dcterms:created>
  <dcterms:modified xsi:type="dcterms:W3CDTF">2026-07-26T19:35:36.673Z</dcterms:modified>
</cp:coreProperties>
</file>

<file path=docProps/custom.xml><?xml version="1.0" encoding="utf-8"?>
<Properties xmlns="http://schemas.openxmlformats.org/officeDocument/2006/custom-properties" xmlns:vt="http://schemas.openxmlformats.org/officeDocument/2006/docPropsVTypes"/>
</file>