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28"/>
          <w:szCs w:val="28"/>
        </w:rPr>
        <w:t xml:space="preserve">TENDER SUBMISSION</w:t>
      </w:r>
    </w:p>
    <w:p>
      <w:pPr>
        <w:spacing w:after="30"/>
      </w:pPr>
      <w:r>
        <w:rPr>
          <w:rFonts w:ascii="Arial" w:cs="Arial" w:eastAsia="Arial" w:hAnsi="Arial"/>
          <w:b/>
          <w:bCs/>
          <w:color w:val="1E1E1E"/>
          <w:sz w:val="24"/>
          <w:szCs w:val="24"/>
        </w:rPr>
        <w:t xml:space="preserve">Rockhampton Sports Precinct – Stage 1A and Stage 1B  (Tender TEN16699)</w:t>
      </w:r>
    </w:p>
    <w:p>
      <w:pPr>
        <w:pBdr>
          <w:bottom w:val="single" w:color="ED602D" w:sz="8" w:space="6"/>
        </w:pBdr>
        <w:spacing w:after="160"/>
      </w:pPr>
      <w:r>
        <w:rPr>
          <w:rFonts w:ascii="Arial" w:cs="Arial" w:eastAsia="Arial" w:hAnsi="Arial"/>
          <w:b/>
          <w:bCs/>
          <w:color w:val="ED602D"/>
          <w:sz w:val="21"/>
          <w:szCs w:val="21"/>
        </w:rPr>
        <w:t xml:space="preserve">Civil Stormwater Drainage Services</w:t>
      </w:r>
    </w:p>
    <w:tbl>
      <w:tblPr>
        <w:tblW w:type="dxa" w:w="10034"/>
        <w:tblBorders>
          <w:top w:val="single" w:color="9AB3CC" w:sz="4"/>
          <w:left w:val="single" w:color="9AB3CC" w:sz="4"/>
          <w:bottom w:val="single" w:color="9AB3CC" w:sz="4"/>
          <w:right w:val="single" w:color="9AB3CC" w:sz="4"/>
          <w:insideH w:val="single" w:color="9AB3CC" w:sz="2"/>
          <w:insideV w:val="single" w:color="9AB3CC" w:sz="2"/>
        </w:tblBorders>
      </w:tblPr>
      <w:tblGrid>
        <w:gridCol w:w="1500"/>
        <w:gridCol w:w="3500"/>
        <w:gridCol w:w="1400"/>
        <w:gridCol w:w="3634"/>
      </w:tblGrid>
      <w:tr>
        <w:tc>
          <w:tcPr>
            <w:tcW w:type="dxa" w:w="1500"/>
            <w:tcMar>
              <w:top w:type="dxa" w:w="40"/>
              <w:left w:type="dxa" w:w="90"/>
              <w:bottom w:type="dxa" w:w="40"/>
              <w:right w:type="dxa" w:w="90"/>
            </w:tcMar>
            <w:vAlign w:val="center"/>
          </w:tcPr>
          <w:p>
            <w:pPr>
              <w:spacing w:after="40" w:before="40" w:line="240"/>
            </w:pPr>
            <w:r>
              <w:rPr>
                <w:b/>
                <w:bCs/>
                <w:sz w:val="20"/>
                <w:szCs w:val="20"/>
              </w:rPr>
              <w:t xml:space="preserve">Date</w:t>
            </w:r>
          </w:p>
        </w:tc>
        <w:tc>
          <w:tcPr>
            <w:tcW w:type="dxa" w:w="3500"/>
            <w:tcMar>
              <w:top w:type="dxa" w:w="40"/>
              <w:left w:type="dxa" w:w="90"/>
              <w:bottom w:type="dxa" w:w="40"/>
              <w:right w:type="dxa" w:w="90"/>
            </w:tcMar>
            <w:vAlign w:val="center"/>
          </w:tcPr>
          <w:p>
            <w:pPr>
              <w:spacing w:after="40" w:before="40" w:line="240"/>
            </w:pPr>
            <w:r>
              <w:rPr>
                <w:b w:val="false"/>
                <w:bCs w:val="false"/>
                <w:sz w:val="20"/>
                <w:szCs w:val="20"/>
              </w:rPr>
              <w:t xml:space="preserve">Friday 24 July 2026</w:t>
            </w:r>
          </w:p>
        </w:tc>
        <w:tc>
          <w:tcPr>
            <w:tcW w:type="dxa" w:w="1400"/>
            <w:tcMar>
              <w:top w:type="dxa" w:w="40"/>
              <w:left w:type="dxa" w:w="90"/>
              <w:bottom w:type="dxa" w:w="40"/>
              <w:right w:type="dxa" w:w="90"/>
            </w:tcMar>
            <w:vAlign w:val="center"/>
          </w:tcPr>
          <w:p>
            <w:pPr>
              <w:spacing w:after="40" w:before="40" w:line="240"/>
            </w:pPr>
            <w:r>
              <w:rPr>
                <w:b/>
                <w:bCs/>
                <w:sz w:val="20"/>
                <w:szCs w:val="20"/>
              </w:rPr>
              <w:t xml:space="preserve">Quote #</w:t>
            </w:r>
          </w:p>
        </w:tc>
        <w:tc>
          <w:tcPr>
            <w:tcW w:type="dxa" w:w="3634"/>
            <w:tcMar>
              <w:top w:type="dxa" w:w="40"/>
              <w:left w:type="dxa" w:w="90"/>
              <w:bottom w:type="dxa" w:w="40"/>
              <w:right w:type="dxa" w:w="90"/>
            </w:tcMar>
            <w:vAlign w:val="center"/>
          </w:tcPr>
          <w:p>
            <w:pPr>
              <w:spacing w:after="40" w:before="40" w:line="240"/>
            </w:pPr>
            <w:r>
              <w:rPr>
                <w:b w:val="false"/>
                <w:bCs w:val="false"/>
                <w:sz w:val="20"/>
                <w:szCs w:val="20"/>
              </w:rPr>
              <w:t xml:space="preserve">2372-V2</w:t>
            </w:r>
          </w:p>
        </w:tc>
      </w:tr>
      <w:tr>
        <w:tc>
          <w:tcPr>
            <w:tcW w:type="dxa" w:w="1500"/>
            <w:tcMar>
              <w:top w:type="dxa" w:w="40"/>
              <w:left w:type="dxa" w:w="90"/>
              <w:bottom w:type="dxa" w:w="40"/>
              <w:right w:type="dxa" w:w="90"/>
            </w:tcMar>
            <w:vAlign w:val="center"/>
          </w:tcPr>
          <w:p>
            <w:pPr>
              <w:spacing w:after="40" w:before="40" w:line="240"/>
            </w:pPr>
            <w:r>
              <w:rPr>
                <w:b/>
                <w:bCs/>
                <w:sz w:val="20"/>
                <w:szCs w:val="20"/>
              </w:rPr>
              <w:t xml:space="preserve">Prepared For</w:t>
            </w:r>
          </w:p>
        </w:tc>
        <w:tc>
          <w:tcPr>
            <w:tcW w:type="dxa" w:w="3500"/>
            <w:tcMar>
              <w:top w:type="dxa" w:w="40"/>
              <w:left w:type="dxa" w:w="90"/>
              <w:bottom w:type="dxa" w:w="40"/>
              <w:right w:type="dxa" w:w="90"/>
            </w:tcMar>
            <w:vAlign w:val="center"/>
          </w:tcPr>
          <w:p>
            <w:pPr>
              <w:spacing w:after="40" w:before="40" w:line="240"/>
            </w:pPr>
            <w:r>
              <w:rPr>
                <w:b w:val="false"/>
                <w:bCs w:val="false"/>
                <w:sz w:val="20"/>
                <w:szCs w:val="20"/>
              </w:rPr>
              <w:t xml:space="preserve">Tenderer</w:t>
            </w:r>
          </w:p>
        </w:tc>
        <w:tc>
          <w:tcPr>
            <w:tcW w:type="dxa" w:w="1400"/>
            <w:tcMar>
              <w:top w:type="dxa" w:w="40"/>
              <w:left w:type="dxa" w:w="90"/>
              <w:bottom w:type="dxa" w:w="40"/>
              <w:right w:type="dxa" w:w="90"/>
            </w:tcMar>
            <w:vAlign w:val="center"/>
          </w:tcPr>
          <w:p>
            <w:pPr>
              <w:spacing w:after="40" w:before="40" w:line="240"/>
            </w:pPr>
            <w:r>
              <w:rPr>
                <w:b/>
                <w:bCs/>
                <w:sz w:val="20"/>
                <w:szCs w:val="20"/>
              </w:rPr>
              <w:t xml:space="preserve">Attention</w:t>
            </w:r>
          </w:p>
        </w:tc>
        <w:tc>
          <w:tcPr>
            <w:tcW w:type="dxa" w:w="3634"/>
            <w:tcMar>
              <w:top w:type="dxa" w:w="40"/>
              <w:left w:type="dxa" w:w="90"/>
              <w:bottom w:type="dxa" w:w="40"/>
              <w:right w:type="dxa" w:w="90"/>
            </w:tcMar>
            <w:vAlign w:val="center"/>
          </w:tcPr>
          <w:p>
            <w:pPr>
              <w:spacing w:after="40" w:before="40" w:line="240"/>
            </w:pPr>
            <w:r>
              <w:rPr>
                <w:b w:val="false"/>
                <w:bCs w:val="false"/>
                <w:sz w:val="20"/>
                <w:szCs w:val="20"/>
              </w:rPr>
              <w:t xml:space="preserve">Estimating</w:t>
            </w:r>
          </w:p>
        </w:tc>
      </w:tr>
      <w:tr>
        <w:tc>
          <w:tcPr>
            <w:tcW w:type="dxa" w:w="1500"/>
            <w:tcMar>
              <w:top w:type="dxa" w:w="40"/>
              <w:left w:type="dxa" w:w="90"/>
              <w:bottom w:type="dxa" w:w="40"/>
              <w:right w:type="dxa" w:w="90"/>
            </w:tcMar>
            <w:vAlign w:val="center"/>
          </w:tcPr>
          <w:p>
            <w:pPr>
              <w:spacing w:after="40" w:before="40" w:line="240"/>
            </w:pPr>
            <w:r>
              <w:rPr>
                <w:b/>
                <w:bCs/>
                <w:sz w:val="20"/>
                <w:szCs w:val="20"/>
              </w:rPr>
              <w:t xml:space="preserve">Project</w:t>
            </w:r>
          </w:p>
        </w:tc>
        <w:tc>
          <w:tcPr>
            <w:tcW w:type="dxa" w:w="3500"/>
            <w:tcMar>
              <w:top w:type="dxa" w:w="40"/>
              <w:left w:type="dxa" w:w="90"/>
              <w:bottom w:type="dxa" w:w="40"/>
              <w:right w:type="dxa" w:w="90"/>
            </w:tcMar>
            <w:vAlign w:val="center"/>
          </w:tcPr>
          <w:p>
            <w:pPr>
              <w:spacing w:after="40" w:before="40" w:line="240"/>
            </w:pPr>
            <w:r>
              <w:rPr>
                <w:b w:val="false"/>
                <w:bCs w:val="false"/>
                <w:sz w:val="20"/>
                <w:szCs w:val="20"/>
              </w:rPr>
              <w:t xml:space="preserve">TEN16699 – Rockhampton Sports Precinct Stage 1A (“A Home for Netball”) and Stage 1B (“Recreational Park and Public Amenities”)</w:t>
            </w:r>
          </w:p>
        </w:tc>
        <w:tc>
          <w:tcPr>
            <w:tcW w:type="dxa" w:w="1400"/>
            <w:tcMar>
              <w:top w:type="dxa" w:w="40"/>
              <w:left w:type="dxa" w:w="90"/>
              <w:bottom w:type="dxa" w:w="40"/>
              <w:right w:type="dxa" w:w="90"/>
            </w:tcMar>
            <w:vAlign w:val="center"/>
          </w:tcPr>
          <w:p>
            <w:pPr>
              <w:spacing w:after="40" w:before="40" w:line="240"/>
            </w:pPr>
            <w:r>
              <w:rPr>
                <w:b/>
                <w:bCs/>
                <w:sz w:val="20"/>
                <w:szCs w:val="20"/>
              </w:rPr>
              <w:t xml:space="preserve">Site Address</w:t>
            </w:r>
          </w:p>
        </w:tc>
        <w:tc>
          <w:tcPr>
            <w:tcW w:type="dxa" w:w="3634"/>
            <w:tcMar>
              <w:top w:type="dxa" w:w="40"/>
              <w:left w:type="dxa" w:w="90"/>
              <w:bottom w:type="dxa" w:w="40"/>
              <w:right w:type="dxa" w:w="90"/>
            </w:tcMar>
            <w:vAlign w:val="center"/>
          </w:tcPr>
          <w:p>
            <w:pPr>
              <w:spacing w:after="40" w:before="40" w:line="240"/>
            </w:pPr>
            <w:r>
              <w:rPr>
                <w:b w:val="false"/>
                <w:bCs w:val="false"/>
                <w:sz w:val="20"/>
                <w:szCs w:val="20"/>
              </w:rPr>
              <w:t xml:space="preserve">554–700 Yaamba Road, Norman Gardens QLD 4701</w:t>
            </w:r>
          </w:p>
        </w:tc>
      </w:tr>
      <w:tr>
        <w:tc>
          <w:tcPr>
            <w:tcW w:type="dxa" w:w="1500"/>
            <w:tcMar>
              <w:top w:type="dxa" w:w="40"/>
              <w:left w:type="dxa" w:w="90"/>
              <w:bottom w:type="dxa" w:w="40"/>
              <w:right w:type="dxa" w:w="90"/>
            </w:tcMar>
            <w:vAlign w:val="center"/>
          </w:tcPr>
          <w:p>
            <w:pPr>
              <w:spacing w:after="40" w:before="40" w:line="240"/>
            </w:pPr>
            <w:r>
              <w:rPr>
                <w:b/>
                <w:bCs/>
                <w:sz w:val="20"/>
                <w:szCs w:val="20"/>
              </w:rPr>
              <w:t xml:space="preserve">Tender Basis</w:t>
            </w:r>
          </w:p>
        </w:tc>
        <w:tc>
          <w:tcPr>
            <w:tcW w:type="dxa" w:w="3500"/>
            <w:tcMar>
              <w:top w:type="dxa" w:w="40"/>
              <w:left w:type="dxa" w:w="90"/>
              <w:bottom w:type="dxa" w:w="40"/>
              <w:right w:type="dxa" w:w="90"/>
            </w:tcMar>
            <w:vAlign w:val="center"/>
          </w:tcPr>
          <w:p>
            <w:pPr>
              <w:spacing w:after="40" w:before="40" w:line="240"/>
            </w:pPr>
            <w:r>
              <w:rPr>
                <w:b w:val="false"/>
                <w:bCs w:val="false"/>
                <w:sz w:val="20"/>
                <w:szCs w:val="20"/>
              </w:rPr>
              <w:t xml:space="preserve">Lump sum, construct-only civil stormwater pricing – subject to the clarifications herein</w:t>
            </w:r>
          </w:p>
        </w:tc>
        <w:tc>
          <w:tcPr>
            <w:tcW w:type="dxa" w:w="1400"/>
            <w:tcMar>
              <w:top w:type="dxa" w:w="40"/>
              <w:left w:type="dxa" w:w="90"/>
              <w:bottom w:type="dxa" w:w="40"/>
              <w:right w:type="dxa" w:w="90"/>
            </w:tcMar>
            <w:vAlign w:val="center"/>
          </w:tcPr>
          <w:p>
            <w:pPr>
              <w:spacing w:after="40" w:before="40" w:line="240"/>
            </w:pPr>
            <w:r>
              <w:rPr>
                <w:b/>
                <w:bCs/>
                <w:sz w:val="20"/>
                <w:szCs w:val="20"/>
              </w:rPr>
              <w:t xml:space="preserve">Validity</w:t>
            </w:r>
          </w:p>
        </w:tc>
        <w:tc>
          <w:tcPr>
            <w:tcW w:type="dxa" w:w="3634"/>
            <w:tcMar>
              <w:top w:type="dxa" w:w="40"/>
              <w:left w:type="dxa" w:w="90"/>
              <w:bottom w:type="dxa" w:w="40"/>
              <w:right w:type="dxa" w:w="90"/>
            </w:tcMar>
            <w:vAlign w:val="center"/>
          </w:tcPr>
          <w:p>
            <w:pPr>
              <w:spacing w:after="40" w:before="40" w:line="240"/>
            </w:pPr>
            <w:r>
              <w:rPr>
                <w:b w:val="false"/>
                <w:bCs w:val="false"/>
                <w:sz w:val="20"/>
                <w:szCs w:val="20"/>
              </w:rPr>
              <w:t xml:space="preserve">60 days from the date of this submission</w:t>
            </w:r>
          </w:p>
        </w:tc>
      </w:tr>
      <w:tr>
        <w:tc>
          <w:tcPr>
            <w:tcW w:type="dxa" w:w="1500"/>
            <w:tcMar>
              <w:top w:type="dxa" w:w="40"/>
              <w:left w:type="dxa" w:w="90"/>
              <w:bottom w:type="dxa" w:w="40"/>
              <w:right w:type="dxa" w:w="90"/>
            </w:tcMar>
            <w:vAlign w:val="center"/>
          </w:tcPr>
          <w:p>
            <w:pPr>
              <w:spacing w:after="40" w:before="40" w:line="240"/>
            </w:pPr>
            <w:r>
              <w:rPr>
                <w:b/>
                <w:bCs/>
                <w:sz w:val="20"/>
                <w:szCs w:val="20"/>
              </w:rPr>
              <w:t xml:space="preserve">Submission Type</w:t>
            </w:r>
          </w:p>
        </w:tc>
        <w:tc>
          <w:tcPr>
            <w:tcW w:type="dxa" w:w="3500"/>
            <w:tcMar>
              <w:top w:type="dxa" w:w="40"/>
              <w:left w:type="dxa" w:w="90"/>
              <w:bottom w:type="dxa" w:w="40"/>
              <w:right w:type="dxa" w:w="90"/>
            </w:tcMar>
            <w:vAlign w:val="center"/>
          </w:tcPr>
          <w:p>
            <w:pPr>
              <w:spacing w:after="40" w:before="40" w:line="240"/>
            </w:pPr>
            <w:r>
              <w:rPr>
                <w:b w:val="false"/>
                <w:bCs w:val="false"/>
                <w:sz w:val="20"/>
                <w:szCs w:val="20"/>
              </w:rPr>
              <w:t xml:space="preserve">Civil stormwater drainage package – Stage 1A and Stage 1B priced separately, each viable if awarded alone</w:t>
            </w:r>
          </w:p>
        </w:tc>
        <w:tc>
          <w:tcPr>
            <w:tcW w:type="dxa" w:w="1400"/>
            <w:tcMar>
              <w:top w:type="dxa" w:w="40"/>
              <w:left w:type="dxa" w:w="90"/>
              <w:bottom w:type="dxa" w:w="40"/>
              <w:right w:type="dxa" w:w="90"/>
            </w:tcMar>
            <w:vAlign w:val="center"/>
          </w:tcPr>
          <w:p>
            <w:pPr>
              <w:spacing w:after="40" w:before="40" w:line="240"/>
            </w:pPr>
            <w:r>
              <w:rPr>
                <w:b/>
                <w:bCs/>
                <w:sz w:val="20"/>
                <w:szCs w:val="20"/>
              </w:rPr>
              <w:t xml:space="preserve">Currency</w:t>
            </w:r>
          </w:p>
        </w:tc>
        <w:tc>
          <w:tcPr>
            <w:tcW w:type="dxa" w:w="3634"/>
            <w:tcMar>
              <w:top w:type="dxa" w:w="40"/>
              <w:left w:type="dxa" w:w="90"/>
              <w:bottom w:type="dxa" w:w="40"/>
              <w:right w:type="dxa" w:w="90"/>
            </w:tcMar>
            <w:vAlign w:val="center"/>
          </w:tcPr>
          <w:p>
            <w:pPr>
              <w:spacing w:after="40" w:before="40" w:line="240"/>
            </w:pPr>
            <w:r>
              <w:rPr>
                <w:b w:val="false"/>
                <w:bCs w:val="false"/>
                <w:sz w:val="20"/>
                <w:szCs w:val="20"/>
              </w:rPr>
              <w:t xml:space="preserve">All sums exclude GST</w:t>
            </w:r>
          </w:p>
        </w:tc>
      </w:tr>
    </w:tbl>
    <w:p>
      <w:pPr>
        <w:spacing w:after="120"/>
      </w:pPr>
    </w:p>
    <w:p>
      <w:pPr>
        <w:spacing w:after="130" w:before="0" w:line="250"/>
      </w:pPr>
      <w:r>
        <w:t xml:space="preserve">Dear Tenderer,</w:t>
      </w:r>
    </w:p>
    <w:p>
      <w:pPr>
        <w:spacing w:after="110" w:before="0" w:line="250"/>
      </w:pPr>
      <w:r>
        <w:t xml:space="preserve">Please find enclosed our tender submission for the civil stormwater drainage package for the above project. This submission is based on our receipt and review of the issued civil drawing set, the Instructions to Tenderers, the stormwater design report, the geotechnical investigation, the addenda listed at Section 5 and the Tender Schedule 3 pricing schedules for both stages.</w:t>
      </w:r>
    </w:p>
    <w:p>
      <w:pPr>
        <w:spacing w:after="110" w:before="0" w:line="250"/>
      </w:pPr>
      <w:r>
        <w:t xml:space="preserve">Our price covers only the works expressly described and priced at Section 6 and Section 8. Nothing is included by implication: the inclusions, exclusions, qualifications, departures and prime cost sum stated in this submission govern, and the tendered sums rest on the assumptions recorded in the Tender Query Schedule at Appendix A.</w:t>
      </w:r>
    </w:p>
    <w:p>
      <w:pPr>
        <w:pStyle w:val="Heading1"/>
      </w:pPr>
      <w:r>
        <w:t xml:space="preserve">1.  Project and Entity Identification</w:t>
      </w:r>
    </w:p>
    <w:tbl>
      <w:tblPr>
        <w:tblW w:type="dxa" w:w="10034"/>
        <w:tblBorders>
          <w:top w:val="single" w:color="9AB3CC" w:sz="4"/>
          <w:left w:val="single" w:color="9AB3CC" w:sz="4"/>
          <w:bottom w:val="single" w:color="9AB3CC" w:sz="4"/>
          <w:right w:val="single" w:color="9AB3CC" w:sz="4"/>
          <w:insideH w:val="single" w:color="9AB3CC" w:sz="2"/>
          <w:insideV w:val="single" w:color="9AB3CC" w:sz="2"/>
        </w:tblBorders>
      </w:tblPr>
      <w:tblGrid>
        <w:gridCol w:w="3200"/>
        <w:gridCol w:w="6834"/>
      </w:tblGrid>
      <w:tr>
        <w:tc>
          <w:tcPr>
            <w:tcW w:type="dxa" w:w="3200"/>
            <w:tcMar>
              <w:top w:type="dxa" w:w="40"/>
              <w:left w:type="dxa" w:w="90"/>
              <w:bottom w:type="dxa" w:w="40"/>
              <w:right w:type="dxa" w:w="90"/>
            </w:tcMar>
            <w:vAlign w:val="center"/>
          </w:tcPr>
          <w:p>
            <w:pPr>
              <w:spacing w:after="40" w:before="40" w:line="240"/>
            </w:pPr>
            <w:r>
              <w:rPr>
                <w:b/>
                <w:bCs/>
                <w:sz w:val="20"/>
                <w:szCs w:val="20"/>
              </w:rPr>
              <w:t xml:space="preserve">Tendering entity</w:t>
            </w:r>
          </w:p>
        </w:tc>
        <w:tc>
          <w:tcPr>
            <w:tcW w:type="dxa" w:w="6834"/>
            <w:tcMar>
              <w:top w:type="dxa" w:w="40"/>
              <w:left w:type="dxa" w:w="90"/>
              <w:bottom w:type="dxa" w:w="40"/>
              <w:right w:type="dxa" w:w="90"/>
            </w:tcMar>
            <w:vAlign w:val="center"/>
          </w:tcPr>
          <w:p>
            <w:pPr>
              <w:spacing w:after="40" w:before="40" w:line="240"/>
            </w:pPr>
            <w:r>
              <w:rPr>
                <w:b w:val="false"/>
                <w:bCs w:val="false"/>
                <w:sz w:val="20"/>
                <w:szCs w:val="20"/>
              </w:rPr>
              <w:t xml:space="preserve">TriCore Civil Services Pty Ltd ATF The TriCore Civil Services Trust</w:t>
            </w:r>
          </w:p>
        </w:tc>
      </w:tr>
      <w:tr>
        <w:tc>
          <w:tcPr>
            <w:tcW w:type="dxa" w:w="3200"/>
            <w:tcMar>
              <w:top w:type="dxa" w:w="40"/>
              <w:left w:type="dxa" w:w="90"/>
              <w:bottom w:type="dxa" w:w="40"/>
              <w:right w:type="dxa" w:w="90"/>
            </w:tcMar>
            <w:vAlign w:val="center"/>
          </w:tcPr>
          <w:p>
            <w:pPr>
              <w:spacing w:after="40" w:before="40" w:line="240"/>
            </w:pPr>
            <w:r>
              <w:rPr>
                <w:b/>
                <w:bCs/>
                <w:sz w:val="20"/>
                <w:szCs w:val="20"/>
              </w:rPr>
              <w:t xml:space="preserve">ABN</w:t>
            </w:r>
          </w:p>
        </w:tc>
        <w:tc>
          <w:tcPr>
            <w:tcW w:type="dxa" w:w="6834"/>
            <w:tcMar>
              <w:top w:type="dxa" w:w="40"/>
              <w:left w:type="dxa" w:w="90"/>
              <w:bottom w:type="dxa" w:w="40"/>
              <w:right w:type="dxa" w:w="90"/>
            </w:tcMar>
            <w:vAlign w:val="center"/>
          </w:tcPr>
          <w:p>
            <w:pPr>
              <w:spacing w:after="40" w:before="40" w:line="240"/>
            </w:pPr>
            <w:r>
              <w:rPr>
                <w:b w:val="false"/>
                <w:bCs w:val="false"/>
                <w:sz w:val="20"/>
                <w:szCs w:val="20"/>
              </w:rPr>
              <w:t xml:space="preserve">89 195 291 365 – active and registered for GST</w:t>
            </w:r>
          </w:p>
        </w:tc>
      </w:tr>
      <w:tr>
        <w:tc>
          <w:tcPr>
            <w:tcW w:type="dxa" w:w="3200"/>
            <w:tcMar>
              <w:top w:type="dxa" w:w="40"/>
              <w:left w:type="dxa" w:w="90"/>
              <w:bottom w:type="dxa" w:w="40"/>
              <w:right w:type="dxa" w:w="90"/>
            </w:tcMar>
            <w:vAlign w:val="center"/>
          </w:tcPr>
          <w:p>
            <w:pPr>
              <w:spacing w:after="40" w:before="40" w:line="240"/>
            </w:pPr>
            <w:r>
              <w:rPr>
                <w:b/>
                <w:bCs/>
                <w:sz w:val="20"/>
                <w:szCs w:val="20"/>
              </w:rPr>
              <w:t xml:space="preserve">Address for this tender</w:t>
            </w:r>
          </w:p>
        </w:tc>
        <w:tc>
          <w:tcPr>
            <w:tcW w:type="dxa" w:w="6834"/>
            <w:tcMar>
              <w:top w:type="dxa" w:w="40"/>
              <w:left w:type="dxa" w:w="90"/>
              <w:bottom w:type="dxa" w:w="40"/>
              <w:right w:type="dxa" w:w="90"/>
            </w:tcMar>
            <w:vAlign w:val="center"/>
          </w:tcPr>
          <w:p>
            <w:pPr>
              <w:spacing w:after="40" w:before="40" w:line="240"/>
            </w:pPr>
            <w:r>
              <w:rPr>
                <w:b w:val="false"/>
                <w:bCs w:val="false"/>
                <w:sz w:val="20"/>
                <w:szCs w:val="20"/>
              </w:rPr>
              <w:t xml:space="preserve">PO Box 103, Rockhampton QLD 4700</w:t>
            </w:r>
          </w:p>
        </w:tc>
      </w:tr>
      <w:tr>
        <w:tc>
          <w:tcPr>
            <w:tcW w:type="dxa" w:w="3200"/>
            <w:tcMar>
              <w:top w:type="dxa" w:w="40"/>
              <w:left w:type="dxa" w:w="90"/>
              <w:bottom w:type="dxa" w:w="40"/>
              <w:right w:type="dxa" w:w="90"/>
            </w:tcMar>
            <w:vAlign w:val="center"/>
          </w:tcPr>
          <w:p>
            <w:pPr>
              <w:spacing w:after="40" w:before="40" w:line="240"/>
            </w:pPr>
            <w:r>
              <w:rPr>
                <w:b/>
                <w:bCs/>
                <w:sz w:val="20"/>
                <w:szCs w:val="20"/>
              </w:rPr>
              <w:t xml:space="preserve">Brisbane support office</w:t>
            </w:r>
          </w:p>
        </w:tc>
        <w:tc>
          <w:tcPr>
            <w:tcW w:type="dxa" w:w="6834"/>
            <w:tcMar>
              <w:top w:type="dxa" w:w="40"/>
              <w:left w:type="dxa" w:w="90"/>
              <w:bottom w:type="dxa" w:w="40"/>
              <w:right w:type="dxa" w:w="90"/>
            </w:tcMar>
            <w:vAlign w:val="center"/>
          </w:tcPr>
          <w:p>
            <w:pPr>
              <w:spacing w:after="40" w:before="40" w:line="240"/>
            </w:pPr>
            <w:r>
              <w:rPr>
                <w:b w:val="false"/>
                <w:bCs w:val="false"/>
                <w:sz w:val="20"/>
                <w:szCs w:val="20"/>
              </w:rPr>
              <w:t xml:space="preserve">Hemmant QLD 4174</w:t>
            </w:r>
          </w:p>
        </w:tc>
      </w:tr>
      <w:tr>
        <w:tc>
          <w:tcPr>
            <w:tcW w:type="dxa" w:w="3200"/>
            <w:tcMar>
              <w:top w:type="dxa" w:w="40"/>
              <w:left w:type="dxa" w:w="90"/>
              <w:bottom w:type="dxa" w:w="40"/>
              <w:right w:type="dxa" w:w="90"/>
            </w:tcMar>
            <w:vAlign w:val="center"/>
          </w:tcPr>
          <w:p>
            <w:pPr>
              <w:spacing w:after="40" w:before="40" w:line="240"/>
            </w:pPr>
            <w:r>
              <w:rPr>
                <w:b/>
                <w:bCs/>
                <w:sz w:val="20"/>
                <w:szCs w:val="20"/>
              </w:rPr>
              <w:t xml:space="preserve">Contact</w:t>
            </w:r>
          </w:p>
        </w:tc>
        <w:tc>
          <w:tcPr>
            <w:tcW w:type="dxa" w:w="6834"/>
            <w:tcMar>
              <w:top w:type="dxa" w:w="40"/>
              <w:left w:type="dxa" w:w="90"/>
              <w:bottom w:type="dxa" w:w="40"/>
              <w:right w:type="dxa" w:w="90"/>
            </w:tcMar>
            <w:vAlign w:val="center"/>
          </w:tcPr>
          <w:p>
            <w:pPr>
              <w:spacing w:after="40" w:before="40" w:line="240"/>
            </w:pPr>
            <w:r>
              <w:rPr>
                <w:b w:val="false"/>
                <w:bCs w:val="false"/>
                <w:sz w:val="20"/>
                <w:szCs w:val="20"/>
              </w:rPr>
              <w:t xml:space="preserve">Mitch Hannan  |  Tel. 07 3390 5803  |  tricorecivil.com.au</w:t>
            </w:r>
          </w:p>
        </w:tc>
      </w:tr>
      <w:tr>
        <w:tc>
          <w:tcPr>
            <w:tcW w:type="dxa" w:w="3200"/>
            <w:tcMar>
              <w:top w:type="dxa" w:w="40"/>
              <w:left w:type="dxa" w:w="90"/>
              <w:bottom w:type="dxa" w:w="40"/>
              <w:right w:type="dxa" w:w="90"/>
            </w:tcMar>
            <w:vAlign w:val="center"/>
          </w:tcPr>
          <w:p>
            <w:pPr>
              <w:spacing w:after="40" w:before="40" w:line="240"/>
            </w:pPr>
            <w:r>
              <w:rPr>
                <w:b/>
                <w:bCs/>
                <w:sz w:val="20"/>
                <w:szCs w:val="20"/>
              </w:rPr>
              <w:t xml:space="preserve">Package tendered</w:t>
            </w:r>
          </w:p>
        </w:tc>
        <w:tc>
          <w:tcPr>
            <w:tcW w:type="dxa" w:w="6834"/>
            <w:tcMar>
              <w:top w:type="dxa" w:w="40"/>
              <w:left w:type="dxa" w:w="90"/>
              <w:bottom w:type="dxa" w:w="40"/>
              <w:right w:type="dxa" w:w="90"/>
            </w:tcMar>
            <w:vAlign w:val="center"/>
          </w:tcPr>
          <w:p>
            <w:pPr>
              <w:spacing w:after="40" w:before="40" w:line="240"/>
            </w:pPr>
            <w:r>
              <w:rPr>
                <w:b w:val="false"/>
                <w:bCs w:val="false"/>
                <w:sz w:val="20"/>
                <w:szCs w:val="20"/>
              </w:rPr>
              <w:t xml:space="preserve">Civil stormwater drainage – Stage 1A and Stage 1B</w:t>
            </w:r>
          </w:p>
        </w:tc>
      </w:tr>
      <w:tr>
        <w:tc>
          <w:tcPr>
            <w:tcW w:type="dxa" w:w="3200"/>
            <w:tcMar>
              <w:top w:type="dxa" w:w="40"/>
              <w:left w:type="dxa" w:w="90"/>
              <w:bottom w:type="dxa" w:w="40"/>
              <w:right w:type="dxa" w:w="90"/>
            </w:tcMar>
            <w:vAlign w:val="center"/>
          </w:tcPr>
          <w:p>
            <w:pPr>
              <w:spacing w:after="40" w:before="40" w:line="240"/>
            </w:pPr>
            <w:r>
              <w:rPr>
                <w:b/>
                <w:bCs/>
                <w:sz w:val="20"/>
                <w:szCs w:val="20"/>
              </w:rPr>
              <w:t xml:space="preserve">Tender</w:t>
            </w:r>
          </w:p>
        </w:tc>
        <w:tc>
          <w:tcPr>
            <w:tcW w:type="dxa" w:w="6834"/>
            <w:tcMar>
              <w:top w:type="dxa" w:w="40"/>
              <w:left w:type="dxa" w:w="90"/>
              <w:bottom w:type="dxa" w:w="40"/>
              <w:right w:type="dxa" w:w="90"/>
            </w:tcMar>
            <w:vAlign w:val="center"/>
          </w:tcPr>
          <w:p>
            <w:pPr>
              <w:spacing w:after="40" w:before="40" w:line="240"/>
            </w:pPr>
            <w:r>
              <w:rPr>
                <w:b w:val="false"/>
                <w:bCs w:val="false"/>
                <w:sz w:val="20"/>
                <w:szCs w:val="20"/>
              </w:rPr>
              <w:t xml:space="preserve">TEN16699 – Rockhampton Sports Precinct Stage 1</w:t>
            </w:r>
          </w:p>
        </w:tc>
      </w:tr>
      <w:tr>
        <w:tc>
          <w:tcPr>
            <w:tcW w:type="dxa" w:w="3200"/>
            <w:tcMar>
              <w:top w:type="dxa" w:w="40"/>
              <w:left w:type="dxa" w:w="90"/>
              <w:bottom w:type="dxa" w:w="40"/>
              <w:right w:type="dxa" w:w="90"/>
            </w:tcMar>
            <w:vAlign w:val="center"/>
          </w:tcPr>
          <w:p>
            <w:pPr>
              <w:spacing w:after="40" w:before="40" w:line="240"/>
            </w:pPr>
            <w:r>
              <w:rPr>
                <w:b/>
                <w:bCs/>
                <w:sz w:val="20"/>
                <w:szCs w:val="20"/>
              </w:rPr>
              <w:t xml:space="preserve">Site</w:t>
            </w:r>
          </w:p>
        </w:tc>
        <w:tc>
          <w:tcPr>
            <w:tcW w:type="dxa" w:w="6834"/>
            <w:tcMar>
              <w:top w:type="dxa" w:w="40"/>
              <w:left w:type="dxa" w:w="90"/>
              <w:bottom w:type="dxa" w:w="40"/>
              <w:right w:type="dxa" w:w="90"/>
            </w:tcMar>
            <w:vAlign w:val="center"/>
          </w:tcPr>
          <w:p>
            <w:pPr>
              <w:spacing w:after="40" w:before="40" w:line="240"/>
            </w:pPr>
            <w:r>
              <w:rPr>
                <w:b w:val="false"/>
                <w:bCs w:val="false"/>
                <w:sz w:val="20"/>
                <w:szCs w:val="20"/>
              </w:rPr>
              <w:t xml:space="preserve">554–700 Yaamba Road, Norman Gardens QLD 4701</w:t>
            </w:r>
          </w:p>
        </w:tc>
      </w:tr>
      <w:tr>
        <w:tc>
          <w:tcPr>
            <w:tcW w:type="dxa" w:w="3200"/>
            <w:tcMar>
              <w:top w:type="dxa" w:w="40"/>
              <w:left w:type="dxa" w:w="90"/>
              <w:bottom w:type="dxa" w:w="40"/>
              <w:right w:type="dxa" w:w="90"/>
            </w:tcMar>
            <w:vAlign w:val="center"/>
          </w:tcPr>
          <w:p>
            <w:pPr>
              <w:spacing w:after="40" w:before="40" w:line="240"/>
            </w:pPr>
            <w:r>
              <w:rPr>
                <w:b/>
                <w:bCs/>
                <w:sz w:val="20"/>
                <w:szCs w:val="20"/>
              </w:rPr>
              <w:t xml:space="preserve">Principal</w:t>
            </w:r>
          </w:p>
        </w:tc>
        <w:tc>
          <w:tcPr>
            <w:tcW w:type="dxa" w:w="6834"/>
            <w:tcMar>
              <w:top w:type="dxa" w:w="40"/>
              <w:left w:type="dxa" w:w="90"/>
              <w:bottom w:type="dxa" w:w="40"/>
              <w:right w:type="dxa" w:w="90"/>
            </w:tcMar>
            <w:vAlign w:val="center"/>
          </w:tcPr>
          <w:p>
            <w:pPr>
              <w:spacing w:after="40" w:before="40" w:line="240"/>
            </w:pPr>
            <w:r>
              <w:rPr>
                <w:b w:val="false"/>
                <w:bCs w:val="false"/>
                <w:sz w:val="20"/>
                <w:szCs w:val="20"/>
              </w:rPr>
              <w:t xml:space="preserve">Rockhampton Regional Council</w:t>
            </w:r>
          </w:p>
        </w:tc>
      </w:tr>
      <w:tr>
        <w:tc>
          <w:tcPr>
            <w:tcW w:type="dxa" w:w="3200"/>
            <w:tcMar>
              <w:top w:type="dxa" w:w="40"/>
              <w:left w:type="dxa" w:w="90"/>
              <w:bottom w:type="dxa" w:w="40"/>
              <w:right w:type="dxa" w:w="90"/>
            </w:tcMar>
            <w:vAlign w:val="center"/>
          </w:tcPr>
          <w:p>
            <w:pPr>
              <w:spacing w:after="40" w:before="40" w:line="240"/>
            </w:pPr>
            <w:r>
              <w:rPr>
                <w:b/>
                <w:bCs/>
                <w:sz w:val="20"/>
                <w:szCs w:val="20"/>
              </w:rPr>
              <w:t xml:space="preserve">Water and sewerage authority</w:t>
            </w:r>
          </w:p>
        </w:tc>
        <w:tc>
          <w:tcPr>
            <w:tcW w:type="dxa" w:w="6834"/>
            <w:tcMar>
              <w:top w:type="dxa" w:w="40"/>
              <w:left w:type="dxa" w:w="90"/>
              <w:bottom w:type="dxa" w:w="40"/>
              <w:right w:type="dxa" w:w="90"/>
            </w:tcMar>
            <w:vAlign w:val="center"/>
          </w:tcPr>
          <w:p>
            <w:pPr>
              <w:spacing w:after="40" w:before="40" w:line="240"/>
            </w:pPr>
            <w:r>
              <w:rPr>
                <w:b w:val="false"/>
                <w:bCs w:val="false"/>
                <w:sz w:val="20"/>
                <w:szCs w:val="20"/>
              </w:rPr>
              <w:t xml:space="preserve">Fitzroy River Water (Rockhampton Regional Council)</w:t>
            </w:r>
          </w:p>
        </w:tc>
      </w:tr>
      <w:tr>
        <w:tc>
          <w:tcPr>
            <w:tcW w:type="dxa" w:w="3200"/>
            <w:tcMar>
              <w:top w:type="dxa" w:w="40"/>
              <w:left w:type="dxa" w:w="90"/>
              <w:bottom w:type="dxa" w:w="40"/>
              <w:right w:type="dxa" w:w="90"/>
            </w:tcMar>
            <w:vAlign w:val="center"/>
          </w:tcPr>
          <w:p>
            <w:pPr>
              <w:spacing w:after="40" w:before="40" w:line="240"/>
            </w:pPr>
            <w:r>
              <w:rPr>
                <w:b/>
                <w:bCs/>
                <w:sz w:val="20"/>
                <w:szCs w:val="20"/>
              </w:rPr>
              <w:t xml:space="preserve">Governing municipal standard</w:t>
            </w:r>
          </w:p>
        </w:tc>
        <w:tc>
          <w:tcPr>
            <w:tcW w:type="dxa" w:w="6834"/>
            <w:tcMar>
              <w:top w:type="dxa" w:w="40"/>
              <w:left w:type="dxa" w:w="90"/>
              <w:bottom w:type="dxa" w:w="40"/>
              <w:right w:type="dxa" w:w="90"/>
            </w:tcMar>
            <w:vAlign w:val="center"/>
          </w:tcPr>
          <w:p>
            <w:pPr>
              <w:spacing w:after="40" w:before="40" w:line="240"/>
            </w:pPr>
            <w:r>
              <w:rPr>
                <w:b w:val="false"/>
                <w:bCs w:val="false"/>
                <w:sz w:val="20"/>
                <w:szCs w:val="20"/>
              </w:rPr>
              <w:t xml:space="preserve">Capricorn Municipal Development Guidelines (CMDG)</w:t>
            </w:r>
          </w:p>
        </w:tc>
      </w:tr>
      <w:tr>
        <w:tc>
          <w:tcPr>
            <w:tcW w:type="dxa" w:w="3200"/>
            <w:tcMar>
              <w:top w:type="dxa" w:w="40"/>
              <w:left w:type="dxa" w:w="90"/>
              <w:bottom w:type="dxa" w:w="40"/>
              <w:right w:type="dxa" w:w="90"/>
            </w:tcMar>
            <w:vAlign w:val="center"/>
          </w:tcPr>
          <w:p>
            <w:pPr>
              <w:spacing w:after="40" w:before="40" w:line="240"/>
            </w:pPr>
            <w:r>
              <w:rPr>
                <w:b/>
                <w:bCs/>
                <w:sz w:val="20"/>
                <w:szCs w:val="20"/>
              </w:rPr>
              <w:t xml:space="preserve">Anticipated commencement</w:t>
            </w:r>
          </w:p>
        </w:tc>
        <w:tc>
          <w:tcPr>
            <w:tcW w:type="dxa" w:w="6834"/>
            <w:tcMar>
              <w:top w:type="dxa" w:w="40"/>
              <w:left w:type="dxa" w:w="90"/>
              <w:bottom w:type="dxa" w:w="40"/>
              <w:right w:type="dxa" w:w="90"/>
            </w:tcMar>
            <w:vAlign w:val="center"/>
          </w:tcPr>
          <w:p>
            <w:pPr>
              <w:spacing w:after="40" w:before="40" w:line="240"/>
            </w:pPr>
            <w:r>
              <w:rPr>
                <w:b w:val="false"/>
                <w:bCs w:val="false"/>
                <w:sz w:val="20"/>
                <w:szCs w:val="20"/>
              </w:rPr>
              <w:t xml:space="preserve">2027</w:t>
            </w:r>
          </w:p>
        </w:tc>
      </w:tr>
    </w:tbl>
    <w:p>
      <w:pPr>
        <w:pStyle w:val="Heading1"/>
      </w:pPr>
      <w:r>
        <w:t xml:space="preserve">2.  Tender Value</w:t>
      </w:r>
    </w:p>
    <w:tbl>
      <w:tblPr>
        <w:tblW w:type="dxa" w:w="10034"/>
        <w:tblBorders>
          <w:top w:val="single" w:color="9AB3CC" w:sz="4"/>
          <w:left w:val="single" w:color="9AB3CC" w:sz="4"/>
          <w:bottom w:val="single" w:color="9AB3CC" w:sz="4"/>
          <w:right w:val="single" w:color="9AB3CC" w:sz="4"/>
          <w:insideH w:val="single" w:color="9AB3CC" w:sz="2"/>
          <w:insideV w:val="single" w:color="9AB3CC" w:sz="2"/>
        </w:tblBorders>
      </w:tblPr>
      <w:tblGrid>
        <w:gridCol w:w="5000"/>
        <w:gridCol w:w="2400"/>
        <w:gridCol w:w="2634"/>
      </w:tblGrid>
      <w:tr>
        <w:trPr>
          <w:tblHeader/>
        </w:trPr>
        <w:tc>
          <w:tcPr>
            <w:tcW w:type="dxa" w:w="5000"/>
            <w:shd w:fill="1F4E79" w:color="auto" w:val="clear"/>
            <w:tcMar>
              <w:top w:type="dxa" w:w="40"/>
              <w:left w:type="dxa" w:w="90"/>
              <w:bottom w:type="dxa" w:w="40"/>
              <w:right w:type="dxa" w:w="90"/>
            </w:tcMar>
            <w:vAlign w:val="center"/>
          </w:tcPr>
          <w:p>
            <w:pPr>
              <w:spacing w:after="40" w:before="40" w:line="240"/>
            </w:pPr>
            <w:r>
              <w:rPr>
                <w:b/>
                <w:bCs/>
                <w:color w:val="FFFFFF"/>
                <w:sz w:val="20"/>
                <w:szCs w:val="20"/>
              </w:rPr>
              <w:t xml:space="preserve">Description</w:t>
            </w:r>
          </w:p>
        </w:tc>
        <w:tc>
          <w:tcPr>
            <w:tcW w:type="dxa" w:w="2400"/>
            <w:shd w:fill="1F4E79" w:color="auto" w:val="clear"/>
            <w:tcMar>
              <w:top w:type="dxa" w:w="40"/>
              <w:left w:type="dxa" w:w="90"/>
              <w:bottom w:type="dxa" w:w="40"/>
              <w:right w:type="dxa" w:w="90"/>
            </w:tcMar>
            <w:vAlign w:val="center"/>
          </w:tcPr>
          <w:p>
            <w:pPr>
              <w:spacing w:after="40" w:before="40" w:line="240"/>
            </w:pPr>
            <w:r>
              <w:rPr>
                <w:b/>
                <w:bCs/>
                <w:color w:val="FFFFFF"/>
                <w:sz w:val="20"/>
                <w:szCs w:val="20"/>
              </w:rPr>
              <w:t xml:space="preserve">Basis</w:t>
            </w:r>
          </w:p>
        </w:tc>
        <w:tc>
          <w:tcPr>
            <w:tcW w:type="dxa" w:w="2634"/>
            <w:shd w:fill="1F4E79" w:color="auto" w:val="clear"/>
            <w:tcMar>
              <w:top w:type="dxa" w:w="40"/>
              <w:left w:type="dxa" w:w="90"/>
              <w:bottom w:type="dxa" w:w="40"/>
              <w:right w:type="dxa" w:w="90"/>
            </w:tcMar>
            <w:vAlign w:val="center"/>
          </w:tcPr>
          <w:p>
            <w:pPr>
              <w:spacing w:after="40" w:before="40" w:line="240"/>
            </w:pPr>
            <w:r>
              <w:rPr>
                <w:b/>
                <w:bCs/>
                <w:color w:val="FFFFFF"/>
                <w:sz w:val="20"/>
                <w:szCs w:val="20"/>
              </w:rPr>
              <w:t xml:space="preserve">Amount ex GST</w:t>
            </w:r>
          </w:p>
        </w:tc>
      </w:tr>
      <w:tr>
        <w:tc>
          <w:tcPr>
            <w:tcW w:type="dxa" w:w="5000"/>
            <w:tcMar>
              <w:top w:type="dxa" w:w="40"/>
              <w:left w:type="dxa" w:w="90"/>
              <w:bottom w:type="dxa" w:w="40"/>
              <w:right w:type="dxa" w:w="90"/>
            </w:tcMar>
            <w:vAlign w:val="center"/>
          </w:tcPr>
          <w:p>
            <w:pPr>
              <w:spacing w:after="40" w:before="40" w:line="240"/>
            </w:pPr>
            <w:r>
              <w:rPr>
                <w:sz w:val="20"/>
                <w:szCs w:val="20"/>
              </w:rPr>
              <w:t xml:space="preserve">Stage 1A – civil stormwater drainage</w:t>
            </w:r>
          </w:p>
        </w:tc>
        <w:tc>
          <w:tcPr>
            <w:tcW w:type="dxa" w:w="2400"/>
            <w:tcMar>
              <w:top w:type="dxa" w:w="40"/>
              <w:left w:type="dxa" w:w="90"/>
              <w:bottom w:type="dxa" w:w="40"/>
              <w:right w:type="dxa" w:w="90"/>
            </w:tcMar>
            <w:vAlign w:val="center"/>
          </w:tcPr>
          <w:p>
            <w:pPr>
              <w:spacing w:after="40" w:before="40" w:line="240"/>
            </w:pPr>
            <w:r>
              <w:rPr>
                <w:sz w:val="20"/>
                <w:szCs w:val="20"/>
              </w:rPr>
              <w:t xml:space="preserve">Lump sum, excluding PC sum</w:t>
            </w:r>
          </w:p>
        </w:tc>
        <w:tc>
          <w:tcPr>
            <w:tcW w:type="dxa" w:w="2634"/>
            <w:tcMar>
              <w:top w:type="dxa" w:w="40"/>
              <w:left w:type="dxa" w:w="90"/>
              <w:bottom w:type="dxa" w:w="40"/>
              <w:right w:type="dxa" w:w="90"/>
            </w:tcMar>
            <w:vAlign w:val="center"/>
          </w:tcPr>
          <w:p>
            <w:pPr>
              <w:spacing w:after="40" w:before="40" w:line="240"/>
              <w:jc w:val="right"/>
            </w:pPr>
            <w:r>
              <w:rPr>
                <w:sz w:val="20"/>
                <w:szCs w:val="20"/>
              </w:rPr>
              <w:t xml:space="preserve">$2,761,814.98</w:t>
            </w:r>
          </w:p>
        </w:tc>
      </w:tr>
      <w:tr>
        <w:tc>
          <w:tcPr>
            <w:tcW w:type="dxa" w:w="5000"/>
            <w:tcMar>
              <w:top w:type="dxa" w:w="40"/>
              <w:left w:type="dxa" w:w="90"/>
              <w:bottom w:type="dxa" w:w="40"/>
              <w:right w:type="dxa" w:w="90"/>
            </w:tcMar>
            <w:vAlign w:val="center"/>
          </w:tcPr>
          <w:p>
            <w:pPr>
              <w:spacing w:after="40" w:before="40" w:line="240"/>
            </w:pPr>
            <w:r>
              <w:rPr>
                <w:sz w:val="20"/>
                <w:szCs w:val="20"/>
              </w:rPr>
              <w:t xml:space="preserve">Stage 1A – WSUD stormwater filtration cartridges</w:t>
            </w:r>
          </w:p>
        </w:tc>
        <w:tc>
          <w:tcPr>
            <w:tcW w:type="dxa" w:w="2400"/>
            <w:tcMar>
              <w:top w:type="dxa" w:w="40"/>
              <w:left w:type="dxa" w:w="90"/>
              <w:bottom w:type="dxa" w:w="40"/>
              <w:right w:type="dxa" w:w="90"/>
            </w:tcMar>
            <w:vAlign w:val="center"/>
          </w:tcPr>
          <w:p>
            <w:pPr>
              <w:spacing w:after="40" w:before="40" w:line="240"/>
            </w:pPr>
            <w:r>
              <w:rPr>
                <w:sz w:val="20"/>
                <w:szCs w:val="20"/>
              </w:rPr>
              <w:t xml:space="preserve">PC sum (supply and delivery + 15%)</w:t>
            </w:r>
          </w:p>
        </w:tc>
        <w:tc>
          <w:tcPr>
            <w:tcW w:type="dxa" w:w="2634"/>
            <w:tcMar>
              <w:top w:type="dxa" w:w="40"/>
              <w:left w:type="dxa" w:w="90"/>
              <w:bottom w:type="dxa" w:w="40"/>
              <w:right w:type="dxa" w:w="90"/>
            </w:tcMar>
            <w:vAlign w:val="center"/>
          </w:tcPr>
          <w:p>
            <w:pPr>
              <w:spacing w:after="40" w:before="40" w:line="240"/>
              <w:jc w:val="right"/>
            </w:pPr>
            <w:r>
              <w:rPr>
                <w:sz w:val="20"/>
                <w:szCs w:val="20"/>
              </w:rPr>
              <w:t xml:space="preserve">$111,787.74</w:t>
            </w:r>
          </w:p>
        </w:tc>
      </w:tr>
      <w:tr>
        <w:tc>
          <w:tcPr>
            <w:tcW w:type="dxa" w:w="5000"/>
            <w:shd w:fill="EAF0F7" w:color="auto" w:val="clear"/>
            <w:tcMar>
              <w:top w:type="dxa" w:w="40"/>
              <w:left w:type="dxa" w:w="90"/>
              <w:bottom w:type="dxa" w:w="40"/>
              <w:right w:type="dxa" w:w="90"/>
            </w:tcMar>
            <w:vAlign w:val="center"/>
          </w:tcPr>
          <w:p>
            <w:pPr>
              <w:spacing w:after="40" w:before="40" w:line="240"/>
            </w:pPr>
            <w:r>
              <w:rPr>
                <w:b/>
                <w:bCs/>
                <w:sz w:val="20"/>
                <w:szCs w:val="20"/>
              </w:rPr>
              <w:t xml:space="preserve">Stage 1A total</w:t>
            </w:r>
          </w:p>
        </w:tc>
        <w:tc>
          <w:tcPr>
            <w:tcW w:type="dxa" w:w="2400"/>
            <w:shd w:fill="EAF0F7" w:color="auto" w:val="clear"/>
            <w:tcMar>
              <w:top w:type="dxa" w:w="40"/>
              <w:left w:type="dxa" w:w="90"/>
              <w:bottom w:type="dxa" w:w="40"/>
              <w:right w:type="dxa" w:w="90"/>
            </w:tcMar>
            <w:vAlign w:val="center"/>
          </w:tcPr>
          <w:p>
            <w:pPr>
              <w:spacing w:after="40" w:before="40" w:line="240"/>
            </w:pPr>
            <w:r>
              <w:rPr>
                <w:b/>
                <w:bCs/>
                <w:sz w:val="20"/>
                <w:szCs w:val="20"/>
              </w:rPr>
              <w:t xml:space="preserve">Lump sum including PC sum</w:t>
            </w:r>
          </w:p>
        </w:tc>
        <w:tc>
          <w:tcPr>
            <w:tcW w:type="dxa" w:w="2634"/>
            <w:shd w:fill="EAF0F7" w:color="auto" w:val="clear"/>
            <w:tcMar>
              <w:top w:type="dxa" w:w="40"/>
              <w:left w:type="dxa" w:w="90"/>
              <w:bottom w:type="dxa" w:w="40"/>
              <w:right w:type="dxa" w:w="90"/>
            </w:tcMar>
            <w:vAlign w:val="center"/>
          </w:tcPr>
          <w:p>
            <w:pPr>
              <w:spacing w:after="40" w:before="40" w:line="240"/>
              <w:jc w:val="right"/>
            </w:pPr>
            <w:r>
              <w:rPr>
                <w:b/>
                <w:bCs/>
                <w:sz w:val="20"/>
                <w:szCs w:val="20"/>
              </w:rPr>
              <w:t xml:space="preserve">$2,873,602.72</w:t>
            </w:r>
          </w:p>
        </w:tc>
      </w:tr>
      <w:tr>
        <w:tc>
          <w:tcPr>
            <w:tcW w:type="dxa" w:w="5000"/>
            <w:tcMar>
              <w:top w:type="dxa" w:w="40"/>
              <w:left w:type="dxa" w:w="90"/>
              <w:bottom w:type="dxa" w:w="40"/>
              <w:right w:type="dxa" w:w="90"/>
            </w:tcMar>
            <w:vAlign w:val="center"/>
          </w:tcPr>
          <w:p>
            <w:pPr>
              <w:spacing w:after="40" w:before="40" w:line="240"/>
            </w:pPr>
            <w:r>
              <w:rPr>
                <w:sz w:val="20"/>
                <w:szCs w:val="20"/>
              </w:rPr>
              <w:t xml:space="preserve">Stage 1B – civil stormwater drainage</w:t>
            </w:r>
          </w:p>
        </w:tc>
        <w:tc>
          <w:tcPr>
            <w:tcW w:type="dxa" w:w="2400"/>
            <w:tcMar>
              <w:top w:type="dxa" w:w="40"/>
              <w:left w:type="dxa" w:w="90"/>
              <w:bottom w:type="dxa" w:w="40"/>
              <w:right w:type="dxa" w:w="90"/>
            </w:tcMar>
            <w:vAlign w:val="center"/>
          </w:tcPr>
          <w:p>
            <w:pPr>
              <w:spacing w:after="40" w:before="40" w:line="240"/>
            </w:pPr>
            <w:r>
              <w:rPr>
                <w:sz w:val="20"/>
                <w:szCs w:val="20"/>
              </w:rPr>
              <w:t xml:space="preserve">Lump sum (no PC sums)</w:t>
            </w:r>
          </w:p>
        </w:tc>
        <w:tc>
          <w:tcPr>
            <w:tcW w:type="dxa" w:w="2634"/>
            <w:tcMar>
              <w:top w:type="dxa" w:w="40"/>
              <w:left w:type="dxa" w:w="90"/>
              <w:bottom w:type="dxa" w:w="40"/>
              <w:right w:type="dxa" w:w="90"/>
            </w:tcMar>
            <w:vAlign w:val="center"/>
          </w:tcPr>
          <w:p>
            <w:pPr>
              <w:spacing w:after="40" w:before="40" w:line="240"/>
              <w:jc w:val="right"/>
            </w:pPr>
            <w:r>
              <w:rPr>
                <w:sz w:val="20"/>
                <w:szCs w:val="20"/>
              </w:rPr>
              <w:t xml:space="preserve">$113,131.26</w:t>
            </w:r>
          </w:p>
        </w:tc>
      </w:tr>
      <w:tr>
        <w:tc>
          <w:tcPr>
            <w:tcW w:type="dxa" w:w="5000"/>
            <w:shd w:fill="EAF0F7" w:color="auto" w:val="clear"/>
            <w:tcMar>
              <w:top w:type="dxa" w:w="40"/>
              <w:left w:type="dxa" w:w="90"/>
              <w:bottom w:type="dxa" w:w="40"/>
              <w:right w:type="dxa" w:w="90"/>
            </w:tcMar>
            <w:vAlign w:val="center"/>
          </w:tcPr>
          <w:p>
            <w:pPr>
              <w:spacing w:after="40" w:before="40" w:line="240"/>
            </w:pPr>
            <w:r>
              <w:rPr>
                <w:b/>
                <w:bCs/>
                <w:sz w:val="20"/>
                <w:szCs w:val="20"/>
              </w:rPr>
              <w:t xml:space="preserve">TOTAL TENDER – Stage 1A and Stage 1B</w:t>
            </w:r>
          </w:p>
        </w:tc>
        <w:tc>
          <w:tcPr>
            <w:tcW w:type="dxa" w:w="2400"/>
            <w:shd w:fill="EAF0F7" w:color="auto" w:val="clear"/>
            <w:tcMar>
              <w:top w:type="dxa" w:w="40"/>
              <w:left w:type="dxa" w:w="90"/>
              <w:bottom w:type="dxa" w:w="40"/>
              <w:right w:type="dxa" w:w="90"/>
            </w:tcMar>
            <w:vAlign w:val="center"/>
          </w:tcPr>
          <w:p>
            <w:pPr>
              <w:spacing w:after="40" w:before="40" w:line="240"/>
            </w:pPr>
            <w:r>
              <w:rPr>
                <w:b/>
                <w:bCs/>
                <w:sz w:val="20"/>
                <w:szCs w:val="20"/>
              </w:rPr>
              <w:t xml:space="preserve">Excluding GST</w:t>
            </w:r>
          </w:p>
        </w:tc>
        <w:tc>
          <w:tcPr>
            <w:tcW w:type="dxa" w:w="2634"/>
            <w:shd w:fill="EAF0F7" w:color="auto" w:val="clear"/>
            <w:tcMar>
              <w:top w:type="dxa" w:w="40"/>
              <w:left w:type="dxa" w:w="90"/>
              <w:bottom w:type="dxa" w:w="40"/>
              <w:right w:type="dxa" w:w="90"/>
            </w:tcMar>
            <w:vAlign w:val="center"/>
          </w:tcPr>
          <w:p>
            <w:pPr>
              <w:spacing w:after="40" w:before="40" w:line="240"/>
              <w:jc w:val="right"/>
            </w:pPr>
            <w:r>
              <w:rPr>
                <w:b/>
                <w:bCs/>
                <w:sz w:val="20"/>
                <w:szCs w:val="20"/>
              </w:rPr>
              <w:t xml:space="preserve">$2,986,733.98</w:t>
            </w:r>
          </w:p>
        </w:tc>
      </w:tr>
    </w:tbl>
    <w:p>
      <w:pPr>
        <w:spacing w:after="120"/>
      </w:pPr>
    </w:p>
    <w:p>
      <w:pPr>
        <w:spacing w:after="110" w:before="0" w:line="250"/>
      </w:pPr>
      <w:r>
        <w:t xml:space="preserve">All sums are exclusive of GST. The tender value is submitted as a lump sum and is subject to the inclusions, exclusions, clarifications, qualifications and prime cost sum stated in this submission. Each stage is priced separately, carries its own establishment and is viable if awarded alone.</w:t>
      </w:r>
    </w:p>
    <w:p>
      <w:pPr>
        <w:pStyle w:val="Heading1"/>
      </w:pPr>
      <w:r>
        <w:t xml:space="preserve">3.  Basis of this Tender</w:t>
      </w:r>
    </w:p>
    <w:p>
      <w:pPr>
        <w:spacing w:after="110" w:before="0" w:line="250"/>
      </w:pPr>
      <w:r>
        <w:rPr>
          <w:i/>
          <w:iCs/>
        </w:rPr>
        <w:t xml:space="preserve">This section states the basis on which the tendered sums were built, before any inclusion or exclusion is read.</w:t>
      </w:r>
    </w:p>
    <w:p>
      <w:pPr>
        <w:pStyle w:val="Heading2"/>
      </w:pPr>
      <w:r>
        <w:t xml:space="preserve">3.1  Measurement basis</w:t>
      </w:r>
    </w:p>
    <w:p>
      <w:pPr>
        <w:spacing w:after="110" w:before="0" w:line="250"/>
      </w:pPr>
      <w:r>
        <w:t xml:space="preserve">Quantities have been measured by us from the issued documentation. The drawings print no schedule of pipe lengths, so measurement is by scaled and chainage-derived take-off from the layouts (SE_12306_F1300–F1305), the pit schedule (F1310), the details and schedules (F1320–F1325) and the long sections (F1350–F1363). Rates are built from first principles – labour, plant, materials, preliminaries, overhead and margin – from TriCore’s current Central Queensland cost base. The stage sums at Section 2 are lump sums for the works described; only the rate lines at Section 10 are remeasurable.</w:t>
      </w:r>
    </w:p>
    <w:p>
      <w:pPr>
        <w:pStyle w:val="Heading2"/>
      </w:pPr>
      <w:r>
        <w:t xml:space="preserve">3.2  Structure count – layouts and F1321 adopted over the pit schedule</w:t>
      </w:r>
    </w:p>
    <w:p>
      <w:pPr>
        <w:spacing w:after="110" w:before="0" w:line="250"/>
      </w:pPr>
      <w:r>
        <w:t xml:space="preserve">The stormwater layouts show 141 drainage structures while pit schedule SE_12306_F1310 schedules 121. The difference is the 20 culvert end structures (C01A/B to C10B): 18 are dimensioned on F1321, and C09A and C09B – the twin 2 × 375 RCP crossing on F1304 – are detailed nowhere in the issued set, with no headwall, apron or rock pad detail. We have priced from the layouts and F1321 rather than the pit schedule, allowing C09A and C09B as standard precast twin-cell headwalls to match the adjacent details. A corrected pit schedule and the C09 details are sought at Query B1; non-standard C09 structures or additional structures are unpriced.</w:t>
      </w:r>
    </w:p>
    <w:p>
      <w:pPr>
        <w:pStyle w:val="Heading2"/>
      </w:pPr>
      <w:r>
        <w:t xml:space="preserve">3.3  Priced documentation basis – T1 drawings as modified by the Design Report</w:t>
      </w:r>
    </w:p>
    <w:p>
      <w:pPr>
        <w:spacing w:after="110" w:before="0" w:line="250"/>
      </w:pPr>
      <w:r>
        <w:t xml:space="preserve">We have priced on the T1 civil drawings as modified by Stormwater Design Report SE_12306_RPT006_B Revision B (issued with Addendum 8), sections 6.1 and 9.1 – kerb chutes replacing the single pit-and-pipe headwall outlets, subsoils re-nominated as type 2 strip filters, the additional maintenance culvert at the south-east corner, the enlarged detention basin footprint, and headwalls and scour protection added within swales. The T1 sheets were not reissued to suit and the report cites the civil set at Revision D2, so no reconciled document exists; our basis is stated here and the governing-document question is raised at Query B4. Two consequences are carried expressly: kerb chute construction is excluded from our base price (Section 12.3), and the strip-filter system is by others with the interface fixed at Section 7.</w:t>
      </w:r>
    </w:p>
    <w:p>
      <w:pPr>
        <w:pStyle w:val="Heading2"/>
      </w:pPr>
      <w:r>
        <w:t xml:space="preserve">3.4  Rock – the band we have priced and the regime we have priced it under</w:t>
      </w:r>
    </w:p>
    <w:p>
      <w:pPr>
        <w:spacing w:after="110" w:before="0" w:line="250"/>
      </w:pPr>
      <w:r>
        <w:t xml:space="preserve">Our base price allows the rock reasonably inferable from geotechnical investigation report NQL2024-0320 AC Rev 0 (CMW Geosciences, 6 November 2025). That report records refusal at 25 of 36 test locations, the shallowest at 0.70 m (TP03), with extremely weathered rock between 0.2 m and 2.2 m at six test pits. Rock encountered beyond that band is claimable as extra-over at the rates tendered at Section 10, on prior written direction under Instructions to Tenderers Part 2 Section 18. Drawing H002 note 24 requires extra-over rates for soft rock and hard rock separately, for trenches and for pits – all four are tendered, and they apply to our own stormwater excavations only. Three inconsistent rock regimes appear across the documents (ITT Section 18.2 written direction, H002 note 24 extra-over rates, and VOL 38 Sections 7.7 and 7.11 deemed-included); the regime we have priced is the one stated here, and the conflict is raised at Query A2 so that it is not later deemed resolved against us.</w:t>
      </w:r>
    </w:p>
    <w:p>
      <w:pPr>
        <w:pStyle w:val="Heading2"/>
      </w:pPr>
      <w:r>
        <w:t xml:space="preserve">3.5  Excavation support and personnel entry</w:t>
      </w:r>
    </w:p>
    <w:p>
      <w:pPr>
        <w:spacing w:after="110" w:before="0" w:line="250"/>
      </w:pPr>
      <w:r>
        <w:t xml:space="preserve">Geotechnical report Section 5.3.3 requires temporary batters no steeper than 1.5H:1V for excavations less than 2 m deep, flattening to 3H:1V or benching where perched groundwater or soft material is encountered, and a geotechnical engineer’s inspection before personnel entry to any trench exceeding 1.5 m of bench height. We have priced trench shielding for the runs and structures requiring personnel entry, together with geotechnical inspection attendance at the deep excavations. Where shielding is not accepted and battered or benched excavation is directed instead, the widened excavation and the additional spoil handling, bedding and backfill across the network are a variation. Query A3 refers.</w:t>
      </w:r>
    </w:p>
    <w:p>
      <w:pPr>
        <w:pStyle w:val="Heading2"/>
      </w:pPr>
      <w:r>
        <w:t xml:space="preserve">3.6  Spoil, bedding and imported material</w:t>
      </w:r>
    </w:p>
    <w:p>
      <w:pPr>
        <w:spacing w:after="110" w:before="0" w:line="250"/>
      </w:pPr>
      <w:r>
        <w:t xml:space="preserve">Addendum 2 records that no spoil is to leave site, and ITT Section 17.9 requires spoil to remain on site pending EMR de-listing. We have priced handling and haulage of our own trench and structure spoil to Principal-directed stockpile locations on site within 500 m. No off-site disposal is priced and none is assumed to be required. Bedding stone and select backfill are imported and are priced. The Design Report records site-won high-plasticity clay as unsuitable for reuse without treatment and recommends imported fill; no treatment, conditioning or classification of site-won material is priced. Query A4 refers.</w:t>
      </w:r>
    </w:p>
    <w:p>
      <w:pPr>
        <w:pStyle w:val="Heading2"/>
      </w:pPr>
      <w:r>
        <w:t xml:space="preserve">3.7  Stage split</w:t>
      </w:r>
    </w:p>
    <w:p>
      <w:pPr>
        <w:spacing w:after="110" w:before="0" w:line="250"/>
      </w:pPr>
      <w:r>
        <w:t xml:space="preserve">Physical works inside the Stage 1A hatch on VOL 20 SE_12306_SKT_CMP Revision B are priced in Stage 1A, and works inside the Stage 1B hatch in Stage 1B. The consequences of that reading are stated so they can be checked: the single documented basin and its outlet works and the WSUD filtration manhole fall in Stage 1A; grated trench runs GT5 and GT6, and lines 60, 61 and 83, fall in Stage 1B. The hatch boundaries on the issued sheet are only partly traceable. Where the confirmed boundary moves an item between stages, the two stage sums adjust between them without change to the total.</w:t>
      </w:r>
    </w:p>
    <w:p>
      <w:pPr>
        <w:pStyle w:val="Heading2"/>
      </w:pPr>
      <w:r>
        <w:t xml:space="preserve">3.8  Supplier quotations, escalation and validity</w:t>
      </w:r>
    </w:p>
    <w:p>
      <w:pPr>
        <w:spacing w:after="110" w:before="0" w:line="250"/>
      </w:pPr>
      <w:r>
        <w:t xml:space="preserve">Every supplier quotation underpinning our material rates expires in August 2026, against an anticipated 2027 commencement. Escalation to the 2027 commencement has been carried once within our rates; it is not carried twice and it is not carried again at award. Quotations will be re-tested at award, and reasonable claim may be made for major project materials procured, delivered to site or otherwise secured for the project. This submission is open for acceptance for 60 days; the underlying supplier quotations carry their own validity periods and may be subject to re-quote.</w:t>
      </w:r>
    </w:p>
    <w:p>
      <w:pPr>
        <w:pStyle w:val="Heading2"/>
      </w:pPr>
      <w:r>
        <w:t xml:space="preserve">3.9  Documents not issued to us</w:t>
      </w:r>
    </w:p>
    <w:p>
      <w:pPr>
        <w:spacing w:after="110" w:before="0" w:line="250"/>
      </w:pPr>
      <w:r>
        <w:t xml:space="preserve">The issued tender Document Register lists 43 volumes, of which 32 were not issued to us. We have not received RRC Addenda 1 to 6 (our set begins at Addendum 7), VOL 35 Civil and Field of Play Technical Specifications, or the ITT Section 27 Appendix Folder. VOL 35 is the governing civil specification: any requirement in it beyond CMDG and the issued drawings is unpriced. Queries A7 and A8 refer.</w:t>
      </w:r>
    </w:p>
    <w:p>
      <w:pPr>
        <w:pStyle w:val="Heading1"/>
      </w:pPr>
      <w:r>
        <w:t xml:space="preserve">4.  Description of Proposed Services and Scope of Works</w:t>
      </w:r>
    </w:p>
    <w:p>
      <w:pPr>
        <w:spacing w:after="110" w:before="0" w:line="250"/>
      </w:pPr>
      <w:r>
        <w:t xml:space="preserve">Construction of civil stormwater drainage services for the following work areas:</w:t>
      </w:r>
    </w:p>
    <w:p>
      <w:pPr>
        <w:pStyle w:val="ListParagraph"/>
        <w:numPr>
          <w:ilvl w:val="0"/>
          <w:numId w:val="2"/>
        </w:numPr>
        <w:spacing w:after="70" w:line="250"/>
      </w:pPr>
      <w:r>
        <w:rPr>
          <w:b/>
          <w:bCs/>
        </w:rPr>
        <w:t xml:space="preserve">Stage 1A – stormwater drainage. </w:t>
      </w:r>
      <w:r>
        <w:t xml:space="preserve">The civil stormwater network to the roads, carpark, netball courts and surrounds as drawn on the civil sheets: pipe drainage, box culverts C01 to C10, precast pits and access chambers, road gully inlets, headwalls and rock protection, and the outlet works to the documented basin (Schedule 3 item 2.5, including the drainage component of item 2.3).</w:t>
      </w:r>
    </w:p>
    <w:p>
      <w:pPr>
        <w:pStyle w:val="ListParagraph"/>
        <w:numPr>
          <w:ilvl w:val="0"/>
          <w:numId w:val="2"/>
        </w:numPr>
        <w:spacing w:after="70" w:line="250"/>
      </w:pPr>
      <w:r>
        <w:rPr>
          <w:b/>
          <w:bCs/>
        </w:rPr>
        <w:t xml:space="preserve">Stage 1A – grated trench drainage. </w:t>
      </w:r>
      <w:r>
        <w:t xml:space="preserve">Runs GT1 to GT4 and GT7 to GT9 with their trash boxes, end caps and connection pits, including their excavation and quarry material (Schedule 3 item 3.5).</w:t>
      </w:r>
    </w:p>
    <w:p>
      <w:pPr>
        <w:pStyle w:val="ListParagraph"/>
        <w:numPr>
          <w:ilvl w:val="0"/>
          <w:numId w:val="2"/>
        </w:numPr>
        <w:spacing w:after="70" w:line="250"/>
      </w:pPr>
      <w:r>
        <w:rPr>
          <w:b/>
          <w:bCs/>
        </w:rPr>
        <w:t xml:space="preserve">Stage 1A – WSUD filtration installation. </w:t>
      </w:r>
      <w:r>
        <w:t xml:space="preserve">Installation of the stormwater filtration manhole and its cartridges, the cartridge and internals supply and delivery being carried separately as a prime cost sum (Schedule 3 item 2.5).</w:t>
      </w:r>
    </w:p>
    <w:p>
      <w:pPr>
        <w:pStyle w:val="ListParagraph"/>
        <w:numPr>
          <w:ilvl w:val="0"/>
          <w:numId w:val="2"/>
        </w:numPr>
        <w:spacing w:after="70" w:line="250"/>
      </w:pPr>
      <w:r>
        <w:rPr>
          <w:b/>
          <w:bCs/>
        </w:rPr>
        <w:t xml:space="preserve">Stage 1B – stormwater drainage. </w:t>
      </w:r>
      <w:r>
        <w:t xml:space="preserve">The civil stormwater within the Stage 1B extent: grated trench runs GT5 and GT6 with their trash boxes and end caps, and drainage lines 60, 61 and 83 with their connections (Schedule 3 item 2.3).</w:t>
      </w:r>
    </w:p>
    <w:p>
      <w:pPr>
        <w:spacing w:after="110" w:before="60" w:line="250"/>
      </w:pPr>
      <w:r>
        <w:t xml:space="preserve">This submission includes the civil stormwater preliminaries, supply, installation, excavation, bedding, backfill, compaction and compaction testing, testing and CCTV, as-constructed documentation and ADAC data necessary to deliver the included civil stormwater scope only. The works are those expressly listed in the Work Area Pricing Summary at Section 6 and the Noted Inclusions at Section 8, read with the exclusions, qualifications and departures at Section 12.</w:t>
      </w:r>
    </w:p>
    <w:p>
      <w:pPr>
        <w:pStyle w:val="Heading1"/>
      </w:pPr>
      <w:r>
        <w:t xml:space="preserve">5.  Drawing and Documentation Packages</w:t>
      </w:r>
    </w:p>
    <w:p>
      <w:pPr>
        <w:pStyle w:val="ListParagraph"/>
        <w:numPr>
          <w:ilvl w:val="0"/>
          <w:numId w:val="2"/>
        </w:numPr>
        <w:spacing w:after="70" w:line="250"/>
      </w:pPr>
      <w:r>
        <w:t xml:space="preserve">Civil stormwater drawings SE_12306_F1300 to F1305 (layouts), F1310 (pit schedule), F1320 to F1325 (details, grated trench and WSUD schedules) and F1350 to F1363 (long sections), all Revision T1 dated 17 June 2026.</w:t>
      </w:r>
    </w:p>
    <w:p>
      <w:pPr>
        <w:pStyle w:val="ListParagraph"/>
        <w:numPr>
          <w:ilvl w:val="0"/>
          <w:numId w:val="2"/>
        </w:numPr>
        <w:spacing w:after="70" w:line="250"/>
      </w:pPr>
      <w:r>
        <w:t xml:space="preserve">Stormwater Design Report SE_12306_RPT006_B Revision B, issued with Addendum 8, sections 6.1, 7.4 and 9.1 in particular.</w:t>
      </w:r>
    </w:p>
    <w:p>
      <w:pPr>
        <w:pStyle w:val="ListParagraph"/>
        <w:numPr>
          <w:ilvl w:val="0"/>
          <w:numId w:val="2"/>
        </w:numPr>
        <w:spacing w:after="70" w:line="250"/>
      </w:pPr>
      <w:r>
        <w:t xml:space="preserve">Geotechnical Investigation Report NQL2024-0320 AC Rev 0, CMW Geosciences, 6 November 2025.</w:t>
      </w:r>
    </w:p>
    <w:p>
      <w:pPr>
        <w:pStyle w:val="ListParagraph"/>
        <w:numPr>
          <w:ilvl w:val="0"/>
          <w:numId w:val="2"/>
        </w:numPr>
        <w:spacing w:after="70" w:line="250"/>
      </w:pPr>
      <w:r>
        <w:t xml:space="preserve">Instructions to Tenderers Part 2, and Tender Schedule 3 pricing schedules for Stage 1A and Stage 1B.</w:t>
      </w:r>
    </w:p>
    <w:p>
      <w:pPr>
        <w:pStyle w:val="ListParagraph"/>
        <w:numPr>
          <w:ilvl w:val="0"/>
          <w:numId w:val="2"/>
        </w:numPr>
        <w:spacing w:after="70" w:line="250"/>
      </w:pPr>
      <w:r>
        <w:t xml:space="preserve">Stage plan VOL 20 SE_12306_SKT_CMP Revision B, for the stage hatch boundaries.</w:t>
      </w:r>
    </w:p>
    <w:p>
      <w:pPr>
        <w:pStyle w:val="ListParagraph"/>
        <w:numPr>
          <w:ilvl w:val="0"/>
          <w:numId w:val="2"/>
        </w:numPr>
        <w:spacing w:after="70" w:line="250"/>
      </w:pPr>
      <w:r>
        <w:t xml:space="preserve">Hydraulic drawings H002 and H003 Revision T1, reviewed to the extent they set the drawing notes, the tendered rate requirements at note 24 and the building stormwater connection boundary.</w:t>
      </w:r>
    </w:p>
    <w:p>
      <w:pPr>
        <w:pStyle w:val="ListParagraph"/>
        <w:numPr>
          <w:ilvl w:val="0"/>
          <w:numId w:val="2"/>
        </w:numPr>
        <w:spacing w:after="70" w:line="250"/>
      </w:pPr>
      <w:r>
        <w:t xml:space="preserve">Capricorn Municipal Development Guidelines standard drawings, including CMDG-D-020, CMDG-D-030 and CMDG-D-040/041; and Department of Transport and Main Roads standard drawings SD1250 and SD1260 where nominated.</w:t>
      </w:r>
    </w:p>
    <w:p>
      <w:pPr>
        <w:pStyle w:val="ListParagraph"/>
        <w:numPr>
          <w:ilvl w:val="0"/>
          <w:numId w:val="2"/>
        </w:numPr>
        <w:spacing w:after="70" w:line="250"/>
      </w:pPr>
      <w:r>
        <w:t xml:space="preserve">Addenda 7, 8, 9 and 10 and the tender clarifications circulated to date. Addenda 1 to 6 and the volumes listed at Section 3.9 were not issued to us.</w:t>
      </w:r>
    </w:p>
    <w:p>
      <w:pPr>
        <w:pStyle w:val="Heading1"/>
      </w:pPr>
      <w:r>
        <w:t xml:space="preserve">6.  Work Area Pricing Summary – transfer to Tender Schedule 3</w:t>
      </w:r>
    </w:p>
    <w:p>
      <w:pPr>
        <w:spacing w:after="110" w:before="0" w:line="250"/>
      </w:pPr>
      <w:r>
        <w:t xml:space="preserve">Prices are presented against your own Schedule 3 line references so that they transfer without interpretation.</w:t>
      </w:r>
    </w:p>
    <w:tbl>
      <w:tblPr>
        <w:tblW w:type="dxa" w:w="10034"/>
        <w:tblBorders>
          <w:top w:val="single" w:color="9AB3CC" w:sz="4"/>
          <w:left w:val="single" w:color="9AB3CC" w:sz="4"/>
          <w:bottom w:val="single" w:color="9AB3CC" w:sz="4"/>
          <w:right w:val="single" w:color="9AB3CC" w:sz="4"/>
          <w:insideH w:val="single" w:color="9AB3CC" w:sz="2"/>
          <w:insideV w:val="single" w:color="9AB3CC" w:sz="2"/>
        </w:tblBorders>
      </w:tblPr>
      <w:tblGrid>
        <w:gridCol w:w="1100"/>
        <w:gridCol w:w="2600"/>
        <w:gridCol w:w="1700"/>
        <w:gridCol w:w="4634"/>
      </w:tblGrid>
      <w:tr>
        <w:trPr>
          <w:tblHeader/>
        </w:trPr>
        <w:tc>
          <w:tcPr>
            <w:tcW w:type="dxa" w:w="1100"/>
            <w:shd w:fill="1F4E79" w:color="auto" w:val="clear"/>
            <w:tcMar>
              <w:top w:type="dxa" w:w="40"/>
              <w:left w:type="dxa" w:w="90"/>
              <w:bottom w:type="dxa" w:w="40"/>
              <w:right w:type="dxa" w:w="90"/>
            </w:tcMar>
            <w:vAlign w:val="center"/>
          </w:tcPr>
          <w:p>
            <w:pPr>
              <w:spacing w:after="40" w:before="40" w:line="240"/>
            </w:pPr>
            <w:r>
              <w:rPr>
                <w:b/>
                <w:bCs/>
                <w:color w:val="FFFFFF"/>
                <w:sz w:val="20"/>
                <w:szCs w:val="20"/>
              </w:rPr>
              <w:t xml:space="preserve">Sch 3 ref</w:t>
            </w:r>
          </w:p>
        </w:tc>
        <w:tc>
          <w:tcPr>
            <w:tcW w:type="dxa" w:w="2600"/>
            <w:shd w:fill="1F4E79" w:color="auto" w:val="clear"/>
            <w:tcMar>
              <w:top w:type="dxa" w:w="40"/>
              <w:left w:type="dxa" w:w="90"/>
              <w:bottom w:type="dxa" w:w="40"/>
              <w:right w:type="dxa" w:w="90"/>
            </w:tcMar>
            <w:vAlign w:val="center"/>
          </w:tcPr>
          <w:p>
            <w:pPr>
              <w:spacing w:after="40" w:before="40" w:line="240"/>
            </w:pPr>
            <w:r>
              <w:rPr>
                <w:b/>
                <w:bCs/>
                <w:color w:val="FFFFFF"/>
                <w:sz w:val="20"/>
                <w:szCs w:val="20"/>
              </w:rPr>
              <w:t xml:space="preserve">Work area / item</w:t>
            </w:r>
          </w:p>
        </w:tc>
        <w:tc>
          <w:tcPr>
            <w:tcW w:type="dxa" w:w="1700"/>
            <w:shd w:fill="1F4E79" w:color="auto" w:val="clear"/>
            <w:tcMar>
              <w:top w:type="dxa" w:w="40"/>
              <w:left w:type="dxa" w:w="90"/>
              <w:bottom w:type="dxa" w:w="40"/>
              <w:right w:type="dxa" w:w="90"/>
            </w:tcMar>
            <w:vAlign w:val="center"/>
          </w:tcPr>
          <w:p>
            <w:pPr>
              <w:spacing w:after="40" w:before="40" w:line="240"/>
            </w:pPr>
            <w:r>
              <w:rPr>
                <w:b/>
                <w:bCs/>
                <w:color w:val="FFFFFF"/>
                <w:sz w:val="20"/>
                <w:szCs w:val="20"/>
              </w:rPr>
              <w:t xml:space="preserve">Amount ex GST</w:t>
            </w:r>
          </w:p>
        </w:tc>
        <w:tc>
          <w:tcPr>
            <w:tcW w:type="dxa" w:w="4634"/>
            <w:shd w:fill="1F4E79" w:color="auto" w:val="clear"/>
            <w:tcMar>
              <w:top w:type="dxa" w:w="40"/>
              <w:left w:type="dxa" w:w="90"/>
              <w:bottom w:type="dxa" w:w="40"/>
              <w:right w:type="dxa" w:w="90"/>
            </w:tcMar>
            <w:vAlign w:val="center"/>
          </w:tcPr>
          <w:p>
            <w:pPr>
              <w:spacing w:after="40" w:before="40" w:line="240"/>
            </w:pPr>
            <w:r>
              <w:rPr>
                <w:b/>
                <w:bCs/>
                <w:color w:val="FFFFFF"/>
                <w:sz w:val="20"/>
                <w:szCs w:val="20"/>
              </w:rPr>
              <w:t xml:space="preserve">Clarification</w:t>
            </w:r>
          </w:p>
        </w:tc>
      </w:tr>
      <w:tr>
        <w:tc>
          <w:tcPr>
            <w:tcW w:type="dxa" w:w="1100"/>
            <w:tcMar>
              <w:top w:type="dxa" w:w="40"/>
              <w:left w:type="dxa" w:w="90"/>
              <w:bottom w:type="dxa" w:w="40"/>
              <w:right w:type="dxa" w:w="90"/>
            </w:tcMar>
            <w:vAlign w:val="center"/>
          </w:tcPr>
          <w:p>
            <w:pPr>
              <w:spacing w:after="40" w:before="40" w:line="240"/>
            </w:pPr>
            <w:r>
              <w:rPr>
                <w:sz w:val="19"/>
                <w:szCs w:val="19"/>
              </w:rPr>
              <w:t xml:space="preserve">1A – 2.3</w:t>
            </w:r>
          </w:p>
        </w:tc>
        <w:tc>
          <w:tcPr>
            <w:tcW w:type="dxa" w:w="2600"/>
            <w:tcMar>
              <w:top w:type="dxa" w:w="40"/>
              <w:left w:type="dxa" w:w="90"/>
              <w:bottom w:type="dxa" w:w="40"/>
              <w:right w:type="dxa" w:w="90"/>
            </w:tcMar>
            <w:vAlign w:val="center"/>
          </w:tcPr>
          <w:p>
            <w:pPr>
              <w:spacing w:after="40" w:before="40" w:line="240"/>
            </w:pPr>
            <w:r>
              <w:rPr>
                <w:sz w:val="19"/>
                <w:szCs w:val="19"/>
              </w:rPr>
              <w:t xml:space="preserve">Road and Carpark – Drainage, retaining structures and protective treatments</w:t>
            </w:r>
          </w:p>
        </w:tc>
        <w:tc>
          <w:tcPr>
            <w:tcW w:type="dxa" w:w="1700"/>
            <w:tcMar>
              <w:top w:type="dxa" w:w="40"/>
              <w:left w:type="dxa" w:w="90"/>
              <w:bottom w:type="dxa" w:w="40"/>
              <w:right w:type="dxa" w:w="90"/>
            </w:tcMar>
            <w:vAlign w:val="center"/>
          </w:tcPr>
          <w:p>
            <w:pPr>
              <w:spacing w:after="40" w:before="40" w:line="240"/>
            </w:pPr>
            <w:r>
              <w:rPr>
                <w:sz w:val="19"/>
                <w:szCs w:val="19"/>
              </w:rPr>
              <w:t xml:space="preserve">Priced at 1A 2.5</w:t>
            </w:r>
          </w:p>
        </w:tc>
        <w:tc>
          <w:tcPr>
            <w:tcW w:type="dxa" w:w="4634"/>
            <w:tcMar>
              <w:top w:type="dxa" w:w="40"/>
              <w:left w:type="dxa" w:w="90"/>
              <w:bottom w:type="dxa" w:w="40"/>
              <w:right w:type="dxa" w:w="90"/>
            </w:tcMar>
            <w:vAlign w:val="center"/>
          </w:tcPr>
          <w:p>
            <w:pPr>
              <w:spacing w:after="40" w:before="40" w:line="240"/>
            </w:pPr>
            <w:r>
              <w:rPr>
                <w:sz w:val="19"/>
                <w:szCs w:val="19"/>
              </w:rPr>
              <w:t xml:space="preserve">The drainage component only, mapped into item 2.5 so that each drainage line is priced once and nothing is double-counted. Retaining structures and protective treatments are not ours.</w:t>
            </w:r>
          </w:p>
        </w:tc>
      </w:tr>
      <w:tr>
        <w:tc>
          <w:tcPr>
            <w:tcW w:type="dxa" w:w="1100"/>
            <w:tcMar>
              <w:top w:type="dxa" w:w="40"/>
              <w:left w:type="dxa" w:w="90"/>
              <w:bottom w:type="dxa" w:w="40"/>
              <w:right w:type="dxa" w:w="90"/>
            </w:tcMar>
            <w:vAlign w:val="center"/>
          </w:tcPr>
          <w:p>
            <w:pPr>
              <w:spacing w:after="40" w:before="40" w:line="240"/>
            </w:pPr>
            <w:r>
              <w:rPr>
                <w:sz w:val="19"/>
                <w:szCs w:val="19"/>
              </w:rPr>
              <w:t xml:space="preserve">1A – 2.5</w:t>
            </w:r>
          </w:p>
        </w:tc>
        <w:tc>
          <w:tcPr>
            <w:tcW w:type="dxa" w:w="2600"/>
            <w:tcMar>
              <w:top w:type="dxa" w:w="40"/>
              <w:left w:type="dxa" w:w="90"/>
              <w:bottom w:type="dxa" w:w="40"/>
              <w:right w:type="dxa" w:w="90"/>
            </w:tcMar>
            <w:vAlign w:val="center"/>
          </w:tcPr>
          <w:p>
            <w:pPr>
              <w:spacing w:after="40" w:before="40" w:line="240"/>
            </w:pPr>
            <w:r>
              <w:rPr>
                <w:sz w:val="19"/>
                <w:szCs w:val="19"/>
              </w:rPr>
              <w:t xml:space="preserve">Stormwater drainage</w:t>
            </w:r>
          </w:p>
        </w:tc>
        <w:tc>
          <w:tcPr>
            <w:tcW w:type="dxa" w:w="1700"/>
            <w:tcMar>
              <w:top w:type="dxa" w:w="40"/>
              <w:left w:type="dxa" w:w="90"/>
              <w:bottom w:type="dxa" w:w="40"/>
              <w:right w:type="dxa" w:w="90"/>
            </w:tcMar>
            <w:vAlign w:val="center"/>
          </w:tcPr>
          <w:p>
            <w:pPr>
              <w:spacing w:after="40" w:before="40" w:line="240"/>
              <w:jc w:val="right"/>
            </w:pPr>
            <w:r>
              <w:rPr>
                <w:sz w:val="19"/>
                <w:szCs w:val="19"/>
              </w:rPr>
              <w:t xml:space="preserve">$2,204,088.48</w:t>
            </w:r>
          </w:p>
        </w:tc>
        <w:tc>
          <w:tcPr>
            <w:tcW w:type="dxa" w:w="4634"/>
            <w:tcMar>
              <w:top w:type="dxa" w:w="40"/>
              <w:left w:type="dxa" w:w="90"/>
              <w:bottom w:type="dxa" w:w="40"/>
              <w:right w:type="dxa" w:w="90"/>
            </w:tcMar>
            <w:vAlign w:val="center"/>
          </w:tcPr>
          <w:p>
            <w:pPr>
              <w:spacing w:after="40" w:before="40" w:line="240"/>
            </w:pPr>
            <w:r>
              <w:rPr>
                <w:sz w:val="19"/>
                <w:szCs w:val="19"/>
              </w:rPr>
              <w:t xml:space="preserve">Pipes, box culverts C01–C10, pits, access chambers, road gully inlets, headwalls, rock protection, basin outlet works and the WSUD installation. Includes the item 2.3 drainage component.</w:t>
            </w:r>
          </w:p>
        </w:tc>
      </w:tr>
      <w:tr>
        <w:tc>
          <w:tcPr>
            <w:tcW w:type="dxa" w:w="1100"/>
            <w:tcMar>
              <w:top w:type="dxa" w:w="40"/>
              <w:left w:type="dxa" w:w="90"/>
              <w:bottom w:type="dxa" w:w="40"/>
              <w:right w:type="dxa" w:w="90"/>
            </w:tcMar>
            <w:vAlign w:val="center"/>
          </w:tcPr>
          <w:p>
            <w:pPr>
              <w:spacing w:after="40" w:before="40" w:line="240"/>
            </w:pPr>
            <w:r>
              <w:rPr>
                <w:sz w:val="19"/>
                <w:szCs w:val="19"/>
              </w:rPr>
              <w:t xml:space="preserve">1A – 2.5</w:t>
            </w:r>
          </w:p>
        </w:tc>
        <w:tc>
          <w:tcPr>
            <w:tcW w:type="dxa" w:w="2600"/>
            <w:tcMar>
              <w:top w:type="dxa" w:w="40"/>
              <w:left w:type="dxa" w:w="90"/>
              <w:bottom w:type="dxa" w:w="40"/>
              <w:right w:type="dxa" w:w="90"/>
            </w:tcMar>
            <w:vAlign w:val="center"/>
          </w:tcPr>
          <w:p>
            <w:pPr>
              <w:spacing w:after="40" w:before="40" w:line="240"/>
            </w:pPr>
            <w:r>
              <w:rPr>
                <w:sz w:val="19"/>
                <w:szCs w:val="19"/>
              </w:rPr>
              <w:t xml:space="preserve">Retention Basin</w:t>
            </w:r>
          </w:p>
        </w:tc>
        <w:tc>
          <w:tcPr>
            <w:tcW w:type="dxa" w:w="1700"/>
            <w:tcMar>
              <w:top w:type="dxa" w:w="40"/>
              <w:left w:type="dxa" w:w="90"/>
              <w:bottom w:type="dxa" w:w="40"/>
              <w:right w:type="dxa" w:w="90"/>
            </w:tcMar>
            <w:vAlign w:val="center"/>
          </w:tcPr>
          <w:p>
            <w:pPr>
              <w:spacing w:after="40" w:before="40" w:line="240"/>
            </w:pPr>
            <w:r>
              <w:rPr>
                <w:sz w:val="19"/>
                <w:szCs w:val="19"/>
              </w:rPr>
              <w:t xml:space="preserve">Nil – see clarification</w:t>
            </w:r>
          </w:p>
        </w:tc>
        <w:tc>
          <w:tcPr>
            <w:tcW w:type="dxa" w:w="4634"/>
            <w:tcMar>
              <w:top w:type="dxa" w:w="40"/>
              <w:left w:type="dxa" w:w="90"/>
              <w:bottom w:type="dxa" w:w="40"/>
              <w:right w:type="dxa" w:w="90"/>
            </w:tcMar>
            <w:vAlign w:val="center"/>
          </w:tcPr>
          <w:p>
            <w:pPr>
              <w:spacing w:after="40" w:before="40" w:line="240"/>
            </w:pPr>
            <w:r>
              <w:rPr>
                <w:sz w:val="19"/>
                <w:szCs w:val="19"/>
              </w:rPr>
              <w:t xml:space="preserve">The drawings document a detention basin. Its outlet culvert, headwalls and rock pads are priced within Stormwater drainage above. The basin bulk shaping, embankment earthworks and the 50 m concrete spillway weir are not priced – Query B5 refers.</w:t>
            </w:r>
          </w:p>
        </w:tc>
      </w:tr>
      <w:tr>
        <w:tc>
          <w:tcPr>
            <w:tcW w:type="dxa" w:w="1100"/>
            <w:tcMar>
              <w:top w:type="dxa" w:w="40"/>
              <w:left w:type="dxa" w:w="90"/>
              <w:bottom w:type="dxa" w:w="40"/>
              <w:right w:type="dxa" w:w="90"/>
            </w:tcMar>
            <w:vAlign w:val="center"/>
          </w:tcPr>
          <w:p>
            <w:pPr>
              <w:spacing w:after="40" w:before="40" w:line="240"/>
            </w:pPr>
            <w:r>
              <w:rPr>
                <w:sz w:val="19"/>
                <w:szCs w:val="19"/>
              </w:rPr>
              <w:t xml:space="preserve">1A – 2.5</w:t>
            </w:r>
          </w:p>
        </w:tc>
        <w:tc>
          <w:tcPr>
            <w:tcW w:type="dxa" w:w="2600"/>
            <w:tcMar>
              <w:top w:type="dxa" w:w="40"/>
              <w:left w:type="dxa" w:w="90"/>
              <w:bottom w:type="dxa" w:w="40"/>
              <w:right w:type="dxa" w:w="90"/>
            </w:tcMar>
            <w:vAlign w:val="center"/>
          </w:tcPr>
          <w:p>
            <w:pPr>
              <w:spacing w:after="40" w:before="40" w:line="240"/>
            </w:pPr>
            <w:r>
              <w:rPr>
                <w:sz w:val="19"/>
                <w:szCs w:val="19"/>
              </w:rPr>
              <w:t xml:space="preserve">WSUD Basin?  (as titled in the schedule)</w:t>
            </w:r>
          </w:p>
        </w:tc>
        <w:tc>
          <w:tcPr>
            <w:tcW w:type="dxa" w:w="1700"/>
            <w:tcMar>
              <w:top w:type="dxa" w:w="40"/>
              <w:left w:type="dxa" w:w="90"/>
              <w:bottom w:type="dxa" w:w="40"/>
              <w:right w:type="dxa" w:w="90"/>
            </w:tcMar>
            <w:vAlign w:val="center"/>
          </w:tcPr>
          <w:p>
            <w:pPr>
              <w:spacing w:after="40" w:before="40" w:line="240"/>
              <w:jc w:val="right"/>
            </w:pPr>
            <w:r>
              <w:rPr>
                <w:sz w:val="19"/>
                <w:szCs w:val="19"/>
              </w:rPr>
              <w:t xml:space="preserve">$111,787.74</w:t>
            </w:r>
          </w:p>
        </w:tc>
        <w:tc>
          <w:tcPr>
            <w:tcW w:type="dxa" w:w="4634"/>
            <w:tcMar>
              <w:top w:type="dxa" w:w="40"/>
              <w:left w:type="dxa" w:w="90"/>
              <w:bottom w:type="dxa" w:w="40"/>
              <w:right w:type="dxa" w:w="90"/>
            </w:tcMar>
            <w:vAlign w:val="center"/>
          </w:tcPr>
          <w:p>
            <w:pPr>
              <w:spacing w:after="40" w:before="40" w:line="240"/>
            </w:pPr>
            <w:r>
              <w:rPr>
                <w:sz w:val="19"/>
                <w:szCs w:val="19"/>
              </w:rPr>
              <w:t xml:space="preserve">PC sum – supply and delivery of the StormFilter cartridges and internals plus 15%. Installation is in the Stormwater drainage lump sum. Refer Section 9.</w:t>
            </w:r>
          </w:p>
        </w:tc>
      </w:tr>
      <w:tr>
        <w:tc>
          <w:tcPr>
            <w:tcW w:type="dxa" w:w="1100"/>
            <w:tcMar>
              <w:top w:type="dxa" w:w="40"/>
              <w:left w:type="dxa" w:w="90"/>
              <w:bottom w:type="dxa" w:w="40"/>
              <w:right w:type="dxa" w:w="90"/>
            </w:tcMar>
            <w:vAlign w:val="center"/>
          </w:tcPr>
          <w:p>
            <w:pPr>
              <w:spacing w:after="40" w:before="40" w:line="240"/>
            </w:pPr>
            <w:r>
              <w:rPr>
                <w:sz w:val="19"/>
                <w:szCs w:val="19"/>
              </w:rPr>
              <w:t xml:space="preserve">1A – 3.5</w:t>
            </w:r>
          </w:p>
        </w:tc>
        <w:tc>
          <w:tcPr>
            <w:tcW w:type="dxa" w:w="2600"/>
            <w:tcMar>
              <w:top w:type="dxa" w:w="40"/>
              <w:left w:type="dxa" w:w="90"/>
              <w:bottom w:type="dxa" w:w="40"/>
              <w:right w:type="dxa" w:w="90"/>
            </w:tcMar>
            <w:vAlign w:val="center"/>
          </w:tcPr>
          <w:p>
            <w:pPr>
              <w:spacing w:after="40" w:before="40" w:line="240"/>
            </w:pPr>
            <w:r>
              <w:rPr>
                <w:sz w:val="19"/>
                <w:szCs w:val="19"/>
              </w:rPr>
              <w:t xml:space="preserve">Grated trench drains and pits</w:t>
            </w:r>
          </w:p>
        </w:tc>
        <w:tc>
          <w:tcPr>
            <w:tcW w:type="dxa" w:w="1700"/>
            <w:tcMar>
              <w:top w:type="dxa" w:w="40"/>
              <w:left w:type="dxa" w:w="90"/>
              <w:bottom w:type="dxa" w:w="40"/>
              <w:right w:type="dxa" w:w="90"/>
            </w:tcMar>
            <w:vAlign w:val="center"/>
          </w:tcPr>
          <w:p>
            <w:pPr>
              <w:spacing w:after="40" w:before="40" w:line="240"/>
              <w:jc w:val="right"/>
            </w:pPr>
            <w:r>
              <w:rPr>
                <w:sz w:val="19"/>
                <w:szCs w:val="19"/>
              </w:rPr>
              <w:t xml:space="preserve">$557,726.50</w:t>
            </w:r>
          </w:p>
        </w:tc>
        <w:tc>
          <w:tcPr>
            <w:tcW w:type="dxa" w:w="4634"/>
            <w:tcMar>
              <w:top w:type="dxa" w:w="40"/>
              <w:left w:type="dxa" w:w="90"/>
              <w:bottom w:type="dxa" w:w="40"/>
              <w:right w:type="dxa" w:w="90"/>
            </w:tcMar>
            <w:vAlign w:val="center"/>
          </w:tcPr>
          <w:p>
            <w:pPr>
              <w:spacing w:after="40" w:before="40" w:line="240"/>
            </w:pPr>
            <w:r>
              <w:rPr>
                <w:sz w:val="19"/>
                <w:szCs w:val="19"/>
              </w:rPr>
              <w:t xml:space="preserve">GT1–GT4 and GT7–GT9, trash boxes, end caps and connection pits, including excavation and quarry material. Priced by TriCore Civil Services notwithstanding the “Hydraulic” heading, these works being drawn on the civil sheets.</w:t>
            </w:r>
          </w:p>
        </w:tc>
      </w:tr>
      <w:tr>
        <w:tc>
          <w:tcPr>
            <w:tcW w:type="dxa" w:w="1100"/>
            <w:shd w:fill="EAF0F7" w:color="auto" w:val="clear"/>
            <w:tcMar>
              <w:top w:type="dxa" w:w="40"/>
              <w:left w:type="dxa" w:w="90"/>
              <w:bottom w:type="dxa" w:w="40"/>
              <w:right w:type="dxa" w:w="90"/>
            </w:tcMar>
            <w:vAlign w:val="center"/>
          </w:tcPr>
          <w:p>
            <w:pPr>
              <w:spacing w:after="40" w:before="40" w:line="240"/>
            </w:pPr>
            <w:r>
              <w:rPr>
                <w:b/>
                <w:bCs/>
                <w:sz w:val="19"/>
                <w:szCs w:val="19"/>
              </w:rPr>
              <w:t xml:space="preserve">1A</w:t>
            </w:r>
          </w:p>
        </w:tc>
        <w:tc>
          <w:tcPr>
            <w:tcW w:type="dxa" w:w="2600"/>
            <w:shd w:fill="EAF0F7" w:color="auto" w:val="clear"/>
            <w:tcMar>
              <w:top w:type="dxa" w:w="40"/>
              <w:left w:type="dxa" w:w="90"/>
              <w:bottom w:type="dxa" w:w="40"/>
              <w:right w:type="dxa" w:w="90"/>
            </w:tcMar>
            <w:vAlign w:val="center"/>
          </w:tcPr>
          <w:p>
            <w:pPr>
              <w:spacing w:after="40" w:before="40" w:line="240"/>
            </w:pPr>
            <w:r>
              <w:rPr>
                <w:b/>
                <w:bCs/>
                <w:sz w:val="19"/>
                <w:szCs w:val="19"/>
              </w:rPr>
              <w:t xml:space="preserve">Stage 1A total (excluding GST)</w:t>
            </w:r>
          </w:p>
        </w:tc>
        <w:tc>
          <w:tcPr>
            <w:tcW w:type="dxa" w:w="1700"/>
            <w:shd w:fill="EAF0F7" w:color="auto" w:val="clear"/>
            <w:tcMar>
              <w:top w:type="dxa" w:w="40"/>
              <w:left w:type="dxa" w:w="90"/>
              <w:bottom w:type="dxa" w:w="40"/>
              <w:right w:type="dxa" w:w="90"/>
            </w:tcMar>
            <w:vAlign w:val="center"/>
          </w:tcPr>
          <w:p>
            <w:pPr>
              <w:spacing w:after="40" w:before="40" w:line="240"/>
              <w:jc w:val="right"/>
            </w:pPr>
            <w:r>
              <w:rPr>
                <w:b/>
                <w:bCs/>
                <w:sz w:val="19"/>
                <w:szCs w:val="19"/>
              </w:rPr>
              <w:t xml:space="preserve">$2,873,602.72</w:t>
            </w:r>
          </w:p>
        </w:tc>
        <w:tc>
          <w:tcPr>
            <w:tcW w:type="dxa" w:w="4634"/>
            <w:shd w:fill="EAF0F7" w:color="auto" w:val="clear"/>
            <w:tcMar>
              <w:top w:type="dxa" w:w="40"/>
              <w:left w:type="dxa" w:w="90"/>
              <w:bottom w:type="dxa" w:w="40"/>
              <w:right w:type="dxa" w:w="90"/>
            </w:tcMar>
            <w:vAlign w:val="center"/>
          </w:tcPr>
          <w:p>
            <w:pPr>
              <w:spacing w:after="40" w:before="40" w:line="240"/>
            </w:pPr>
            <w:r>
              <w:rPr>
                <w:b/>
                <w:bCs/>
                <w:sz w:val="19"/>
                <w:szCs w:val="19"/>
              </w:rPr>
              <w:t xml:space="preserve"/>
            </w:r>
          </w:p>
        </w:tc>
      </w:tr>
      <w:tr>
        <w:tc>
          <w:tcPr>
            <w:tcW w:type="dxa" w:w="1100"/>
            <w:tcMar>
              <w:top w:type="dxa" w:w="40"/>
              <w:left w:type="dxa" w:w="90"/>
              <w:bottom w:type="dxa" w:w="40"/>
              <w:right w:type="dxa" w:w="90"/>
            </w:tcMar>
            <w:vAlign w:val="center"/>
          </w:tcPr>
          <w:p>
            <w:pPr>
              <w:spacing w:after="40" w:before="40" w:line="240"/>
            </w:pPr>
            <w:r>
              <w:rPr>
                <w:sz w:val="19"/>
                <w:szCs w:val="19"/>
              </w:rPr>
              <w:t xml:space="preserve">1A – 7.0</w:t>
            </w:r>
          </w:p>
        </w:tc>
        <w:tc>
          <w:tcPr>
            <w:tcW w:type="dxa" w:w="2600"/>
            <w:tcMar>
              <w:top w:type="dxa" w:w="40"/>
              <w:left w:type="dxa" w:w="90"/>
              <w:bottom w:type="dxa" w:w="40"/>
              <w:right w:type="dxa" w:w="90"/>
            </w:tcMar>
            <w:vAlign w:val="center"/>
          </w:tcPr>
          <w:p>
            <w:pPr>
              <w:spacing w:after="40" w:before="40" w:line="240"/>
            </w:pPr>
            <w:r>
              <w:rPr>
                <w:sz w:val="19"/>
                <w:szCs w:val="19"/>
              </w:rPr>
              <w:t xml:space="preserve">Schedule of Rates – Provisions</w:t>
            </w:r>
          </w:p>
        </w:tc>
        <w:tc>
          <w:tcPr>
            <w:tcW w:type="dxa" w:w="1700"/>
            <w:tcMar>
              <w:top w:type="dxa" w:w="40"/>
              <w:left w:type="dxa" w:w="90"/>
              <w:bottom w:type="dxa" w:w="40"/>
              <w:right w:type="dxa" w:w="90"/>
            </w:tcMar>
            <w:vAlign w:val="center"/>
          </w:tcPr>
          <w:p>
            <w:pPr>
              <w:spacing w:after="40" w:before="40" w:line="240"/>
            </w:pPr>
            <w:r>
              <w:rPr>
                <w:sz w:val="19"/>
                <w:szCs w:val="19"/>
              </w:rPr>
              <w:t xml:space="preserve">Rates only</w:t>
            </w:r>
          </w:p>
        </w:tc>
        <w:tc>
          <w:tcPr>
            <w:tcW w:type="dxa" w:w="4634"/>
            <w:tcMar>
              <w:top w:type="dxa" w:w="40"/>
              <w:left w:type="dxa" w:w="90"/>
              <w:bottom w:type="dxa" w:w="40"/>
              <w:right w:type="dxa" w:w="90"/>
            </w:tcMar>
            <w:vAlign w:val="center"/>
          </w:tcPr>
          <w:p>
            <w:pPr>
              <w:spacing w:after="40" w:before="40" w:line="240"/>
            </w:pPr>
            <w:r>
              <w:rPr>
                <w:sz w:val="19"/>
                <w:szCs w:val="19"/>
              </w:rPr>
              <w:t xml:space="preserve">Extra-over rock and unsuitable-ground rates – refer Section 10. These lines carry no quantity and contribute nothing to the tendered sum.</w:t>
            </w:r>
          </w:p>
        </w:tc>
      </w:tr>
      <w:tr>
        <w:tc>
          <w:tcPr>
            <w:tcW w:type="dxa" w:w="1100"/>
            <w:tcMar>
              <w:top w:type="dxa" w:w="40"/>
              <w:left w:type="dxa" w:w="90"/>
              <w:bottom w:type="dxa" w:w="40"/>
              <w:right w:type="dxa" w:w="90"/>
            </w:tcMar>
            <w:vAlign w:val="center"/>
          </w:tcPr>
          <w:p>
            <w:pPr>
              <w:spacing w:after="40" w:before="40" w:line="240"/>
            </w:pPr>
            <w:r>
              <w:rPr>
                <w:sz w:val="19"/>
                <w:szCs w:val="19"/>
              </w:rPr>
              <w:t xml:space="preserve">1B – 2.3</w:t>
            </w:r>
          </w:p>
        </w:tc>
        <w:tc>
          <w:tcPr>
            <w:tcW w:type="dxa" w:w="2600"/>
            <w:tcMar>
              <w:top w:type="dxa" w:w="40"/>
              <w:left w:type="dxa" w:w="90"/>
              <w:bottom w:type="dxa" w:w="40"/>
              <w:right w:type="dxa" w:w="90"/>
            </w:tcMar>
            <w:vAlign w:val="center"/>
          </w:tcPr>
          <w:p>
            <w:pPr>
              <w:spacing w:after="40" w:before="40" w:line="240"/>
            </w:pPr>
            <w:r>
              <w:rPr>
                <w:sz w:val="19"/>
                <w:szCs w:val="19"/>
              </w:rPr>
              <w:t xml:space="preserve">Stormwater drainage</w:t>
            </w:r>
          </w:p>
        </w:tc>
        <w:tc>
          <w:tcPr>
            <w:tcW w:type="dxa" w:w="1700"/>
            <w:tcMar>
              <w:top w:type="dxa" w:w="40"/>
              <w:left w:type="dxa" w:w="90"/>
              <w:bottom w:type="dxa" w:w="40"/>
              <w:right w:type="dxa" w:w="90"/>
            </w:tcMar>
            <w:vAlign w:val="center"/>
          </w:tcPr>
          <w:p>
            <w:pPr>
              <w:spacing w:after="40" w:before="40" w:line="240"/>
              <w:jc w:val="right"/>
            </w:pPr>
            <w:r>
              <w:rPr>
                <w:sz w:val="19"/>
                <w:szCs w:val="19"/>
              </w:rPr>
              <w:t xml:space="preserve">$113,131.26</w:t>
            </w:r>
          </w:p>
        </w:tc>
        <w:tc>
          <w:tcPr>
            <w:tcW w:type="dxa" w:w="4634"/>
            <w:tcMar>
              <w:top w:type="dxa" w:w="40"/>
              <w:left w:type="dxa" w:w="90"/>
              <w:bottom w:type="dxa" w:w="40"/>
              <w:right w:type="dxa" w:w="90"/>
            </w:tcMar>
            <w:vAlign w:val="center"/>
          </w:tcPr>
          <w:p>
            <w:pPr>
              <w:spacing w:after="40" w:before="40" w:line="240"/>
            </w:pPr>
            <w:r>
              <w:rPr>
                <w:sz w:val="19"/>
                <w:szCs w:val="19"/>
              </w:rPr>
              <w:t xml:space="preserve">GT5 and GT6 with trash boxes and end caps, and lines 60, 61 and 83 with connections. Priced standalone with its own establishment.</w:t>
            </w:r>
          </w:p>
        </w:tc>
      </w:tr>
      <w:tr>
        <w:tc>
          <w:tcPr>
            <w:tcW w:type="dxa" w:w="1100"/>
            <w:tcMar>
              <w:top w:type="dxa" w:w="40"/>
              <w:left w:type="dxa" w:w="90"/>
              <w:bottom w:type="dxa" w:w="40"/>
              <w:right w:type="dxa" w:w="90"/>
            </w:tcMar>
            <w:vAlign w:val="center"/>
          </w:tcPr>
          <w:p>
            <w:pPr>
              <w:spacing w:after="40" w:before="40" w:line="240"/>
            </w:pPr>
            <w:r>
              <w:rPr>
                <w:sz w:val="19"/>
                <w:szCs w:val="19"/>
              </w:rPr>
              <w:t xml:space="preserve">1B – 2.3</w:t>
            </w:r>
          </w:p>
        </w:tc>
        <w:tc>
          <w:tcPr>
            <w:tcW w:type="dxa" w:w="2600"/>
            <w:tcMar>
              <w:top w:type="dxa" w:w="40"/>
              <w:left w:type="dxa" w:w="90"/>
              <w:bottom w:type="dxa" w:w="40"/>
              <w:right w:type="dxa" w:w="90"/>
            </w:tcMar>
            <w:vAlign w:val="center"/>
          </w:tcPr>
          <w:p>
            <w:pPr>
              <w:spacing w:after="40" w:before="40" w:line="240"/>
            </w:pPr>
            <w:r>
              <w:rPr>
                <w:sz w:val="19"/>
                <w:szCs w:val="19"/>
              </w:rPr>
              <w:t xml:space="preserve">Retention Basin</w:t>
            </w:r>
          </w:p>
        </w:tc>
        <w:tc>
          <w:tcPr>
            <w:tcW w:type="dxa" w:w="1700"/>
            <w:tcMar>
              <w:top w:type="dxa" w:w="40"/>
              <w:left w:type="dxa" w:w="90"/>
              <w:bottom w:type="dxa" w:w="40"/>
              <w:right w:type="dxa" w:w="90"/>
            </w:tcMar>
            <w:vAlign w:val="center"/>
          </w:tcPr>
          <w:p>
            <w:pPr>
              <w:spacing w:after="40" w:before="40" w:line="240"/>
            </w:pPr>
            <w:r>
              <w:rPr>
                <w:sz w:val="19"/>
                <w:szCs w:val="19"/>
              </w:rPr>
              <w:t xml:space="preserve">Nil – see clarification</w:t>
            </w:r>
          </w:p>
        </w:tc>
        <w:tc>
          <w:tcPr>
            <w:tcW w:type="dxa" w:w="4634"/>
            <w:tcMar>
              <w:top w:type="dxa" w:w="40"/>
              <w:left w:type="dxa" w:w="90"/>
              <w:bottom w:type="dxa" w:w="40"/>
              <w:right w:type="dxa" w:w="90"/>
            </w:tcMar>
            <w:vAlign w:val="center"/>
          </w:tcPr>
          <w:p>
            <w:pPr>
              <w:spacing w:after="40" w:before="40" w:line="240"/>
            </w:pPr>
            <w:r>
              <w:rPr>
                <w:sz w:val="19"/>
                <w:szCs w:val="19"/>
              </w:rPr>
              <w:t xml:space="preserve">No separate Stage 1B basin is documented anywhere in the civil set. The single documented basin sits within the Stage 1A hatch and its outlet works are priced once, in Stage 1A. Confirmation is requested.</w:t>
            </w:r>
          </w:p>
        </w:tc>
      </w:tr>
      <w:tr>
        <w:tc>
          <w:tcPr>
            <w:tcW w:type="dxa" w:w="1100"/>
            <w:tcMar>
              <w:top w:type="dxa" w:w="40"/>
              <w:left w:type="dxa" w:w="90"/>
              <w:bottom w:type="dxa" w:w="40"/>
              <w:right w:type="dxa" w:w="90"/>
            </w:tcMar>
            <w:vAlign w:val="center"/>
          </w:tcPr>
          <w:p>
            <w:pPr>
              <w:spacing w:after="40" w:before="40" w:line="240"/>
            </w:pPr>
            <w:r>
              <w:rPr>
                <w:sz w:val="19"/>
                <w:szCs w:val="19"/>
              </w:rPr>
              <w:t xml:space="preserve">1B – 5.0</w:t>
            </w:r>
          </w:p>
        </w:tc>
        <w:tc>
          <w:tcPr>
            <w:tcW w:type="dxa" w:w="2600"/>
            <w:tcMar>
              <w:top w:type="dxa" w:w="40"/>
              <w:left w:type="dxa" w:w="90"/>
              <w:bottom w:type="dxa" w:w="40"/>
              <w:right w:type="dxa" w:w="90"/>
            </w:tcMar>
            <w:vAlign w:val="center"/>
          </w:tcPr>
          <w:p>
            <w:pPr>
              <w:spacing w:after="40" w:before="40" w:line="240"/>
            </w:pPr>
            <w:r>
              <w:rPr>
                <w:sz w:val="19"/>
                <w:szCs w:val="19"/>
              </w:rPr>
              <w:t xml:space="preserve">Schedule of Rates – Provisions</w:t>
            </w:r>
          </w:p>
        </w:tc>
        <w:tc>
          <w:tcPr>
            <w:tcW w:type="dxa" w:w="1700"/>
            <w:tcMar>
              <w:top w:type="dxa" w:w="40"/>
              <w:left w:type="dxa" w:w="90"/>
              <w:bottom w:type="dxa" w:w="40"/>
              <w:right w:type="dxa" w:w="90"/>
            </w:tcMar>
            <w:vAlign w:val="center"/>
          </w:tcPr>
          <w:p>
            <w:pPr>
              <w:spacing w:after="40" w:before="40" w:line="240"/>
            </w:pPr>
            <w:r>
              <w:rPr>
                <w:sz w:val="19"/>
                <w:szCs w:val="19"/>
              </w:rPr>
              <w:t xml:space="preserve">Rates only</w:t>
            </w:r>
          </w:p>
        </w:tc>
        <w:tc>
          <w:tcPr>
            <w:tcW w:type="dxa" w:w="4634"/>
            <w:tcMar>
              <w:top w:type="dxa" w:w="40"/>
              <w:left w:type="dxa" w:w="90"/>
              <w:bottom w:type="dxa" w:w="40"/>
              <w:right w:type="dxa" w:w="90"/>
            </w:tcMar>
            <w:vAlign w:val="center"/>
          </w:tcPr>
          <w:p>
            <w:pPr>
              <w:spacing w:after="40" w:before="40" w:line="240"/>
            </w:pPr>
            <w:r>
              <w:rPr>
                <w:sz w:val="19"/>
                <w:szCs w:val="19"/>
              </w:rPr>
              <w:t xml:space="preserve">As 1A 7.0 – refer Section 10.</w:t>
            </w:r>
          </w:p>
        </w:tc>
      </w:tr>
      <w:tr>
        <w:tc>
          <w:tcPr>
            <w:tcW w:type="dxa" w:w="1100"/>
            <w:shd w:fill="EAF0F7" w:color="auto" w:val="clear"/>
            <w:tcMar>
              <w:top w:type="dxa" w:w="40"/>
              <w:left w:type="dxa" w:w="90"/>
              <w:bottom w:type="dxa" w:w="40"/>
              <w:right w:type="dxa" w:w="90"/>
            </w:tcMar>
            <w:vAlign w:val="center"/>
          </w:tcPr>
          <w:p>
            <w:pPr>
              <w:spacing w:after="40" w:before="40" w:line="240"/>
            </w:pPr>
            <w:r>
              <w:rPr>
                <w:b/>
                <w:bCs/>
                <w:sz w:val="19"/>
                <w:szCs w:val="19"/>
              </w:rPr>
              <w:t xml:space="preserve"/>
            </w:r>
          </w:p>
        </w:tc>
        <w:tc>
          <w:tcPr>
            <w:tcW w:type="dxa" w:w="2600"/>
            <w:shd w:fill="EAF0F7" w:color="auto" w:val="clear"/>
            <w:tcMar>
              <w:top w:type="dxa" w:w="40"/>
              <w:left w:type="dxa" w:w="90"/>
              <w:bottom w:type="dxa" w:w="40"/>
              <w:right w:type="dxa" w:w="90"/>
            </w:tcMar>
            <w:vAlign w:val="center"/>
          </w:tcPr>
          <w:p>
            <w:pPr>
              <w:spacing w:after="40" w:before="40" w:line="240"/>
            </w:pPr>
            <w:r>
              <w:rPr>
                <w:b/>
                <w:bCs/>
                <w:sz w:val="19"/>
                <w:szCs w:val="19"/>
              </w:rPr>
              <w:t xml:space="preserve">TOTAL TENDER – Stage 1A and Stage 1B (excluding GST)</w:t>
            </w:r>
          </w:p>
        </w:tc>
        <w:tc>
          <w:tcPr>
            <w:tcW w:type="dxa" w:w="1700"/>
            <w:shd w:fill="EAF0F7" w:color="auto" w:val="clear"/>
            <w:tcMar>
              <w:top w:type="dxa" w:w="40"/>
              <w:left w:type="dxa" w:w="90"/>
              <w:bottom w:type="dxa" w:w="40"/>
              <w:right w:type="dxa" w:w="90"/>
            </w:tcMar>
            <w:vAlign w:val="center"/>
          </w:tcPr>
          <w:p>
            <w:pPr>
              <w:spacing w:after="40" w:before="40" w:line="240"/>
              <w:jc w:val="right"/>
            </w:pPr>
            <w:r>
              <w:rPr>
                <w:b/>
                <w:bCs/>
                <w:sz w:val="19"/>
                <w:szCs w:val="19"/>
              </w:rPr>
              <w:t xml:space="preserve">$2,986,733.98</w:t>
            </w:r>
          </w:p>
        </w:tc>
        <w:tc>
          <w:tcPr>
            <w:tcW w:type="dxa" w:w="4634"/>
            <w:shd w:fill="EAF0F7" w:color="auto" w:val="clear"/>
            <w:tcMar>
              <w:top w:type="dxa" w:w="40"/>
              <w:left w:type="dxa" w:w="90"/>
              <w:bottom w:type="dxa" w:w="40"/>
              <w:right w:type="dxa" w:w="90"/>
            </w:tcMar>
            <w:vAlign w:val="center"/>
          </w:tcPr>
          <w:p>
            <w:pPr>
              <w:spacing w:after="40" w:before="40" w:line="240"/>
            </w:pPr>
            <w:r>
              <w:rPr>
                <w:b/>
                <w:bCs/>
                <w:sz w:val="19"/>
                <w:szCs w:val="19"/>
              </w:rPr>
              <w:t xml:space="preserve"/>
            </w:r>
          </w:p>
        </w:tc>
      </w:tr>
    </w:tbl>
    <w:p>
      <w:pPr>
        <w:spacing w:after="120"/>
      </w:pPr>
    </w:p>
    <w:p>
      <w:pPr>
        <w:spacing w:after="110" w:before="0" w:line="250"/>
      </w:pPr>
      <w:r>
        <w:t xml:space="preserve">Two entry-mechanics matters are noted for your assistance rather than as qualifications: the Stage 1A lump-sum formula in the issued workbook does not include Section 6.0, and both stage tabs sum section Total rows together with the individual line rows. The intended entry convention is queried at A1; our summary above governs our offer.</w:t>
      </w:r>
    </w:p>
    <w:p>
      <w:pPr>
        <w:pStyle w:val="Heading1"/>
      </w:pPr>
      <w:r>
        <w:t xml:space="preserve">7.  Civil Basis</w:t>
      </w:r>
    </w:p>
    <w:p>
      <w:pPr>
        <w:pStyle w:val="Heading2"/>
      </w:pPr>
      <w:r>
        <w:t xml:space="preserve">7.1  Standards framework</w:t>
      </w:r>
    </w:p>
    <w:p>
      <w:pPr>
        <w:spacing w:after="110" w:before="0" w:line="250"/>
      </w:pPr>
      <w:r>
        <w:t xml:space="preserve">The works are priced to the Capricorn Municipal Development Guidelines as the governing municipal standard, the Rockhampton Regional Council and Fitzroy River Water requirements applying to this site, the issued civil drawings and standard details, and TMR standard drawings SD1250 and SD1260 where nominated. Where the issued specifications carry text drawn from other jurisdictions or from unrelated projects, we have priced to the Queensland statutory framework and to the nominated equipment and standard-drawing schedules, which we take to govern over template text.</w:t>
      </w:r>
    </w:p>
    <w:p>
      <w:pPr>
        <w:pStyle w:val="Heading2"/>
      </w:pPr>
      <w:r>
        <w:t xml:space="preserve">7.2  Materials</w:t>
      </w:r>
    </w:p>
    <w:p>
      <w:pPr>
        <w:spacing w:after="110" w:before="0" w:line="250"/>
      </w:pPr>
      <w:r>
        <w:t xml:space="preserve">Pipework is priced in the documented material mix and not uniformly in one material: reinforced concrete pipe in Class 3 with Class 4 where nominated, polypropylene collectors to the court bays and tank line, and PVC-U DWV where drawn. Box culverts are precast reinforced concrete units in the documented sizes, including the large units at the basin outlet. Precast pits, chambers, gully inlets, grates, frames and covers are priced to the CMDG standard details nominated on the pit schedule.</w:t>
      </w:r>
    </w:p>
    <w:p>
      <w:pPr>
        <w:pStyle w:val="Heading2"/>
      </w:pPr>
      <w:r>
        <w:t xml:space="preserve">7.3  Compaction, testing and completion</w:t>
      </w:r>
    </w:p>
    <w:p>
      <w:pPr>
        <w:spacing w:after="110" w:before="0" w:line="250"/>
      </w:pPr>
      <w:r>
        <w:t xml:space="preserve">Drawing H002 note 17, headed “Compaction Schedule”, is a verbatim duplicate of note 16, so no compaction requirement is stated on the drawings. We have priced trench and structure backfill compacted and tested to 98% Modified maximum dry density in trafficable areas, in accordance with the specification tables, with testing to our own inspection and test plans. Testing and flushing of the installed drainage, CCTV by an independent Superintendent-approved firm, and a pre-completion drainage clean and de-silt are included.</w:t>
      </w:r>
    </w:p>
    <w:p>
      <w:pPr>
        <w:pStyle w:val="Heading2"/>
      </w:pPr>
      <w:r>
        <w:t xml:space="preserve">7.4  Culvert cover</w:t>
      </w:r>
    </w:p>
    <w:p>
      <w:pPr>
        <w:spacing w:after="110" w:before="0" w:line="250"/>
      </w:pPr>
      <w:r>
        <w:t xml:space="preserve">The long sections show zero or negative cover at culverts C01 to C03 and C05 to C08, with the units at or proud of the finished surface, and approximately 0.11 to 0.15 m of cover at the C10 headwalls. The units are priced as drawn, with the bedding extra-over that regime requires. Surface tie-in, load-class upgrades and any protection slab over the units are excluded and are queried at B6.</w:t>
      </w:r>
    </w:p>
    <w:p>
      <w:pPr>
        <w:pStyle w:val="Heading2"/>
      </w:pPr>
      <w:r>
        <w:t xml:space="preserve">7.5  Building stormwater and the point of discharge</w:t>
      </w:r>
    </w:p>
    <w:p>
      <w:pPr>
        <w:spacing w:after="110" w:before="0" w:line="250"/>
      </w:pPr>
      <w:r>
        <w:t xml:space="preserve">The point-of-discharge pit note on F1303 (AS 3500.3) marks where building plumbing obligations end. Every structure scheduled on F1310 and every line drawn on the civil sheets – including lines 81, 83 and 87 in full – is priced in this submission, and we receive and connect the building downpipe stubs into our lines and pits at the nominated civil connection points. Roof plumbing, gutters and downpipes above ground, and the in-ground downpipe stubs drawn on the hydraulic sheets, are not ours; refer the separate TriCore Plumbing Services submission for that scope. The civil layouts show fewer connection markers than there are documented downpipes, and the amenities sheets carry no civil connection note at all; each connection point should be nominated.</w:t>
      </w:r>
    </w:p>
    <w:p>
      <w:pPr>
        <w:pStyle w:val="Heading2"/>
      </w:pPr>
      <w:r>
        <w:t xml:space="preserve">7.6  Subsoil and strip-filter interface</w:t>
      </w:r>
    </w:p>
    <w:p>
      <w:pPr>
        <w:spacing w:after="110" w:before="0" w:line="250"/>
      </w:pPr>
      <w:r>
        <w:t xml:space="preserve">The 100 mm subsoil drainage, re-nominated by the Design Report as a type 2 strip-filter system, is by others. We accept strip-filter and subsoil connections at our collector pits only, the connection point being the pit wall penetration; the outlet connections received at our pits are priced. The strip-filter system, its media and its collector pipework are not priced.</w:t>
      </w:r>
    </w:p>
    <w:p>
      <w:pPr>
        <w:pStyle w:val="Heading2"/>
      </w:pPr>
      <w:r>
        <w:t xml:space="preserve">7.7  Basin interface</w:t>
      </w:r>
    </w:p>
    <w:p>
      <w:pPr>
        <w:spacing w:after="110" w:before="0" w:line="250"/>
      </w:pPr>
      <w:r>
        <w:t xml:space="preserve">At the basin we stop at structural backfill of our own pipes, pits, culverts and outlet structures. The outlet box culvert, its headwalls and the rock pads at the basin inlet and outlet are priced. Basin bulk shaping, embankment earthworks, the concrete spillway weir, filter media, sands, planting, topsoil and landscape establishment are not priced. The drawings describe a detention basin; the schedule calls it a retention basin, and we have priced the structure as drawn.</w:t>
      </w:r>
    </w:p>
    <w:p>
      <w:pPr>
        <w:pStyle w:val="Heading2"/>
      </w:pPr>
      <w:r>
        <w:t xml:space="preserve">7.8  As-constructed deliverables</w:t>
      </w:r>
    </w:p>
    <w:p>
      <w:pPr>
        <w:spacing w:after="110" w:before="0" w:line="250"/>
      </w:pPr>
      <w:r>
        <w:t xml:space="preserve">As-constructed survey pick-up, RPEQ-certified as-constructed drawings and ADAC-compliant XML data for our own stormwater assets are included, together with CCTV of our own in-ground drainage. We carry these deliverables for our own assets only; no combined deliverable across other packages is assumed. Query A6 refers.</w:t>
      </w:r>
    </w:p>
    <w:p>
      <w:pPr>
        <w:pStyle w:val="Heading1"/>
      </w:pPr>
      <w:r>
        <w:t xml:space="preserve">8.  Noted Inclusions: Civil Stormwater Drainage Services</w:t>
      </w:r>
    </w:p>
    <w:p>
      <w:pPr>
        <w:spacing w:after="110" w:before="0" w:line="250"/>
      </w:pPr>
      <w:r>
        <w:rPr>
          <w:i/>
          <w:iCs/>
        </w:rPr>
        <w:t xml:space="preserve">Each item below is a priced item. Nothing outside this list and the pricing summary at Section 6 is included.</w:t>
      </w:r>
    </w:p>
    <w:p>
      <w:pPr>
        <w:pStyle w:val="Heading2"/>
      </w:pPr>
      <w:r>
        <w:t xml:space="preserve">8.1  Preliminaries and documentation – our own share (Schedule 3 items 1.1 to 1.7)</w:t>
      </w:r>
    </w:p>
    <w:p>
      <w:pPr>
        <w:pStyle w:val="ListParagraph"/>
        <w:numPr>
          <w:ilvl w:val="0"/>
          <w:numId w:val="2"/>
        </w:numPr>
        <w:spacing w:after="70" w:line="250"/>
      </w:pPr>
      <w:r>
        <w:t xml:space="preserve">Establishment, maintenance and removal of TriCore Civil Services’ own site compound for the included works, including fencing, gates, signage and the vegetation-management wash-down and rumble grid provision.</w:t>
      </w:r>
    </w:p>
    <w:p>
      <w:pPr>
        <w:pStyle w:val="ListParagraph"/>
        <w:numPr>
          <w:ilvl w:val="0"/>
          <w:numId w:val="2"/>
        </w:numPr>
        <w:spacing w:after="70" w:line="250"/>
      </w:pPr>
      <w:r>
        <w:t xml:space="preserve">TriCore Civil Services’ own temporary site services – portable toilets and wash station, generator, temporary power boards and leads, and temporary potable water storage and cartage – on the basis that no site power or water is provided (ITT Part 2 Section 17.3). Nothing is shared with, or recharged to, any other package.</w:t>
      </w:r>
    </w:p>
    <w:p>
      <w:pPr>
        <w:pStyle w:val="ListParagraph"/>
        <w:numPr>
          <w:ilvl w:val="0"/>
          <w:numId w:val="2"/>
        </w:numPr>
        <w:spacing w:after="70" w:line="250"/>
      </w:pPr>
      <w:r>
        <w:t xml:space="preserve">Delineation of our own work areas with bollards, pickets and barrier mesh, site management, site PPE and consumables, and general waste containment for the included works.</w:t>
      </w:r>
    </w:p>
    <w:p>
      <w:pPr>
        <w:pStyle w:val="ListParagraph"/>
        <w:numPr>
          <w:ilvl w:val="0"/>
          <w:numId w:val="2"/>
        </w:numPr>
        <w:spacing w:after="70" w:line="250"/>
      </w:pPr>
      <w:r>
        <w:t xml:space="preserve">Preparation of our own trade quality, safety and environmental documentation and inspection and test plans for the included works.</w:t>
      </w:r>
    </w:p>
    <w:p>
      <w:pPr>
        <w:pStyle w:val="ListParagraph"/>
        <w:numPr>
          <w:ilvl w:val="0"/>
          <w:numId w:val="2"/>
        </w:numPr>
        <w:spacing w:after="70" w:line="250"/>
      </w:pPr>
      <w:r>
        <w:t xml:space="preserve">Trade set-out survey for our own works from Principal-supplied control, Dial Before You Dig enquiry and service location, including a specialist locating attendance over the existing irrigated playing fields.</w:t>
      </w:r>
    </w:p>
    <w:p>
      <w:pPr>
        <w:pStyle w:val="ListParagraph"/>
        <w:numPr>
          <w:ilvl w:val="0"/>
          <w:numId w:val="2"/>
        </w:numPr>
        <w:spacing w:after="70" w:line="250"/>
      </w:pPr>
      <w:r>
        <w:t xml:space="preserve">As-constructed survey pick-up, RPEQ-certified as-constructed drawings and ADAC-compliant XML data for the TriCore Civil Services stormwater assets.</w:t>
      </w:r>
    </w:p>
    <w:p>
      <w:pPr>
        <w:pStyle w:val="ListParagraph"/>
        <w:numPr>
          <w:ilvl w:val="0"/>
          <w:numId w:val="2"/>
        </w:numPr>
        <w:spacing w:after="70" w:line="250"/>
      </w:pPr>
      <w:r>
        <w:t xml:space="preserve">CCTV inspection of our own in-ground drainage by an independent, Superintendent-approved firm, with our attendance during the inspection.</w:t>
      </w:r>
    </w:p>
    <w:p>
      <w:pPr>
        <w:pStyle w:val="ListParagraph"/>
        <w:numPr>
          <w:ilvl w:val="0"/>
          <w:numId w:val="2"/>
        </w:numPr>
        <w:spacing w:after="70" w:line="250"/>
      </w:pPr>
      <w:r>
        <w:t xml:space="preserve">Testing and flushing of the included drainage, and a pre-completion drainage clean and de-silt.</w:t>
      </w:r>
    </w:p>
    <w:p>
      <w:pPr>
        <w:pStyle w:val="ListParagraph"/>
        <w:numPr>
          <w:ilvl w:val="0"/>
          <w:numId w:val="2"/>
        </w:numPr>
        <w:spacing w:after="70" w:line="250"/>
      </w:pPr>
      <w:r>
        <w:t xml:space="preserve">Compaction testing to the trench and structure reinstatement of the included works.</w:t>
      </w:r>
    </w:p>
    <w:p>
      <w:pPr>
        <w:pStyle w:val="ListParagraph"/>
        <w:numPr>
          <w:ilvl w:val="0"/>
          <w:numId w:val="2"/>
        </w:numPr>
        <w:spacing w:after="70" w:line="250"/>
      </w:pPr>
      <w:r>
        <w:t xml:space="preserve">Site supervision and project management of the included works.</w:t>
      </w:r>
    </w:p>
    <w:p>
      <w:pPr>
        <w:pStyle w:val="ListParagraph"/>
        <w:numPr>
          <w:ilvl w:val="0"/>
          <w:numId w:val="2"/>
        </w:numPr>
        <w:spacing w:after="70" w:line="250"/>
      </w:pPr>
      <w:r>
        <w:t xml:space="preserve">One remobilisation allowance for the EDQ review gate ahead of stormwater commencement (Conditions 16 and 17).</w:t>
      </w:r>
    </w:p>
    <w:p>
      <w:pPr>
        <w:pStyle w:val="Heading2"/>
      </w:pPr>
      <w:r>
        <w:t xml:space="preserve">8.2  Stage 1A – stormwater drainage (Schedule 3 item 2.5, including the item 2.3 drainage component)</w:t>
      </w:r>
    </w:p>
    <w:p>
      <w:pPr>
        <w:pStyle w:val="ListParagraph"/>
        <w:numPr>
          <w:ilvl w:val="0"/>
          <w:numId w:val="2"/>
        </w:numPr>
        <w:spacing w:after="70" w:line="250"/>
      </w:pPr>
      <w:r>
        <w:t xml:space="preserve">Supply and installation of the reinforced concrete pipe stormwater mainline in Class 3, with Class 4 where nominated, including the twin-barrel C09 crossing and the rubber ring joints.</w:t>
      </w:r>
    </w:p>
    <w:p>
      <w:pPr>
        <w:pStyle w:val="ListParagraph"/>
        <w:numPr>
          <w:ilvl w:val="0"/>
          <w:numId w:val="2"/>
        </w:numPr>
        <w:spacing w:after="70" w:line="250"/>
      </w:pPr>
      <w:r>
        <w:t xml:space="preserve">Supply and installation of the polypropylene collector mains to the court bays and the tank line.</w:t>
      </w:r>
    </w:p>
    <w:p>
      <w:pPr>
        <w:pStyle w:val="ListParagraph"/>
        <w:numPr>
          <w:ilvl w:val="0"/>
          <w:numId w:val="2"/>
        </w:numPr>
        <w:spacing w:after="70" w:line="250"/>
      </w:pPr>
      <w:r>
        <w:t xml:space="preserve">Supply and installation of the PVC-U DWV building drainage collector on line 81 and the trash box laterals.</w:t>
      </w:r>
    </w:p>
    <w:p>
      <w:pPr>
        <w:pStyle w:val="ListParagraph"/>
        <w:numPr>
          <w:ilvl w:val="0"/>
          <w:numId w:val="2"/>
        </w:numPr>
        <w:spacing w:after="70" w:line="250"/>
      </w:pPr>
      <w:r>
        <w:t xml:space="preserve">Supply and installation of the 100 mm PVC-U outlet and downpipe laterals received and connected at our pits.</w:t>
      </w:r>
    </w:p>
    <w:p>
      <w:pPr>
        <w:pStyle w:val="ListParagraph"/>
        <w:numPr>
          <w:ilvl w:val="0"/>
          <w:numId w:val="2"/>
        </w:numPr>
        <w:spacing w:after="70" w:line="250"/>
      </w:pPr>
      <w:r>
        <w:t xml:space="preserve">Pipe fittings, bends, junctions, jointing materials, inspection openings with galvanised flush covers, and the scheduled pipe-to-pipe and pipe-to-culvert connections.</w:t>
      </w:r>
    </w:p>
    <w:p>
      <w:pPr>
        <w:pStyle w:val="ListParagraph"/>
        <w:numPr>
          <w:ilvl w:val="0"/>
          <w:numId w:val="2"/>
        </w:numPr>
        <w:spacing w:after="70" w:line="250"/>
      </w:pPr>
      <w:r>
        <w:t xml:space="preserve">Supply and installation of the precast reinforced concrete box culverts – 600 × 300, 750 × 300 including the WSUD high-flow bypass, 900 × 450, 1200 × 600, 1500 × 600 and the 2700 × 1200 units at the basin outlet.</w:t>
      </w:r>
    </w:p>
    <w:p>
      <w:pPr>
        <w:pStyle w:val="ListParagraph"/>
        <w:numPr>
          <w:ilvl w:val="0"/>
          <w:numId w:val="2"/>
        </w:numPr>
        <w:spacing w:after="70" w:line="250"/>
      </w:pPr>
      <w:r>
        <w:t xml:space="preserve">Supply and installation of the precast headwalls to the pipe outlets and to the box culvert end structures, including wingwalls and the beaching interface.</w:t>
      </w:r>
    </w:p>
    <w:p>
      <w:pPr>
        <w:pStyle w:val="ListParagraph"/>
        <w:numPr>
          <w:ilvl w:val="0"/>
          <w:numId w:val="2"/>
        </w:numPr>
        <w:spacing w:after="70" w:line="250"/>
      </w:pPr>
      <w:r>
        <w:t xml:space="preserve">Supply and installation of road gully inlet units on grade and in sag to CMDG-D-020.</w:t>
      </w:r>
    </w:p>
    <w:p>
      <w:pPr>
        <w:pStyle w:val="ListParagraph"/>
        <w:numPr>
          <w:ilvl w:val="0"/>
          <w:numId w:val="2"/>
        </w:numPr>
        <w:spacing w:after="70" w:line="250"/>
      </w:pPr>
      <w:r>
        <w:t xml:space="preserve">Supply and installation of 1050 dia access chambers to CMDG-D-030 with cover slabs, the 1200 chambers including the internal upstand at chamber 26-02, the 600 × 600 field inlet pits, and the grates, frames and covers to the included structures.</w:t>
      </w:r>
    </w:p>
    <w:p>
      <w:pPr>
        <w:pStyle w:val="ListParagraph"/>
        <w:numPr>
          <w:ilvl w:val="0"/>
          <w:numId w:val="2"/>
        </w:numPr>
        <w:spacing w:after="70" w:line="250"/>
      </w:pPr>
      <w:r>
        <w:t xml:space="preserve">Rock protection to our own structures – beaching to the culvert headwalls and the rock pads at the basin inlet and outlet.</w:t>
      </w:r>
    </w:p>
    <w:p>
      <w:pPr>
        <w:pStyle w:val="ListParagraph"/>
        <w:numPr>
          <w:ilvl w:val="0"/>
          <w:numId w:val="2"/>
        </w:numPr>
        <w:spacing w:after="70" w:line="250"/>
      </w:pPr>
      <w:r>
        <w:t xml:space="preserve">Excavation, bedding, backfill and compaction to our own pipe trenches and structures, including imported bedding stone and the culvert bedding extra-over at the zero and negative cover units.</w:t>
      </w:r>
    </w:p>
    <w:p>
      <w:pPr>
        <w:pStyle w:val="ListParagraph"/>
        <w:numPr>
          <w:ilvl w:val="0"/>
          <w:numId w:val="2"/>
        </w:numPr>
        <w:spacing w:after="70" w:line="250"/>
      </w:pPr>
      <w:r>
        <w:t xml:space="preserve">Handling and haulage of our own trench and structure spoil to Principal-directed stockpile locations on site.</w:t>
      </w:r>
    </w:p>
    <w:p>
      <w:pPr>
        <w:pStyle w:val="ListParagraph"/>
        <w:numPr>
          <w:ilvl w:val="0"/>
          <w:numId w:val="2"/>
        </w:numPr>
        <w:spacing w:after="70" w:line="250"/>
      </w:pPr>
      <w:r>
        <w:t xml:space="preserve">Cranage and lifting for the heavy precast elements – the basin outlet box culvert units, the filtration manhole and the large headwalls – by mobile crane and pick-and-carry.</w:t>
      </w:r>
    </w:p>
    <w:p>
      <w:pPr>
        <w:pStyle w:val="ListParagraph"/>
        <w:numPr>
          <w:ilvl w:val="0"/>
          <w:numId w:val="2"/>
        </w:numPr>
        <w:spacing w:after="70" w:line="250"/>
      </w:pPr>
      <w:r>
        <w:t xml:space="preserve">Trench shielding for the runs and structures requiring personnel entry, and geotechnical inspection attendance at the deep excavations.</w:t>
      </w:r>
    </w:p>
    <w:p>
      <w:pPr>
        <w:pStyle w:val="ListParagraph"/>
        <w:numPr>
          <w:ilvl w:val="0"/>
          <w:numId w:val="2"/>
        </w:numPr>
        <w:spacing w:after="70" w:line="250"/>
      </w:pPr>
      <w:r>
        <w:t xml:space="preserve">Non-destructive (vacuum) excavation where our trenches enter tree protection zones.</w:t>
      </w:r>
    </w:p>
    <w:p>
      <w:pPr>
        <w:pStyle w:val="ListParagraph"/>
        <w:numPr>
          <w:ilvl w:val="0"/>
          <w:numId w:val="2"/>
        </w:numPr>
        <w:spacing w:after="70" w:line="250"/>
      </w:pPr>
      <w:r>
        <w:t xml:space="preserve">Dewatering of our own excavations by the site sump-pump set.</w:t>
      </w:r>
    </w:p>
    <w:p>
      <w:pPr>
        <w:pStyle w:val="ListParagraph"/>
        <w:numPr>
          <w:ilvl w:val="0"/>
          <w:numId w:val="2"/>
        </w:numPr>
        <w:spacing w:after="70" w:line="250"/>
      </w:pPr>
      <w:r>
        <w:t xml:space="preserve">An allowance for excavation within the rock band described at Section 3.4, including hydraulic breaker attendance.</w:t>
      </w:r>
    </w:p>
    <w:p>
      <w:pPr>
        <w:pStyle w:val="ListParagraph"/>
        <w:numPr>
          <w:ilvl w:val="0"/>
          <w:numId w:val="2"/>
        </w:numPr>
        <w:spacing w:after="70" w:line="250"/>
      </w:pPr>
      <w:r>
        <w:t xml:space="preserve">Installation of the WSUD filtration manhole and the 22 filtration cartridges – excavation, bedding, cranage, placement, connection of the inlet, outlet and high-flow bypass, and backfill. Cartridge supply and delivery is the prime cost sum at Section 9.</w:t>
      </w:r>
    </w:p>
    <w:p>
      <w:pPr>
        <w:pStyle w:val="Heading2"/>
      </w:pPr>
      <w:r>
        <w:t xml:space="preserve">8.3  Stage 1A – grated trench drains and pits (Schedule 3 item 3.5)</w:t>
      </w:r>
    </w:p>
    <w:p>
      <w:pPr>
        <w:pStyle w:val="ListParagraph"/>
        <w:numPr>
          <w:ilvl w:val="0"/>
          <w:numId w:val="2"/>
        </w:numPr>
        <w:spacing w:after="70" w:line="250"/>
      </w:pPr>
      <w:r>
        <w:t xml:space="preserve">Supply and installation of the grated trench drainage to runs GT1 to GT4 to the courts and GT7 to GT9 to the walkways and stairs, in the scheduled channel and grate types, including end caps.</w:t>
      </w:r>
    </w:p>
    <w:p>
      <w:pPr>
        <w:pStyle w:val="ListParagraph"/>
        <w:numPr>
          <w:ilvl w:val="0"/>
          <w:numId w:val="2"/>
        </w:numPr>
        <w:spacing w:after="70" w:line="250"/>
      </w:pPr>
      <w:r>
        <w:t xml:space="preserve">Supply and installation of the trash boxes and connection pits to those runs, and the DWV laterals from them.</w:t>
      </w:r>
    </w:p>
    <w:p>
      <w:pPr>
        <w:pStyle w:val="ListParagraph"/>
        <w:numPr>
          <w:ilvl w:val="0"/>
          <w:numId w:val="2"/>
        </w:numPr>
        <w:spacing w:after="70" w:line="250"/>
      </w:pPr>
      <w:r>
        <w:t xml:space="preserve">Excavation, bedding, quarry material, backfill and compaction for the grated trench runs and their pits.</w:t>
      </w:r>
    </w:p>
    <w:p>
      <w:pPr>
        <w:pStyle w:val="Heading2"/>
      </w:pPr>
      <w:r>
        <w:t xml:space="preserve">8.4  Stage 1B – stormwater drainage (Schedule 3 item 2.3)</w:t>
      </w:r>
    </w:p>
    <w:p>
      <w:pPr>
        <w:pStyle w:val="ListParagraph"/>
        <w:numPr>
          <w:ilvl w:val="0"/>
          <w:numId w:val="2"/>
        </w:numPr>
        <w:spacing w:after="70" w:line="250"/>
      </w:pPr>
      <w:r>
        <w:t xml:space="preserve">Supply and installation of grated trench run GT5 at the multi-use court and GT6 at the amenities building, with their trash boxes and end caps, including excavation, bedding, quarry material and backfill.</w:t>
      </w:r>
    </w:p>
    <w:p>
      <w:pPr>
        <w:pStyle w:val="ListParagraph"/>
        <w:numPr>
          <w:ilvl w:val="0"/>
          <w:numId w:val="2"/>
        </w:numPr>
        <w:spacing w:after="70" w:line="250"/>
      </w:pPr>
      <w:r>
        <w:t xml:space="preserve">Supply and installation of the PVC-U DWV drainage to lines 60, 61 and 83 with their trash boxes and connections.</w:t>
      </w:r>
    </w:p>
    <w:p>
      <w:pPr>
        <w:pStyle w:val="ListParagraph"/>
        <w:numPr>
          <w:ilvl w:val="0"/>
          <w:numId w:val="2"/>
        </w:numPr>
        <w:spacing w:after="70" w:line="250"/>
      </w:pPr>
      <w:r>
        <w:t xml:space="preserve">Stage 1B establishment and remobilisation as a standalone award, set-out, testing, CCTV and as-constructed attendance, compaction testing and spoil handling for the Stage 1B works.</w:t>
      </w:r>
    </w:p>
    <w:p>
      <w:pPr>
        <w:pStyle w:val="Heading1"/>
      </w:pPr>
      <w:r>
        <w:t xml:space="preserve">9.  Provisional Sums and Prime Cost Sums</w:t>
      </w:r>
    </w:p>
    <w:tbl>
      <w:tblPr>
        <w:tblW w:type="dxa" w:w="10034"/>
        <w:tblBorders>
          <w:top w:val="single" w:color="9AB3CC" w:sz="4"/>
          <w:left w:val="single" w:color="9AB3CC" w:sz="4"/>
          <w:bottom w:val="single" w:color="9AB3CC" w:sz="4"/>
          <w:right w:val="single" w:color="9AB3CC" w:sz="4"/>
          <w:insideH w:val="single" w:color="9AB3CC" w:sz="2"/>
          <w:insideV w:val="single" w:color="9AB3CC" w:sz="2"/>
        </w:tblBorders>
      </w:tblPr>
      <w:tblGrid>
        <w:gridCol w:w="2600"/>
        <w:gridCol w:w="1100"/>
        <w:gridCol w:w="4600"/>
        <w:gridCol w:w="1734"/>
      </w:tblGrid>
      <w:tr>
        <w:trPr>
          <w:tblHeader/>
        </w:trPr>
        <w:tc>
          <w:tcPr>
            <w:tcW w:type="dxa" w:w="2600"/>
            <w:shd w:fill="1F4E79" w:color="auto" w:val="clear"/>
            <w:tcMar>
              <w:top w:type="dxa" w:w="40"/>
              <w:left w:type="dxa" w:w="90"/>
              <w:bottom w:type="dxa" w:w="40"/>
              <w:right w:type="dxa" w:w="90"/>
            </w:tcMar>
            <w:vAlign w:val="center"/>
          </w:tcPr>
          <w:p>
            <w:pPr>
              <w:spacing w:after="40" w:before="40" w:line="240"/>
            </w:pPr>
            <w:r>
              <w:rPr>
                <w:b/>
                <w:bCs/>
                <w:color w:val="FFFFFF"/>
                <w:sz w:val="20"/>
                <w:szCs w:val="20"/>
              </w:rPr>
              <w:t xml:space="preserve">Item</w:t>
            </w:r>
          </w:p>
        </w:tc>
        <w:tc>
          <w:tcPr>
            <w:tcW w:type="dxa" w:w="1100"/>
            <w:shd w:fill="1F4E79" w:color="auto" w:val="clear"/>
            <w:tcMar>
              <w:top w:type="dxa" w:w="40"/>
              <w:left w:type="dxa" w:w="90"/>
              <w:bottom w:type="dxa" w:w="40"/>
              <w:right w:type="dxa" w:w="90"/>
            </w:tcMar>
            <w:vAlign w:val="center"/>
          </w:tcPr>
          <w:p>
            <w:pPr>
              <w:spacing w:after="40" w:before="40" w:line="240"/>
            </w:pPr>
            <w:r>
              <w:rPr>
                <w:b/>
                <w:bCs/>
                <w:color w:val="FFFFFF"/>
                <w:sz w:val="20"/>
                <w:szCs w:val="20"/>
              </w:rPr>
              <w:t xml:space="preserve">Type</w:t>
            </w:r>
          </w:p>
        </w:tc>
        <w:tc>
          <w:tcPr>
            <w:tcW w:type="dxa" w:w="4600"/>
            <w:shd w:fill="1F4E79" w:color="auto" w:val="clear"/>
            <w:tcMar>
              <w:top w:type="dxa" w:w="40"/>
              <w:left w:type="dxa" w:w="90"/>
              <w:bottom w:type="dxa" w:w="40"/>
              <w:right w:type="dxa" w:w="90"/>
            </w:tcMar>
            <w:vAlign w:val="center"/>
          </w:tcPr>
          <w:p>
            <w:pPr>
              <w:spacing w:after="40" w:before="40" w:line="240"/>
            </w:pPr>
            <w:r>
              <w:rPr>
                <w:b/>
                <w:bCs/>
                <w:color w:val="FFFFFF"/>
                <w:sz w:val="20"/>
                <w:szCs w:val="20"/>
              </w:rPr>
              <w:t xml:space="preserve">Basis</w:t>
            </w:r>
          </w:p>
        </w:tc>
        <w:tc>
          <w:tcPr>
            <w:tcW w:type="dxa" w:w="1734"/>
            <w:shd w:fill="1F4E79" w:color="auto" w:val="clear"/>
            <w:tcMar>
              <w:top w:type="dxa" w:w="40"/>
              <w:left w:type="dxa" w:w="90"/>
              <w:bottom w:type="dxa" w:w="40"/>
              <w:right w:type="dxa" w:w="90"/>
            </w:tcMar>
            <w:vAlign w:val="center"/>
          </w:tcPr>
          <w:p>
            <w:pPr>
              <w:spacing w:after="40" w:before="40" w:line="240"/>
            </w:pPr>
            <w:r>
              <w:rPr>
                <w:b/>
                <w:bCs/>
                <w:color w:val="FFFFFF"/>
                <w:sz w:val="20"/>
                <w:szCs w:val="20"/>
              </w:rPr>
              <w:t xml:space="preserve">Amount ex GST</w:t>
            </w:r>
          </w:p>
        </w:tc>
      </w:tr>
      <w:tr>
        <w:tc>
          <w:tcPr>
            <w:tcW w:type="dxa" w:w="2600"/>
            <w:tcMar>
              <w:top w:type="dxa" w:w="40"/>
              <w:left w:type="dxa" w:w="90"/>
              <w:bottom w:type="dxa" w:w="40"/>
              <w:right w:type="dxa" w:w="90"/>
            </w:tcMar>
            <w:vAlign w:val="center"/>
          </w:tcPr>
          <w:p>
            <w:pPr>
              <w:spacing w:after="40" w:before="40" w:line="240"/>
            </w:pPr>
            <w:r>
              <w:rPr>
                <w:sz w:val="19"/>
                <w:szCs w:val="19"/>
              </w:rPr>
              <w:t xml:space="preserve">WSUD stormwater filtration cartridges and internals</w:t>
            </w:r>
          </w:p>
        </w:tc>
        <w:tc>
          <w:tcPr>
            <w:tcW w:type="dxa" w:w="1100"/>
            <w:tcMar>
              <w:top w:type="dxa" w:w="40"/>
              <w:left w:type="dxa" w:w="90"/>
              <w:bottom w:type="dxa" w:w="40"/>
              <w:right w:type="dxa" w:w="90"/>
            </w:tcMar>
            <w:vAlign w:val="center"/>
          </w:tcPr>
          <w:p>
            <w:pPr>
              <w:spacing w:after="40" w:before="40" w:line="240"/>
            </w:pPr>
            <w:r>
              <w:rPr>
                <w:sz w:val="19"/>
                <w:szCs w:val="19"/>
              </w:rPr>
              <w:t xml:space="preserve">PC sum</w:t>
            </w:r>
          </w:p>
        </w:tc>
        <w:tc>
          <w:tcPr>
            <w:tcW w:type="dxa" w:w="4600"/>
            <w:tcMar>
              <w:top w:type="dxa" w:w="40"/>
              <w:left w:type="dxa" w:w="90"/>
              <w:bottom w:type="dxa" w:w="40"/>
              <w:right w:type="dxa" w:w="90"/>
            </w:tcMar>
            <w:vAlign w:val="center"/>
          </w:tcPr>
          <w:p>
            <w:pPr>
              <w:spacing w:after="40" w:before="40" w:line="240"/>
            </w:pPr>
            <w:r>
              <w:rPr>
                <w:sz w:val="19"/>
                <w:szCs w:val="19"/>
              </w:rPr>
              <w:t xml:space="preserve">Supply and delivery of 22 no. Ocean Protect Tall (690) PSorb StormFilter cartridges, or approved equal, and internals for the 3300 mm diameter precast filtration manhole, per Design Report Section 7.4, plus 15%.</w:t>
            </w:r>
          </w:p>
        </w:tc>
        <w:tc>
          <w:tcPr>
            <w:tcW w:type="dxa" w:w="1734"/>
            <w:tcMar>
              <w:top w:type="dxa" w:w="40"/>
              <w:left w:type="dxa" w:w="90"/>
              <w:bottom w:type="dxa" w:w="40"/>
              <w:right w:type="dxa" w:w="90"/>
            </w:tcMar>
            <w:vAlign w:val="center"/>
          </w:tcPr>
          <w:p>
            <w:pPr>
              <w:spacing w:after="40" w:before="40" w:line="240"/>
              <w:jc w:val="right"/>
            </w:pPr>
            <w:r>
              <w:rPr>
                <w:sz w:val="19"/>
                <w:szCs w:val="19"/>
              </w:rPr>
              <w:t xml:space="preserve">$111,787.74</w:t>
            </w:r>
          </w:p>
        </w:tc>
      </w:tr>
    </w:tbl>
    <w:p>
      <w:pPr>
        <w:spacing w:after="120"/>
      </w:pPr>
    </w:p>
    <w:p>
      <w:pPr>
        <w:spacing w:after="110" w:before="0" w:line="250"/>
      </w:pPr>
      <w:r>
        <w:t xml:space="preserve">The prime cost sum covers supply and delivery of the cartridges and internals only. Installation – excavation, bedding, cranage, placement of the manhole and cartridges, connection of the inlet, outlet and high-flow bypass, and backfill – is included in the Stage 1A stormwater drainage lump sum and is not exposed separately. The manhole itself and the high-flow bypass culvert are also in the lump sum. Cleaning, cartridge replacement, media renewal and any WSUD maintenance beyond the defects liability period are excluded.</w:t>
      </w:r>
    </w:p>
    <w:p>
      <w:pPr>
        <w:spacing w:after="110" w:before="0" w:line="250"/>
      </w:pPr>
      <w:r>
        <w:t xml:space="preserve">The WSUD position is not settled in the issued documents: Design Report Section 7.1 records “WSUD Key Changes: None”, Section 7.4 records the change to 22 StormFilter cartridges, and Section 7.5 readopts a floating raingarden; the Schedule 3 line is titled “WSUD Basin?” and Stage 1B carries no WSUD line at all. We have priced Section 7.4 as the settled position and will re-price against a confirmed nomination.</w:t>
      </w:r>
    </w:p>
    <w:p>
      <w:pPr>
        <w:spacing w:after="110" w:before="0" w:line="250"/>
      </w:pPr>
      <w:r>
        <w:t xml:space="preserve">No other provisional or prime cost sums are carried in this submission. The $20,000 provisional connection fee items at Schedule 1A item 5.0 and Schedule 1B item 4.6 are plumbing, water and sewer authority fees and sit outside this civil package.</w:t>
      </w:r>
    </w:p>
    <w:p>
      <w:pPr>
        <w:pStyle w:val="Heading1"/>
      </w:pPr>
      <w:r>
        <w:t xml:space="preserve">10.  Schedule of Rates – Schedule 1A item 7.0 and Schedule 1B item 5.0</w:t>
      </w:r>
    </w:p>
    <w:p>
      <w:pPr>
        <w:spacing w:after="110" w:before="0" w:line="250"/>
      </w:pPr>
      <w:r>
        <w:t xml:space="preserve">Drawing H002 note 24 requires extra-over rates for soft rock and hard rock separately, for trenches and for pits. All four are tendered below, together with the unsuitable-ground rate. The same rates apply to Stage 1A and Stage 1B, and to TriCore Civil Services’ own stormwater trench and pit excavations only.</w:t>
      </w:r>
    </w:p>
    <w:tbl>
      <w:tblPr>
        <w:tblW w:type="dxa" w:w="10034"/>
        <w:tblBorders>
          <w:top w:val="single" w:color="9AB3CC" w:sz="4"/>
          <w:left w:val="single" w:color="9AB3CC" w:sz="4"/>
          <w:bottom w:val="single" w:color="9AB3CC" w:sz="4"/>
          <w:right w:val="single" w:color="9AB3CC" w:sz="4"/>
          <w:insideH w:val="single" w:color="9AB3CC" w:sz="2"/>
          <w:insideV w:val="single" w:color="9AB3CC" w:sz="2"/>
        </w:tblBorders>
      </w:tblPr>
      <w:tblGrid>
        <w:gridCol w:w="6200"/>
        <w:gridCol w:w="1200"/>
        <w:gridCol w:w="2634"/>
      </w:tblGrid>
      <w:tr>
        <w:trPr>
          <w:tblHeader/>
        </w:trPr>
        <w:tc>
          <w:tcPr>
            <w:tcW w:type="dxa" w:w="6200"/>
            <w:shd w:fill="1F4E79" w:color="auto" w:val="clear"/>
            <w:tcMar>
              <w:top w:type="dxa" w:w="40"/>
              <w:left w:type="dxa" w:w="90"/>
              <w:bottom w:type="dxa" w:w="40"/>
              <w:right w:type="dxa" w:w="90"/>
            </w:tcMar>
            <w:vAlign w:val="center"/>
          </w:tcPr>
          <w:p>
            <w:pPr>
              <w:spacing w:after="40" w:before="40" w:line="240"/>
            </w:pPr>
            <w:r>
              <w:rPr>
                <w:b/>
                <w:bCs/>
                <w:color w:val="FFFFFF"/>
                <w:sz w:val="20"/>
                <w:szCs w:val="20"/>
              </w:rPr>
              <w:t xml:space="preserve">Rate item (extra-over)</w:t>
            </w:r>
          </w:p>
        </w:tc>
        <w:tc>
          <w:tcPr>
            <w:tcW w:type="dxa" w:w="1200"/>
            <w:shd w:fill="1F4E79" w:color="auto" w:val="clear"/>
            <w:tcMar>
              <w:top w:type="dxa" w:w="40"/>
              <w:left w:type="dxa" w:w="90"/>
              <w:bottom w:type="dxa" w:w="40"/>
              <w:right w:type="dxa" w:w="90"/>
            </w:tcMar>
            <w:vAlign w:val="center"/>
          </w:tcPr>
          <w:p>
            <w:pPr>
              <w:spacing w:after="40" w:before="40" w:line="240"/>
            </w:pPr>
            <w:r>
              <w:rPr>
                <w:b/>
                <w:bCs/>
                <w:color w:val="FFFFFF"/>
                <w:sz w:val="20"/>
                <w:szCs w:val="20"/>
              </w:rPr>
              <w:t xml:space="preserve">Unit</w:t>
            </w:r>
          </w:p>
        </w:tc>
        <w:tc>
          <w:tcPr>
            <w:tcW w:type="dxa" w:w="2634"/>
            <w:shd w:fill="1F4E79" w:color="auto" w:val="clear"/>
            <w:tcMar>
              <w:top w:type="dxa" w:w="40"/>
              <w:left w:type="dxa" w:w="90"/>
              <w:bottom w:type="dxa" w:w="40"/>
              <w:right w:type="dxa" w:w="90"/>
            </w:tcMar>
            <w:vAlign w:val="center"/>
          </w:tcPr>
          <w:p>
            <w:pPr>
              <w:spacing w:after="40" w:before="40" w:line="240"/>
            </w:pPr>
            <w:r>
              <w:rPr>
                <w:b/>
                <w:bCs/>
                <w:color w:val="FFFFFF"/>
                <w:sz w:val="20"/>
                <w:szCs w:val="20"/>
              </w:rPr>
              <w:t xml:space="preserve">Rate ex GST</w:t>
            </w:r>
          </w:p>
        </w:tc>
      </w:tr>
      <w:tr>
        <w:tc>
          <w:tcPr>
            <w:tcW w:type="dxa" w:w="6200"/>
            <w:tcMar>
              <w:top w:type="dxa" w:w="40"/>
              <w:left w:type="dxa" w:w="90"/>
              <w:bottom w:type="dxa" w:w="40"/>
              <w:right w:type="dxa" w:w="90"/>
            </w:tcMar>
            <w:vAlign w:val="center"/>
          </w:tcPr>
          <w:p>
            <w:pPr>
              <w:spacing w:after="40" w:before="40" w:line="240"/>
            </w:pPr>
            <w:r>
              <w:rPr>
                <w:sz w:val="20"/>
                <w:szCs w:val="20"/>
              </w:rPr>
              <w:t xml:space="preserve">Rock removal – soft rock, trenches</w:t>
            </w:r>
          </w:p>
        </w:tc>
        <w:tc>
          <w:tcPr>
            <w:tcW w:type="dxa" w:w="1200"/>
            <w:tcMar>
              <w:top w:type="dxa" w:w="40"/>
              <w:left w:type="dxa" w:w="90"/>
              <w:bottom w:type="dxa" w:w="40"/>
              <w:right w:type="dxa" w:w="90"/>
            </w:tcMar>
            <w:vAlign w:val="center"/>
          </w:tcPr>
          <w:p>
            <w:pPr>
              <w:spacing w:after="40" w:before="40" w:line="240"/>
            </w:pPr>
            <w:r>
              <w:rPr>
                <w:sz w:val="20"/>
                <w:szCs w:val="20"/>
              </w:rPr>
              <w:t xml:space="preserve">m³</w:t>
            </w:r>
          </w:p>
        </w:tc>
        <w:tc>
          <w:tcPr>
            <w:tcW w:type="dxa" w:w="2634"/>
            <w:tcMar>
              <w:top w:type="dxa" w:w="40"/>
              <w:left w:type="dxa" w:w="90"/>
              <w:bottom w:type="dxa" w:w="40"/>
              <w:right w:type="dxa" w:w="90"/>
            </w:tcMar>
            <w:vAlign w:val="center"/>
          </w:tcPr>
          <w:p>
            <w:pPr>
              <w:spacing w:after="40" w:before="40" w:line="240"/>
              <w:jc w:val="right"/>
            </w:pPr>
            <w:r>
              <w:rPr>
                <w:sz w:val="20"/>
                <w:szCs w:val="20"/>
              </w:rPr>
              <w:t xml:space="preserve">$239.11</w:t>
            </w:r>
          </w:p>
        </w:tc>
      </w:tr>
      <w:tr>
        <w:tc>
          <w:tcPr>
            <w:tcW w:type="dxa" w:w="6200"/>
            <w:tcMar>
              <w:top w:type="dxa" w:w="40"/>
              <w:left w:type="dxa" w:w="90"/>
              <w:bottom w:type="dxa" w:w="40"/>
              <w:right w:type="dxa" w:w="90"/>
            </w:tcMar>
            <w:vAlign w:val="center"/>
          </w:tcPr>
          <w:p>
            <w:pPr>
              <w:spacing w:after="40" w:before="40" w:line="240"/>
            </w:pPr>
            <w:r>
              <w:rPr>
                <w:sz w:val="20"/>
                <w:szCs w:val="20"/>
              </w:rPr>
              <w:t xml:space="preserve">Rock removal – hard rock, trenches</w:t>
            </w:r>
          </w:p>
        </w:tc>
        <w:tc>
          <w:tcPr>
            <w:tcW w:type="dxa" w:w="1200"/>
            <w:tcMar>
              <w:top w:type="dxa" w:w="40"/>
              <w:left w:type="dxa" w:w="90"/>
              <w:bottom w:type="dxa" w:w="40"/>
              <w:right w:type="dxa" w:w="90"/>
            </w:tcMar>
            <w:vAlign w:val="center"/>
          </w:tcPr>
          <w:p>
            <w:pPr>
              <w:spacing w:after="40" w:before="40" w:line="240"/>
            </w:pPr>
            <w:r>
              <w:rPr>
                <w:sz w:val="20"/>
                <w:szCs w:val="20"/>
              </w:rPr>
              <w:t xml:space="preserve">m³</w:t>
            </w:r>
          </w:p>
        </w:tc>
        <w:tc>
          <w:tcPr>
            <w:tcW w:type="dxa" w:w="2634"/>
            <w:tcMar>
              <w:top w:type="dxa" w:w="40"/>
              <w:left w:type="dxa" w:w="90"/>
              <w:bottom w:type="dxa" w:w="40"/>
              <w:right w:type="dxa" w:w="90"/>
            </w:tcMar>
            <w:vAlign w:val="center"/>
          </w:tcPr>
          <w:p>
            <w:pPr>
              <w:spacing w:after="40" w:before="40" w:line="240"/>
              <w:jc w:val="right"/>
            </w:pPr>
            <w:r>
              <w:rPr>
                <w:sz w:val="20"/>
                <w:szCs w:val="20"/>
              </w:rPr>
              <w:t xml:space="preserve">$478.23</w:t>
            </w:r>
          </w:p>
        </w:tc>
      </w:tr>
      <w:tr>
        <w:tc>
          <w:tcPr>
            <w:tcW w:type="dxa" w:w="6200"/>
            <w:tcMar>
              <w:top w:type="dxa" w:w="40"/>
              <w:left w:type="dxa" w:w="90"/>
              <w:bottom w:type="dxa" w:w="40"/>
              <w:right w:type="dxa" w:w="90"/>
            </w:tcMar>
            <w:vAlign w:val="center"/>
          </w:tcPr>
          <w:p>
            <w:pPr>
              <w:spacing w:after="40" w:before="40" w:line="240"/>
            </w:pPr>
            <w:r>
              <w:rPr>
                <w:sz w:val="20"/>
                <w:szCs w:val="20"/>
              </w:rPr>
              <w:t xml:space="preserve">Rock removal – soft rock, pits</w:t>
            </w:r>
          </w:p>
        </w:tc>
        <w:tc>
          <w:tcPr>
            <w:tcW w:type="dxa" w:w="1200"/>
            <w:tcMar>
              <w:top w:type="dxa" w:w="40"/>
              <w:left w:type="dxa" w:w="90"/>
              <w:bottom w:type="dxa" w:w="40"/>
              <w:right w:type="dxa" w:w="90"/>
            </w:tcMar>
            <w:vAlign w:val="center"/>
          </w:tcPr>
          <w:p>
            <w:pPr>
              <w:spacing w:after="40" w:before="40" w:line="240"/>
            </w:pPr>
            <w:r>
              <w:rPr>
                <w:sz w:val="20"/>
                <w:szCs w:val="20"/>
              </w:rPr>
              <w:t xml:space="preserve">m³</w:t>
            </w:r>
          </w:p>
        </w:tc>
        <w:tc>
          <w:tcPr>
            <w:tcW w:type="dxa" w:w="2634"/>
            <w:tcMar>
              <w:top w:type="dxa" w:w="40"/>
              <w:left w:type="dxa" w:w="90"/>
              <w:bottom w:type="dxa" w:w="40"/>
              <w:right w:type="dxa" w:w="90"/>
            </w:tcMar>
            <w:vAlign w:val="center"/>
          </w:tcPr>
          <w:p>
            <w:pPr>
              <w:spacing w:after="40" w:before="40" w:line="240"/>
              <w:jc w:val="right"/>
            </w:pPr>
            <w:r>
              <w:rPr>
                <w:sz w:val="20"/>
                <w:szCs w:val="20"/>
              </w:rPr>
              <w:t xml:space="preserve">$318.82</w:t>
            </w:r>
          </w:p>
        </w:tc>
      </w:tr>
      <w:tr>
        <w:tc>
          <w:tcPr>
            <w:tcW w:type="dxa" w:w="6200"/>
            <w:tcMar>
              <w:top w:type="dxa" w:w="40"/>
              <w:left w:type="dxa" w:w="90"/>
              <w:bottom w:type="dxa" w:w="40"/>
              <w:right w:type="dxa" w:w="90"/>
            </w:tcMar>
            <w:vAlign w:val="center"/>
          </w:tcPr>
          <w:p>
            <w:pPr>
              <w:spacing w:after="40" w:before="40" w:line="240"/>
            </w:pPr>
            <w:r>
              <w:rPr>
                <w:sz w:val="20"/>
                <w:szCs w:val="20"/>
              </w:rPr>
              <w:t xml:space="preserve">Rock removal – hard rock, pits</w:t>
            </w:r>
          </w:p>
        </w:tc>
        <w:tc>
          <w:tcPr>
            <w:tcW w:type="dxa" w:w="1200"/>
            <w:tcMar>
              <w:top w:type="dxa" w:w="40"/>
              <w:left w:type="dxa" w:w="90"/>
              <w:bottom w:type="dxa" w:w="40"/>
              <w:right w:type="dxa" w:w="90"/>
            </w:tcMar>
            <w:vAlign w:val="center"/>
          </w:tcPr>
          <w:p>
            <w:pPr>
              <w:spacing w:after="40" w:before="40" w:line="240"/>
            </w:pPr>
            <w:r>
              <w:rPr>
                <w:sz w:val="20"/>
                <w:szCs w:val="20"/>
              </w:rPr>
              <w:t xml:space="preserve">m³</w:t>
            </w:r>
          </w:p>
        </w:tc>
        <w:tc>
          <w:tcPr>
            <w:tcW w:type="dxa" w:w="2634"/>
            <w:tcMar>
              <w:top w:type="dxa" w:w="40"/>
              <w:left w:type="dxa" w:w="90"/>
              <w:bottom w:type="dxa" w:w="40"/>
              <w:right w:type="dxa" w:w="90"/>
            </w:tcMar>
            <w:vAlign w:val="center"/>
          </w:tcPr>
          <w:p>
            <w:pPr>
              <w:spacing w:after="40" w:before="40" w:line="240"/>
              <w:jc w:val="right"/>
            </w:pPr>
            <w:r>
              <w:rPr>
                <w:sz w:val="20"/>
                <w:szCs w:val="20"/>
              </w:rPr>
              <w:t xml:space="preserve">$597.79</w:t>
            </w:r>
          </w:p>
        </w:tc>
      </w:tr>
      <w:tr>
        <w:tc>
          <w:tcPr>
            <w:tcW w:type="dxa" w:w="6200"/>
            <w:tcMar>
              <w:top w:type="dxa" w:w="40"/>
              <w:left w:type="dxa" w:w="90"/>
              <w:bottom w:type="dxa" w:w="40"/>
              <w:right w:type="dxa" w:w="90"/>
            </w:tcMar>
            <w:vAlign w:val="center"/>
          </w:tcPr>
          <w:p>
            <w:pPr>
              <w:spacing w:after="40" w:before="40" w:line="240"/>
            </w:pPr>
            <w:r>
              <w:rPr>
                <w:sz w:val="20"/>
                <w:szCs w:val="20"/>
              </w:rPr>
              <w:t xml:space="preserve">Unsuitable ground – removal and reinstatement</w:t>
            </w:r>
          </w:p>
        </w:tc>
        <w:tc>
          <w:tcPr>
            <w:tcW w:type="dxa" w:w="1200"/>
            <w:tcMar>
              <w:top w:type="dxa" w:w="40"/>
              <w:left w:type="dxa" w:w="90"/>
              <w:bottom w:type="dxa" w:w="40"/>
              <w:right w:type="dxa" w:w="90"/>
            </w:tcMar>
            <w:vAlign w:val="center"/>
          </w:tcPr>
          <w:p>
            <w:pPr>
              <w:spacing w:after="40" w:before="40" w:line="240"/>
            </w:pPr>
            <w:r>
              <w:rPr>
                <w:sz w:val="20"/>
                <w:szCs w:val="20"/>
              </w:rPr>
              <w:t xml:space="preserve">m³</w:t>
            </w:r>
          </w:p>
        </w:tc>
        <w:tc>
          <w:tcPr>
            <w:tcW w:type="dxa" w:w="2634"/>
            <w:tcMar>
              <w:top w:type="dxa" w:w="40"/>
              <w:left w:type="dxa" w:w="90"/>
              <w:bottom w:type="dxa" w:w="40"/>
              <w:right w:type="dxa" w:w="90"/>
            </w:tcMar>
            <w:vAlign w:val="center"/>
          </w:tcPr>
          <w:p>
            <w:pPr>
              <w:spacing w:after="40" w:before="40" w:line="240"/>
              <w:jc w:val="right"/>
            </w:pPr>
            <w:r>
              <w:rPr>
                <w:sz w:val="20"/>
                <w:szCs w:val="20"/>
              </w:rPr>
              <w:t xml:space="preserve">$390.39</w:t>
            </w:r>
          </w:p>
        </w:tc>
      </w:tr>
    </w:tbl>
    <w:p>
      <w:pPr>
        <w:spacing w:after="120"/>
      </w:pPr>
    </w:p>
    <w:p>
      <w:pPr>
        <w:spacing w:after="110" w:before="0" w:line="250"/>
      </w:pPr>
      <w:r>
        <w:t xml:space="preserve">These rate lines carry a rate but no quantity, and therefore contribute nothing to the tendered sum. They will be valued at the scheduled rate if and when a quantity is directed. Consistent with ITT Part 2 Section 18, they are payable only on the prior written direction of the Superintendent, with notification at first encounter as a condition of entitlement; we will notify on first encounter and seek direction before proceeding. The rates are extra over the excavation already priced in our lump sums, and rock within the band described at Section 3.4 is in those lump sums and is not claimable at these rates.</w:t>
      </w:r>
    </w:p>
    <w:p>
      <w:pPr>
        <w:pStyle w:val="Heading1"/>
      </w:pPr>
      <w:r>
        <w:t xml:space="preserve">11.  Access and Attendance Basis</w:t>
      </w:r>
    </w:p>
    <w:p>
      <w:pPr>
        <w:pStyle w:val="ListParagraph"/>
        <w:numPr>
          <w:ilvl w:val="0"/>
          <w:numId w:val="2"/>
        </w:numPr>
        <w:spacing w:after="70" w:line="250"/>
      </w:pPr>
      <w:r>
        <w:rPr>
          <w:b/>
          <w:bCs/>
        </w:rPr>
        <w:t xml:space="preserve">Included: </w:t>
      </w:r>
      <w:r>
        <w:t xml:space="preserve">site access via Norman Road; no access through the adjoining university campus is assumed or required.</w:t>
      </w:r>
    </w:p>
    <w:p>
      <w:pPr>
        <w:pStyle w:val="ListParagraph"/>
        <w:numPr>
          <w:ilvl w:val="0"/>
          <w:numId w:val="2"/>
        </w:numPr>
        <w:spacing w:after="70" w:line="250"/>
      </w:pPr>
      <w:r>
        <w:rPr>
          <w:b/>
          <w:bCs/>
        </w:rPr>
        <w:t xml:space="preserve">Included: </w:t>
      </w:r>
      <w:r>
        <w:t xml:space="preserve">excavation, trenching, bedding, backfill, compaction and make-safe within the footprint of the included stormwater works.</w:t>
      </w:r>
    </w:p>
    <w:p>
      <w:pPr>
        <w:pStyle w:val="ListParagraph"/>
        <w:numPr>
          <w:ilvl w:val="0"/>
          <w:numId w:val="2"/>
        </w:numPr>
        <w:spacing w:after="70" w:line="250"/>
      </w:pPr>
      <w:r>
        <w:rPr>
          <w:b/>
          <w:bCs/>
        </w:rPr>
        <w:t xml:space="preserve">Included: </w:t>
      </w:r>
      <w:r>
        <w:t xml:space="preserve">locating, working around and protecting other services encountered within our own excavations, with non-destructive excavation where our trenches enter tree protection zones.</w:t>
      </w:r>
    </w:p>
    <w:p>
      <w:pPr>
        <w:pStyle w:val="ListParagraph"/>
        <w:numPr>
          <w:ilvl w:val="0"/>
          <w:numId w:val="2"/>
        </w:numPr>
        <w:spacing w:after="70" w:line="250"/>
      </w:pPr>
      <w:r>
        <w:rPr>
          <w:b/>
          <w:bCs/>
        </w:rPr>
        <w:t xml:space="preserve">Included: </w:t>
      </w:r>
      <w:r>
        <w:t xml:space="preserve">coordination with and attendance on Superintendent, Principal Contractor and consultant inspections, site meetings and operational permits for the included works.</w:t>
      </w:r>
    </w:p>
    <w:p>
      <w:pPr>
        <w:pStyle w:val="ListParagraph"/>
        <w:numPr>
          <w:ilvl w:val="0"/>
          <w:numId w:val="2"/>
        </w:numPr>
        <w:spacing w:after="70" w:line="250"/>
      </w:pPr>
      <w:r>
        <w:rPr>
          <w:b/>
          <w:bCs/>
        </w:rPr>
        <w:t xml:space="preserve">Included: </w:t>
      </w:r>
      <w:r>
        <w:t xml:space="preserve">one remobilisation for the EDQ review gate ahead of stormwater commencement.</w:t>
      </w:r>
    </w:p>
    <w:p>
      <w:pPr>
        <w:pStyle w:val="ListParagraph"/>
        <w:numPr>
          <w:ilvl w:val="0"/>
          <w:numId w:val="2"/>
        </w:numPr>
        <w:spacing w:after="70" w:line="250"/>
      </w:pPr>
      <w:r>
        <w:rPr>
          <w:b/>
          <w:bCs/>
        </w:rPr>
        <w:t xml:space="preserve">Excluded: </w:t>
      </w:r>
      <w:r>
        <w:t xml:space="preserve">restricted access, staged access delays, and remobilisations beyond the tendered basis. Prices are based on the works proceeding in sequence within the tendered stage on continuous released work fronts, with clear access coordinated by the Principal Contractor.</w:t>
      </w:r>
    </w:p>
    <w:p>
      <w:pPr>
        <w:pStyle w:val="ListParagraph"/>
        <w:numPr>
          <w:ilvl w:val="0"/>
          <w:numId w:val="2"/>
        </w:numPr>
        <w:spacing w:after="70" w:line="250"/>
      </w:pPr>
      <w:r>
        <w:rPr>
          <w:b/>
          <w:bCs/>
        </w:rPr>
        <w:t xml:space="preserve">Excluded: </w:t>
      </w:r>
      <w:r>
        <w:t xml:space="preserve">reinstatement of pavements, kerb and channel, footpaths, hardstand, landscaping and finished surfaces over our trenches. We backfill, compact and make safe only.</w:t>
      </w:r>
    </w:p>
    <w:p>
      <w:pPr>
        <w:pStyle w:val="ListParagraph"/>
        <w:numPr>
          <w:ilvl w:val="0"/>
          <w:numId w:val="2"/>
        </w:numPr>
        <w:spacing w:after="70" w:line="250"/>
      </w:pPr>
      <w:r>
        <w:rPr>
          <w:b/>
          <w:bCs/>
        </w:rPr>
        <w:t xml:space="preserve">Excluded: </w:t>
      </w:r>
      <w:r>
        <w:t xml:space="preserve">out-of-hours and weekend work. Working hour basis is 6:30 am to 4:30 pm Monday to Friday.</w:t>
      </w:r>
    </w:p>
    <w:p>
      <w:pPr>
        <w:pStyle w:val="Heading1"/>
      </w:pPr>
      <w:r>
        <w:t xml:space="preserve">12.  Exclusions, Qualifications and Departures</w:t>
      </w:r>
    </w:p>
    <w:p>
      <w:pPr>
        <w:pStyle w:val="Heading2"/>
      </w:pPr>
      <w:r>
        <w:t xml:space="preserve">12.1  Exclusions – no allowance has been made for:</w:t>
      </w:r>
    </w:p>
    <w:p>
      <w:pPr>
        <w:pStyle w:val="ListParagraph"/>
        <w:numPr>
          <w:ilvl w:val="0"/>
          <w:numId w:val="2"/>
        </w:numPr>
        <w:spacing w:after="70" w:line="250"/>
      </w:pPr>
      <w:r>
        <w:t xml:space="preserve">Bulk earthworks, cut and fill, subgrade treatment, pavements and pavement surfacing, hardstands, kerb and channel, retaining structures, protective treatments, line marking and road furniture.</w:t>
      </w:r>
    </w:p>
    <w:p>
      <w:pPr>
        <w:pStyle w:val="ListParagraph"/>
        <w:numPr>
          <w:ilvl w:val="0"/>
          <w:numId w:val="2"/>
        </w:numPr>
        <w:spacing w:after="70" w:line="250"/>
      </w:pPr>
      <w:r>
        <w:t xml:space="preserve">Basin bulk shaping, embankment earthworks and the 50 m concrete spillway weir – Query B5 refers.</w:t>
      </w:r>
    </w:p>
    <w:p>
      <w:pPr>
        <w:pStyle w:val="ListParagraph"/>
        <w:numPr>
          <w:ilvl w:val="0"/>
          <w:numId w:val="2"/>
        </w:numPr>
        <w:spacing w:after="70" w:line="250"/>
      </w:pPr>
      <w:r>
        <w:t xml:space="preserve">Swale earthworks, shaping, grassing and vegetation. The pipe headwalls and rock protection scheduled on the civil sheets are priced; swale construction around them is not.</w:t>
      </w:r>
    </w:p>
    <w:p>
      <w:pPr>
        <w:pStyle w:val="ListParagraph"/>
        <w:numPr>
          <w:ilvl w:val="0"/>
          <w:numId w:val="2"/>
        </w:numPr>
        <w:spacing w:after="70" w:line="250"/>
      </w:pPr>
      <w:r>
        <w:t xml:space="preserve">Bio-retention basin filter media, sands, planting, topsoil and landscape establishment.</w:t>
      </w:r>
    </w:p>
    <w:p>
      <w:pPr>
        <w:pStyle w:val="ListParagraph"/>
        <w:numPr>
          <w:ilvl w:val="0"/>
          <w:numId w:val="2"/>
        </w:numPr>
        <w:spacing w:after="70" w:line="250"/>
      </w:pPr>
      <w:r>
        <w:t xml:space="preserve">The 100 mm subsoil drainage and type 2 strip-filter system, its media and its collector pipework, which are by others. Connections are accepted at our collector pits only.</w:t>
      </w:r>
    </w:p>
    <w:p>
      <w:pPr>
        <w:pStyle w:val="ListParagraph"/>
        <w:numPr>
          <w:ilvl w:val="0"/>
          <w:numId w:val="2"/>
        </w:numPr>
        <w:spacing w:after="70" w:line="250"/>
      </w:pPr>
      <w:r>
        <w:t xml:space="preserve">Kerb chute construction – refer Section 12.3.</w:t>
      </w:r>
    </w:p>
    <w:p>
      <w:pPr>
        <w:pStyle w:val="ListParagraph"/>
        <w:numPr>
          <w:ilvl w:val="0"/>
          <w:numId w:val="2"/>
        </w:numPr>
        <w:spacing w:after="70" w:line="250"/>
      </w:pPr>
      <w:r>
        <w:t xml:space="preserve">Erosion and sediment control: the site-wide erosion and sediment control plan and its implementation (Development Approval Condition 6), and the supply and installation of sediment fencing, erosion control matting and like controls. We will work within the Principal Contractor’s site-wide controls.</w:t>
      </w:r>
    </w:p>
    <w:p>
      <w:pPr>
        <w:pStyle w:val="ListParagraph"/>
        <w:numPr>
          <w:ilvl w:val="0"/>
          <w:numId w:val="2"/>
        </w:numPr>
        <w:spacing w:after="70" w:line="250"/>
      </w:pPr>
      <w:r>
        <w:t xml:space="preserve">Traffic and pedestrian management planning, permits and controls for the site and for public roads (Development Approval Condition 7). Delineation of our own work areas is included as stated at Section 8.1.</w:t>
      </w:r>
    </w:p>
    <w:p>
      <w:pPr>
        <w:pStyle w:val="ListParagraph"/>
        <w:numPr>
          <w:ilvl w:val="0"/>
          <w:numId w:val="2"/>
        </w:numPr>
        <w:spacing w:after="70" w:line="250"/>
      </w:pPr>
      <w:r>
        <w:t xml:space="preserve">Landscaping, revegetation, turf, softfall, irrigation and fencing.</w:t>
      </w:r>
    </w:p>
    <w:p>
      <w:pPr>
        <w:pStyle w:val="ListParagraph"/>
        <w:numPr>
          <w:ilvl w:val="0"/>
          <w:numId w:val="2"/>
        </w:numPr>
        <w:spacing w:after="70" w:line="250"/>
      </w:pPr>
      <w:r>
        <w:t xml:space="preserve">All plumbing and hydraulic services – water, sewer and fire services, in-building hydraulic services, roof plumbing, gutters and downpipes, and the in-ground downpipe stubs drawn on the hydraulic sheets. Refer the separate TriCore Plumbing Services submission. Our scope covers every structure and line drawn on the civil sheets from the nominated civil connection point onward, and the connection into our line or pit is ours.</w:t>
      </w:r>
    </w:p>
    <w:p>
      <w:pPr>
        <w:pStyle w:val="ListParagraph"/>
        <w:numPr>
          <w:ilvl w:val="0"/>
          <w:numId w:val="2"/>
        </w:numPr>
        <w:spacing w:after="70" w:line="250"/>
      </w:pPr>
      <w:r>
        <w:t xml:space="preserve">Electrical components, power supply, controls, telemetry, level sensors, alarms and accessories to any proprietary device, and any pump, pump well or pump station.</w:t>
      </w:r>
    </w:p>
    <w:p>
      <w:pPr>
        <w:pStyle w:val="ListParagraph"/>
        <w:numPr>
          <w:ilvl w:val="0"/>
          <w:numId w:val="2"/>
        </w:numPr>
        <w:spacing w:after="70" w:line="250"/>
      </w:pPr>
      <w:r>
        <w:t xml:space="preserve">Stormwater treatment devices, filter products, pit filter baskets, inlet protection and proprietary inlet inserts, other than the filtration cartridges carried as a prime cost sum at Section 9 and the trash boxes scheduled on F1320.</w:t>
      </w:r>
    </w:p>
    <w:p>
      <w:pPr>
        <w:pStyle w:val="ListParagraph"/>
        <w:numPr>
          <w:ilvl w:val="0"/>
          <w:numId w:val="2"/>
        </w:numPr>
        <w:spacing w:after="70" w:line="250"/>
      </w:pPr>
      <w:r>
        <w:t xml:space="preserve">WSUD cleaning, cartridge replacement, media renewal and maintenance beyond the defects liability period.</w:t>
      </w:r>
    </w:p>
    <w:p>
      <w:pPr>
        <w:pStyle w:val="ListParagraph"/>
        <w:numPr>
          <w:ilvl w:val="0"/>
          <w:numId w:val="2"/>
        </w:numPr>
        <w:spacing w:after="70" w:line="250"/>
      </w:pPr>
      <w:r>
        <w:t xml:space="preserve">Level 1 geotechnical supervision under AS 3798, primary control survey and third-party survey. Trade set-out from Principal-supplied control, our own as-constructed survey pick-up, RPEQ certification and ADAC data are included as stated at Section 8.1.</w:t>
      </w:r>
    </w:p>
    <w:p>
      <w:pPr>
        <w:pStyle w:val="ListParagraph"/>
        <w:numPr>
          <w:ilvl w:val="0"/>
          <w:numId w:val="2"/>
        </w:numPr>
        <w:spacing w:after="70" w:line="250"/>
      </w:pPr>
      <w:r>
        <w:t xml:space="preserve">Imported pavement materials – CBR-specified fill, road base and final trench pavement seal. Imported bedding stone and select backfill for our own trenches are included. The quality and suitability of Council-supplied or imported bulk fill are by others.</w:t>
      </w:r>
    </w:p>
    <w:p>
      <w:pPr>
        <w:pStyle w:val="ListParagraph"/>
        <w:numPr>
          <w:ilvl w:val="0"/>
          <w:numId w:val="2"/>
        </w:numPr>
        <w:spacing w:after="70" w:line="250"/>
      </w:pPr>
      <w:r>
        <w:t xml:space="preserve">Treatment, conditioning, classification, testing or removal of contaminated material, asbestos, acid sulfate soils or other regulated material, and any treatment of site-won high-plasticity clay to render it suitable for reuse. Spoil remains on site as described at Section 3.6 and no off-site disposal is priced.</w:t>
      </w:r>
    </w:p>
    <w:p>
      <w:pPr>
        <w:pStyle w:val="ListParagraph"/>
        <w:numPr>
          <w:ilvl w:val="0"/>
          <w:numId w:val="2"/>
        </w:numPr>
        <w:spacing w:after="70" w:line="250"/>
      </w:pPr>
      <w:r>
        <w:t xml:space="preserve">Dewatering beyond that manageable by the site sump-pump set included for our own excavations. Wellpointing, spearing, sustained groundwater control, and the treatment, licensing or disposal of dewatering discharge are excluded.</w:t>
      </w:r>
    </w:p>
    <w:p>
      <w:pPr>
        <w:pStyle w:val="ListParagraph"/>
        <w:numPr>
          <w:ilvl w:val="0"/>
          <w:numId w:val="2"/>
        </w:numPr>
        <w:spacing w:after="70" w:line="250"/>
      </w:pPr>
      <w:r>
        <w:t xml:space="preserve">Development, submission or fees for applications and approvals with regulatory authorities, other than the normal coordination and attendance for the included works.</w:t>
      </w:r>
    </w:p>
    <w:p>
      <w:pPr>
        <w:pStyle w:val="ListParagraph"/>
        <w:numPr>
          <w:ilvl w:val="0"/>
          <w:numId w:val="2"/>
        </w:numPr>
        <w:spacing w:after="70" w:line="250"/>
      </w:pPr>
      <w:r>
        <w:t xml:space="preserve">Supporting, adjusting, relocating, protecting beyond our own excavations, or the fees associated with authority services and other utilities, including electrical, communications and gas. We will coordinate and manage around them only.</w:t>
      </w:r>
    </w:p>
    <w:p>
      <w:pPr>
        <w:pStyle w:val="ListParagraph"/>
        <w:numPr>
          <w:ilvl w:val="0"/>
          <w:numId w:val="2"/>
        </w:numPr>
        <w:spacing w:after="70" w:line="250"/>
      </w:pPr>
      <w:r>
        <w:t xml:space="preserve">Disconnection of existing services other than stormwater services within our own works.</w:t>
      </w:r>
    </w:p>
    <w:p>
      <w:pPr>
        <w:pStyle w:val="ListParagraph"/>
        <w:numPr>
          <w:ilvl w:val="0"/>
          <w:numId w:val="2"/>
        </w:numPr>
        <w:spacing w:after="70" w:line="250"/>
      </w:pPr>
      <w:r>
        <w:t xml:space="preserve">Delays, alterations or additional works where existing service locations, depths or levels differ from the supplied drawings, or where undocumented clashes are encountered. TriCore will notify and detail any clash or error to the Principal Contractor and the Superintendent for instruction.</w:t>
      </w:r>
    </w:p>
    <w:p>
      <w:pPr>
        <w:pStyle w:val="ListParagraph"/>
        <w:numPr>
          <w:ilvl w:val="0"/>
          <w:numId w:val="2"/>
        </w:numPr>
        <w:spacing w:after="70" w:line="250"/>
      </w:pPr>
      <w:r>
        <w:t xml:space="preserve">Hardstands, slabs, plinths and concrete surrounds outside the drainage structures specifically measured in this submission. The culvert headwalls and wingwalls, the internal upstand at chamber 26-02 and the rock protection to our own structures are included.</w:t>
      </w:r>
    </w:p>
    <w:p>
      <w:pPr>
        <w:pStyle w:val="ListParagraph"/>
        <w:numPr>
          <w:ilvl w:val="0"/>
          <w:numId w:val="2"/>
        </w:numPr>
        <w:spacing w:after="70" w:line="250"/>
      </w:pPr>
      <w:r>
        <w:t xml:space="preserve">Shop drawings – refer Section 12.3.</w:t>
      </w:r>
    </w:p>
    <w:p>
      <w:pPr>
        <w:pStyle w:val="ListParagraph"/>
        <w:numPr>
          <w:ilvl w:val="0"/>
          <w:numId w:val="2"/>
        </w:numPr>
        <w:spacing w:after="70" w:line="250"/>
      </w:pPr>
      <w:r>
        <w:t xml:space="preserve">Liquidated damages and acceleration costs.</w:t>
      </w:r>
    </w:p>
    <w:p>
      <w:pPr>
        <w:pStyle w:val="ListParagraph"/>
        <w:numPr>
          <w:ilvl w:val="0"/>
          <w:numId w:val="2"/>
        </w:numPr>
        <w:spacing w:after="70" w:line="250"/>
      </w:pPr>
      <w:r>
        <w:t xml:space="preserve">Any item not expressly scheduled and priced in the Work Area Pricing Summary at Section 6, including the Schedule 3 line “Any other works not covered above”.</w:t>
      </w:r>
    </w:p>
    <w:p>
      <w:pPr>
        <w:pStyle w:val="Heading2"/>
      </w:pPr>
      <w:r>
        <w:t xml:space="preserve">12.2  Qualifications</w:t>
      </w:r>
    </w:p>
    <w:p>
      <w:pPr>
        <w:pStyle w:val="ListParagraph"/>
        <w:numPr>
          <w:ilvl w:val="0"/>
          <w:numId w:val="2"/>
        </w:numPr>
        <w:spacing w:after="70" w:line="250"/>
      </w:pPr>
      <w:r>
        <w:rPr>
          <w:b/>
          <w:bCs/>
        </w:rPr>
        <w:t xml:space="preserve">Assumption basis. </w:t>
      </w:r>
      <w:r>
        <w:t xml:space="preserve">Our tendered sums are based on the assumptions recorded in the Tender Query Schedule at Appendix A. Where a response alters an assumption, we reserve the right to adjust our price for that item accordingly. This schedule is issued to satisfy the requirement at H002 note 15 and VOL 38 Section 3.58 that ambiguities and conflicts be raised at tender.</w:t>
      </w:r>
    </w:p>
    <w:p>
      <w:pPr>
        <w:pStyle w:val="ListParagraph"/>
        <w:numPr>
          <w:ilvl w:val="0"/>
          <w:numId w:val="2"/>
        </w:numPr>
        <w:spacing w:after="70" w:line="250"/>
      </w:pPr>
      <w:r>
        <w:rPr>
          <w:b/>
          <w:bCs/>
        </w:rPr>
        <w:t xml:space="preserve">Documents basis. </w:t>
      </w:r>
      <w:r>
        <w:t xml:space="preserve">As Section 3.9. VOL 35, RRC Addenda 1 to 6, VOL 32 and the ITT Section 27 Appendix Folder were not issued to us; nothing arising from them is priced.</w:t>
      </w:r>
    </w:p>
    <w:p>
      <w:pPr>
        <w:pStyle w:val="ListParagraph"/>
        <w:numPr>
          <w:ilvl w:val="0"/>
          <w:numId w:val="2"/>
        </w:numPr>
        <w:spacing w:after="70" w:line="250"/>
      </w:pPr>
      <w:r>
        <w:rPr>
          <w:b/>
          <w:bCs/>
        </w:rPr>
        <w:t xml:space="preserve">Governing documents. </w:t>
      </w:r>
      <w:r>
        <w:t xml:space="preserve">As Section 3.3. The Design Report cites the civil set at Revision D2 and the T1 sheets were not reissued to suit; a reissue of the civil set changes quantities and our price.</w:t>
      </w:r>
    </w:p>
    <w:p>
      <w:pPr>
        <w:pStyle w:val="ListParagraph"/>
        <w:numPr>
          <w:ilvl w:val="0"/>
          <w:numId w:val="2"/>
        </w:numPr>
        <w:spacing w:after="70" w:line="250"/>
      </w:pPr>
      <w:r>
        <w:rPr>
          <w:b/>
          <w:bCs/>
        </w:rPr>
        <w:t xml:space="preserve">Structure count and C09. </w:t>
      </w:r>
      <w:r>
        <w:t xml:space="preserve">As Section 3.2. Non-standard C09 structures, or structures additional to the 141 counted from the layouts and F1321, are unpriced.</w:t>
      </w:r>
    </w:p>
    <w:p>
      <w:pPr>
        <w:pStyle w:val="ListParagraph"/>
        <w:numPr>
          <w:ilvl w:val="0"/>
          <w:numId w:val="2"/>
        </w:numPr>
        <w:spacing w:after="70" w:line="250"/>
      </w:pPr>
      <w:r>
        <w:rPr>
          <w:b/>
          <w:bCs/>
        </w:rPr>
        <w:t xml:space="preserve">Pit schedule defects. </w:t>
      </w:r>
      <w:r>
        <w:t xml:space="preserve">F1310 lists pit 87-02 twice with conflicting attributes, the remarks and cover columns are shifted by one row at five pits, pit 06-01 cites a sheet that does not exist, and pit 81-07 appears in the schedule but not in the line-81 sequence on F1361. We have priced on the corrected reading described at Query B2; cover-class or pit-type changes alter our rates.</w:t>
      </w:r>
    </w:p>
    <w:p>
      <w:pPr>
        <w:pStyle w:val="ListParagraph"/>
        <w:numPr>
          <w:ilvl w:val="0"/>
          <w:numId w:val="2"/>
        </w:numPr>
        <w:spacing w:after="70" w:line="250"/>
      </w:pPr>
      <w:r>
        <w:rPr>
          <w:b/>
          <w:bCs/>
        </w:rPr>
        <w:t xml:space="preserve">Grated trench drainage. </w:t>
      </w:r>
      <w:r>
        <w:t xml:space="preserve">Priced to the F1320 schedule. GT2 is scheduled with four pits where GT3 and GT4 at the same length are scheduled with seven, and the layouts show more; GT6 is scheduled as Class D ductile iron where all other runs are Class B. Additional pits or units are a variation – Query B3 refers.</w:t>
      </w:r>
    </w:p>
    <w:p>
      <w:pPr>
        <w:pStyle w:val="ListParagraph"/>
        <w:numPr>
          <w:ilvl w:val="0"/>
          <w:numId w:val="2"/>
        </w:numPr>
        <w:spacing w:after="70" w:line="250"/>
      </w:pPr>
      <w:r>
        <w:rPr>
          <w:b/>
          <w:bCs/>
        </w:rPr>
        <w:t xml:space="preserve">Sheet completeness. </w:t>
      </w:r>
      <w:r>
        <w:t xml:space="preserve">The long-section sheet titles skip Sheet 13 although drawing numbers F1350 to F1363 are consecutive, and F1324 and F1325 are both titled “Details Sheet 5” with different content. We have read F1325 as Sheet 6 and assumed no sheet is missing – Query B7 refers.</w:t>
      </w:r>
    </w:p>
    <w:p>
      <w:pPr>
        <w:pStyle w:val="ListParagraph"/>
        <w:numPr>
          <w:ilvl w:val="0"/>
          <w:numId w:val="2"/>
        </w:numPr>
        <w:spacing w:after="70" w:line="250"/>
      </w:pPr>
      <w:r>
        <w:rPr>
          <w:b/>
          <w:bCs/>
        </w:rPr>
        <w:t xml:space="preserve">Programme allowance. </w:t>
      </w:r>
      <w:r>
        <w:t xml:space="preserve">ITT Section 20.h allows only five days combined for inclement weather and latent conditions across the programme. For a Central Queensland site with a 2027 commencement, and with the vegetation and fauna management plan imposing a 6 pm to 6 am machinery curfew that removes evening recovery, that allowance is carried as directed but our position is reserved for weather and latent conditions beyond it. No acceleration is priced. Query A5 refers.</w:t>
      </w:r>
    </w:p>
    <w:p>
      <w:pPr>
        <w:pStyle w:val="ListParagraph"/>
        <w:numPr>
          <w:ilvl w:val="0"/>
          <w:numId w:val="2"/>
        </w:numPr>
        <w:spacing w:after="70" w:line="250"/>
      </w:pPr>
      <w:r>
        <w:rPr>
          <w:b/>
          <w:bCs/>
        </w:rPr>
        <w:t xml:space="preserve">Programme gates. </w:t>
      </w:r>
      <w:r>
        <w:t xml:space="preserve">EDQ Conditions 16 and 17 impose 20-business-day review windows before stormwater commencement, and the lawful discharge point is a watercourse on adjoining land for which no land agreement is recorded. One EDQ-gate remobilisation is allowed. These are carried as programme gates; we neither price nor undertake to resolve the underlying approval and land-access risk.</w:t>
      </w:r>
    </w:p>
    <w:p>
      <w:pPr>
        <w:pStyle w:val="ListParagraph"/>
        <w:numPr>
          <w:ilvl w:val="0"/>
          <w:numId w:val="2"/>
        </w:numPr>
        <w:spacing w:after="70" w:line="250"/>
      </w:pPr>
      <w:r>
        <w:rPr>
          <w:b/>
          <w:bCs/>
        </w:rPr>
        <w:t xml:space="preserve">Stage 1B basin. </w:t>
      </w:r>
      <w:r>
        <w:t xml:space="preserve">No separate Stage 1B basin is documented in the civil set. The single documented basin sits within the Stage 1A hatch and its outlet works are priced once, in Stage 1A. Confirmation is requested.</w:t>
      </w:r>
    </w:p>
    <w:p>
      <w:pPr>
        <w:pStyle w:val="ListParagraph"/>
        <w:numPr>
          <w:ilvl w:val="0"/>
          <w:numId w:val="2"/>
        </w:numPr>
        <w:spacing w:after="70" w:line="250"/>
      </w:pPr>
      <w:r>
        <w:rPr>
          <w:b/>
          <w:bCs/>
        </w:rPr>
        <w:t xml:space="preserve">Stage boundary. </w:t>
      </w:r>
      <w:r>
        <w:t xml:space="preserve">As Section 3.7. Where the confirmed hatch boundary moves an item between stages, the two stage sums adjust between them.</w:t>
      </w:r>
    </w:p>
    <w:p>
      <w:pPr>
        <w:pStyle w:val="ListParagraph"/>
        <w:numPr>
          <w:ilvl w:val="0"/>
          <w:numId w:val="2"/>
        </w:numPr>
        <w:spacing w:after="70" w:line="250"/>
      </w:pPr>
      <w:r>
        <w:rPr>
          <w:b/>
          <w:bCs/>
        </w:rPr>
        <w:t xml:space="preserve">Terminology. </w:t>
      </w:r>
      <w:r>
        <w:t xml:space="preserve">The drawings document a detention basin; the Schedule 3 line is titled “Retention Basin”. We have priced the structure as drawn.</w:t>
      </w:r>
    </w:p>
    <w:p>
      <w:pPr>
        <w:pStyle w:val="ListParagraph"/>
        <w:numPr>
          <w:ilvl w:val="0"/>
          <w:numId w:val="2"/>
        </w:numPr>
        <w:spacing w:after="70" w:line="250"/>
      </w:pPr>
      <w:r>
        <w:rPr>
          <w:b/>
          <w:bCs/>
        </w:rPr>
        <w:t xml:space="preserve">Rate mechanics. </w:t>
      </w:r>
      <w:r>
        <w:t xml:space="preserve">As Section 10. The rate lines carry no quantity and are payable only on prior written direction.</w:t>
      </w:r>
    </w:p>
    <w:p>
      <w:pPr>
        <w:pStyle w:val="ListParagraph"/>
        <w:numPr>
          <w:ilvl w:val="0"/>
          <w:numId w:val="2"/>
        </w:numPr>
        <w:spacing w:after="70" w:line="250"/>
      </w:pPr>
      <w:r>
        <w:rPr>
          <w:b/>
          <w:bCs/>
        </w:rPr>
        <w:t xml:space="preserve">Post-tender change. </w:t>
      </w:r>
      <w:r>
        <w:t xml:space="preserve">Any post-tender scope growth, redesign of other disciplines, changes arising from final layouts, authority comments, certifier requirements or undocumented existing conditions is excluded unless instructed and valued as a variation, or covered by the named prime cost sum.</w:t>
      </w:r>
    </w:p>
    <w:p>
      <w:pPr>
        <w:pStyle w:val="Heading2"/>
      </w:pPr>
      <w:r>
        <w:t xml:space="preserve">12.3  Departures from the tender documents</w:t>
      </w:r>
    </w:p>
    <w:p>
      <w:pPr>
        <w:spacing w:after="110" w:before="0" w:line="250"/>
      </w:pPr>
      <w:r>
        <w:rPr>
          <w:i/>
          <w:iCs/>
        </w:rPr>
        <w:t xml:space="preserve">Two departures are declared expressly rather than left to be discovered.</w:t>
      </w:r>
    </w:p>
    <w:p>
      <w:pPr>
        <w:pStyle w:val="ListParagraph"/>
        <w:numPr>
          <w:ilvl w:val="0"/>
          <w:numId w:val="2"/>
        </w:numPr>
        <w:spacing w:after="70" w:line="250"/>
      </w:pPr>
      <w:r>
        <w:rPr>
          <w:b/>
          <w:bCs/>
        </w:rPr>
        <w:t xml:space="preserve">Shop drawings. </w:t>
      </w:r>
      <w:r>
        <w:t xml:space="preserve">Drawing H002 note 2 requires shop drawings. Shop drawings are excluded from this submission. This is a declared departure from the tender documents; an add-price is held and can be provided on request. As-constructed drafting, RPEQ certification and ADAC data preparation are separate deliverables and remain included.</w:t>
      </w:r>
    </w:p>
    <w:p>
      <w:pPr>
        <w:pStyle w:val="ListParagraph"/>
        <w:numPr>
          <w:ilvl w:val="0"/>
          <w:numId w:val="2"/>
        </w:numPr>
        <w:spacing w:after="70" w:line="250"/>
      </w:pPr>
      <w:r>
        <w:rPr>
          <w:b/>
          <w:bCs/>
        </w:rPr>
        <w:t xml:space="preserve">Kerb chute construction. </w:t>
      </w:r>
      <w:r>
        <w:t xml:space="preserve">Nine kerb chute structures appear in the pit schedule and Design Report Section 6.1 nominates kerb chutes replacing the pit-and-pipe headwall outlets, but no chute construction detail with concrete, rock and matting quantities is provided in the issued set. Kerb chute construction is excluded from our base price; an add-price is held and can be provided on request. Query B8 refers.</w:t>
      </w:r>
    </w:p>
    <w:p>
      <w:pPr>
        <w:pStyle w:val="Heading1"/>
      </w:pPr>
      <w:r>
        <w:t xml:space="preserve">13.  Construct-Only Basis</w:t>
      </w:r>
    </w:p>
    <w:p>
      <w:pPr>
        <w:spacing w:after="110" w:before="0" w:line="250"/>
      </w:pPr>
      <w:r>
        <w:t xml:space="preserve">This tender is construct-only. No design services, design development, redesign, workshop drawing design responsibility or professional indemnity for design is included, and we accept no design liability for the documented works. The works will be constructed to the issued documentation on the basis described at Section 3.3, with as-constructed drawings, RPEQ certification of our own constructed assets and ADAC data as the documentation deliverables. Design changes, performance solutions, alternative products adopted after tender, or re-certification arising after tender, are variations.</w:t>
      </w:r>
    </w:p>
    <w:p>
      <w:pPr>
        <w:pStyle w:val="Heading1"/>
      </w:pPr>
      <w:r>
        <w:t xml:space="preserve">14.  Conditions</w:t>
      </w:r>
    </w:p>
    <w:p>
      <w:pPr>
        <w:pStyle w:val="ListParagraph"/>
        <w:numPr>
          <w:ilvl w:val="0"/>
          <w:numId w:val="2"/>
        </w:numPr>
        <w:spacing w:after="70" w:line="250"/>
      </w:pPr>
      <w:r>
        <w:t xml:space="preserve">This tender is open for acceptance for sixty (60) days from the date of this submission. The supplier quotations underpinning our material rates carry their own validity periods and may be subject to re-quote.</w:t>
      </w:r>
    </w:p>
    <w:p>
      <w:pPr>
        <w:pStyle w:val="ListParagraph"/>
        <w:numPr>
          <w:ilvl w:val="0"/>
          <w:numId w:val="2"/>
        </w:numPr>
        <w:spacing w:after="70" w:line="250"/>
      </w:pPr>
      <w:r>
        <w:t xml:space="preserve">All sums are exclusive of GST.</w:t>
      </w:r>
    </w:p>
    <w:p>
      <w:pPr>
        <w:pStyle w:val="ListParagraph"/>
        <w:numPr>
          <w:ilvl w:val="0"/>
          <w:numId w:val="2"/>
        </w:numPr>
        <w:spacing w:after="70" w:line="250"/>
      </w:pPr>
      <w:r>
        <w:t xml:space="preserve">Title to all works, including consumables, remains the property of TriCore Civil Services Pty Ltd until payment has been received in full.</w:t>
      </w:r>
    </w:p>
    <w:p>
      <w:pPr>
        <w:pStyle w:val="ListParagraph"/>
        <w:numPr>
          <w:ilvl w:val="0"/>
          <w:numId w:val="2"/>
        </w:numPr>
        <w:spacing w:after="70" w:line="250"/>
      </w:pPr>
      <w:r>
        <w:t xml:space="preserve">Due to supply and manufacturer price securement and procurement requirements, reasonable claim may be made for major project materials procured and delivered to site, or otherwise secured for the project.</w:t>
      </w:r>
    </w:p>
    <w:p>
      <w:pPr>
        <w:pStyle w:val="ListParagraph"/>
        <w:numPr>
          <w:ilvl w:val="0"/>
          <w:numId w:val="2"/>
        </w:numPr>
        <w:spacing w:after="70" w:line="250"/>
      </w:pPr>
      <w:r>
        <w:t xml:space="preserve">Prices are based on completion of the works in sequence within the tendered stage, with reasonable clear access and coordinated work fronts provided by the Principal Contractor.</w:t>
      </w:r>
    </w:p>
    <w:p>
      <w:pPr>
        <w:pStyle w:val="ListParagraph"/>
        <w:numPr>
          <w:ilvl w:val="0"/>
          <w:numId w:val="2"/>
        </w:numPr>
        <w:spacing w:after="70" w:line="250"/>
      </w:pPr>
      <w:r>
        <w:t xml:space="preserve">Extension of time and associated costs may apply for wet weather, latent conditions, design changes, authority changes, restricted access, public holidays, the Christmas shutdown, third-party interruption or circumstances outside TriCore’s control, subject to the programme qualification at Section 12.2.</w:t>
      </w:r>
    </w:p>
    <w:p>
      <w:pPr>
        <w:pStyle w:val="ListParagraph"/>
        <w:numPr>
          <w:ilvl w:val="0"/>
          <w:numId w:val="2"/>
        </w:numPr>
        <w:spacing w:after="70" w:line="250"/>
      </w:pPr>
      <w:r>
        <w:t xml:space="preserve">Subcontract terms, programme, retention, insurance and back-charge provisions are subject to review and agreement before execution.</w:t>
      </w:r>
    </w:p>
    <w:p>
      <w:pPr>
        <w:pStyle w:val="Heading1"/>
      </w:pPr>
      <w:r>
        <w:t xml:space="preserve">15.  About TriCore in Central Queensland</w:t>
      </w:r>
    </w:p>
    <w:p>
      <w:pPr>
        <w:spacing w:after="110" w:before="0" w:line="250"/>
      </w:pPr>
      <w:r>
        <w:t xml:space="preserve">TriCore Civil Services is a Queensland civil and hydraulic contractor with an established presence in Central Queensland. We have delivered civil and hydraulic works in Rockhampton and across the region with multiple crews, our own plant fleet and an established local supply, precast and quarry base, supported by our Brisbane metropolitan office for procurement, engineering support and surge resourcing. The rates in this submission are built from first principles against our current Central Queensland cost base, so that the basis of every rate is transparent and auditable on request.</w:t>
      </w:r>
    </w:p>
    <w:p>
      <w:pPr>
        <w:spacing w:after="110" w:before="0" w:line="250"/>
      </w:pPr>
      <w:r>
        <w:t xml:space="preserve">Our recent Rockhampton work includes the completed fire main construction project on the Central Queensland University campus, delivered by TriCore Civil Services as Principal Contractor on a live, operating site.</w:t>
      </w:r>
    </w:p>
    <w:p>
      <w:pPr>
        <w:pStyle w:val="Heading1"/>
      </w:pPr>
      <w:r>
        <w:t xml:space="preserve">16.  Client and Consultant References</w:t>
      </w:r>
    </w:p>
    <w:p>
      <w:pPr>
        <w:spacing w:after="110" w:before="0" w:line="250"/>
      </w:pPr>
      <w:r>
        <w:t xml:space="preserve">Two reference letters are provided with this submission:</w:t>
      </w:r>
    </w:p>
    <w:p>
      <w:pPr>
        <w:pStyle w:val="ListParagraph"/>
        <w:numPr>
          <w:ilvl w:val="0"/>
          <w:numId w:val="2"/>
        </w:numPr>
        <w:spacing w:after="70" w:line="250"/>
      </w:pPr>
      <w:r>
        <w:t xml:space="preserve">Central Queensland University – Gordon Boytell, Senior Project Manager, 8 September 2025, for the completed Rockhampton North fire main construction project.</w:t>
      </w:r>
    </w:p>
    <w:p>
      <w:pPr>
        <w:pStyle w:val="ListParagraph"/>
        <w:numPr>
          <w:ilvl w:val="0"/>
          <w:numId w:val="2"/>
        </w:numPr>
        <w:spacing w:after="70" w:line="250"/>
      </w:pPr>
      <w:r>
        <w:t xml:space="preserve">GHD Pty Ltd – Bryan Percival, Senior Hydraulic and Fire Consultant, 10 December 2025, as lead designer on the same project, addressing TriCore Civil Services’ delivery as Principal Contractor.</w:t>
      </w:r>
    </w:p>
    <w:p>
      <w:pPr>
        <w:spacing w:after="110" w:before="0" w:line="250"/>
      </w:pPr>
      <w:r>
        <w:t xml:space="preserve">Both letters concern work completed in Rockhampton and both writers have provided their contact details for verification.</w:t>
      </w:r>
    </w:p>
    <w:p>
      <w:pPr>
        <w:spacing w:after="0"/>
      </w:pPr>
      <w:r>
        <w:br w:type="page"/>
      </w:r>
    </w:p>
    <w:p>
      <w:pPr>
        <w:pStyle w:val="Heading1"/>
      </w:pPr>
      <w:r>
        <w:t xml:space="preserve">17.  Acceptance and Signature</w:t>
      </w:r>
    </w:p>
    <w:p>
      <w:pPr>
        <w:spacing w:after="110" w:before="0" w:line="250"/>
      </w:pPr>
      <w:r>
        <w:t xml:space="preserve">We invite you to contact our office should you require any further information regarding this submission, the priced basis of any item, or the queries at Appendix A.</w:t>
      </w:r>
    </w:p>
    <w:p>
      <w:pPr>
        <w:spacing w:after="60" w:before="0" w:line="250"/>
      </w:pPr>
      <w:r>
        <w:t xml:space="preserve">Sincerely,</w:t>
      </w:r>
    </w:p>
    <w:p>
      <w:pPr>
        <w:spacing w:after="20"/>
      </w:pPr>
      <w:r>
        <w:rPr>
          <w:rFonts w:ascii="Segoe Script" w:cs="Segoe Script" w:eastAsia="Segoe Script" w:hAnsi="Segoe Script"/>
          <w:color w:val="1F4E79"/>
          <w:sz w:val="26"/>
          <w:szCs w:val="26"/>
        </w:rPr>
        <w:t xml:space="preserve">Mitch Hannan</w:t>
      </w:r>
    </w:p>
    <w:p>
      <w:pPr>
        <w:spacing w:after="40" w:before="0" w:line="250"/>
      </w:pPr>
      <w:r>
        <w:t xml:space="preserve">__________________________</w:t>
      </w:r>
    </w:p>
    <w:p>
      <w:pPr>
        <w:spacing w:after="40" w:before="0" w:line="250"/>
      </w:pPr>
      <w:r>
        <w:rPr>
          <w:b/>
          <w:bCs/>
        </w:rPr>
        <w:t xml:space="preserve">Mitch Hannan</w:t>
      </w:r>
    </w:p>
    <w:p>
      <w:pPr>
        <w:spacing w:after="0" w:before="0" w:line="250"/>
      </w:pPr>
      <w:r>
        <w:rPr>
          <w:b/>
          <w:bCs/>
          <w:sz w:val="19"/>
          <w:szCs w:val="19"/>
        </w:rPr>
        <w:t xml:space="preserve">TRICORE CIVIL SERVICES PTY LTD</w:t>
      </w:r>
    </w:p>
    <w:p>
      <w:pPr>
        <w:spacing w:after="0" w:before="0" w:line="250"/>
      </w:pPr>
      <w:r>
        <w:rPr>
          <w:sz w:val="19"/>
          <w:szCs w:val="19"/>
        </w:rPr>
        <w:t xml:space="preserve">ATF THE TRICORE CIVIL SERVICES TRUST</w:t>
      </w:r>
    </w:p>
    <w:p>
      <w:pPr>
        <w:spacing w:after="0" w:before="0" w:line="250"/>
      </w:pPr>
      <w:r>
        <w:rPr>
          <w:sz w:val="19"/>
          <w:szCs w:val="19"/>
        </w:rPr>
        <w:t xml:space="preserve">ABN 89 195 291 365</w:t>
      </w:r>
    </w:p>
    <w:p>
      <w:pPr>
        <w:spacing w:after="0" w:before="0" w:line="250"/>
      </w:pPr>
      <w:r>
        <w:rPr>
          <w:sz w:val="19"/>
          <w:szCs w:val="19"/>
        </w:rPr>
        <w:t xml:space="preserve">PO Box 103, Rockhampton QLD 4700</w:t>
      </w:r>
    </w:p>
    <w:p>
      <w:pPr>
        <w:spacing w:after="0" w:before="0" w:line="250"/>
      </w:pPr>
      <w:r>
        <w:rPr>
          <w:sz w:val="19"/>
          <w:szCs w:val="19"/>
        </w:rPr>
        <w:t xml:space="preserve">Tel. 07 3390 5803</w:t>
      </w:r>
    </w:p>
    <w:p>
      <w:pPr>
        <w:spacing w:after="140" w:before="0" w:line="250"/>
      </w:pPr>
      <w:r>
        <w:rPr>
          <w:sz w:val="19"/>
          <w:szCs w:val="19"/>
        </w:rPr>
        <w:t xml:space="preserve">tricorecivil.com.au</w:t>
      </w:r>
    </w:p>
    <w:p>
      <w:pPr>
        <w:spacing w:after="80" w:before="0" w:line="250"/>
      </w:pPr>
      <w:r>
        <w:rPr>
          <w:i/>
          <w:iCs/>
        </w:rPr>
        <w:t xml:space="preserve">For completion by the recipient if this submission is accepted:</w:t>
      </w:r>
    </w:p>
    <w:tbl>
      <w:tblPr>
        <w:tblW w:type="dxa" w:w="10034"/>
        <w:tblBorders>
          <w:top w:val="single" w:color="9AB3CC" w:sz="4"/>
          <w:left w:val="single" w:color="9AB3CC" w:sz="4"/>
          <w:bottom w:val="single" w:color="9AB3CC" w:sz="4"/>
          <w:right w:val="single" w:color="9AB3CC" w:sz="4"/>
          <w:insideH w:val="single" w:color="9AB3CC" w:sz="2"/>
          <w:insideV w:val="single" w:color="9AB3CC" w:sz="2"/>
        </w:tblBorders>
      </w:tblPr>
      <w:tblGrid>
        <w:gridCol w:w="2600"/>
        <w:gridCol w:w="7434"/>
      </w:tblGrid>
      <w:tr>
        <w:tc>
          <w:tcPr>
            <w:tcW w:type="dxa" w:w="2600"/>
            <w:tcMar>
              <w:top w:type="dxa" w:w="40"/>
              <w:left w:type="dxa" w:w="90"/>
              <w:bottom w:type="dxa" w:w="40"/>
              <w:right w:type="dxa" w:w="90"/>
            </w:tcMar>
            <w:vAlign w:val="center"/>
          </w:tcPr>
          <w:p>
            <w:pPr>
              <w:spacing w:after="40" w:before="40" w:line="240"/>
            </w:pPr>
            <w:r>
              <w:rPr>
                <w:b/>
                <w:bCs/>
                <w:sz w:val="20"/>
                <w:szCs w:val="20"/>
              </w:rPr>
              <w:t xml:space="preserve">Accepted for and on behalf of</w:t>
            </w:r>
          </w:p>
        </w:tc>
        <w:tc>
          <w:tcPr>
            <w:tcW w:type="dxa" w:w="7434"/>
            <w:tcMar>
              <w:top w:type="dxa" w:w="40"/>
              <w:left w:type="dxa" w:w="90"/>
              <w:bottom w:type="dxa" w:w="40"/>
              <w:right w:type="dxa" w:w="90"/>
            </w:tcMar>
            <w:vAlign w:val="center"/>
          </w:tcPr>
          <w:p>
            <w:pPr>
              <w:spacing w:after="40" w:before="40" w:line="240"/>
            </w:pPr>
            <w:r>
              <w:rPr>
                <w:b w:val="false"/>
                <w:bCs w:val="false"/>
                <w:sz w:val="20"/>
                <w:szCs w:val="20"/>
              </w:rPr>
              <w:t xml:space="preserve"/>
            </w:r>
          </w:p>
        </w:tc>
      </w:tr>
      <w:tr>
        <w:tc>
          <w:tcPr>
            <w:tcW w:type="dxa" w:w="2600"/>
            <w:tcMar>
              <w:top w:type="dxa" w:w="40"/>
              <w:left w:type="dxa" w:w="90"/>
              <w:bottom w:type="dxa" w:w="40"/>
              <w:right w:type="dxa" w:w="90"/>
            </w:tcMar>
            <w:vAlign w:val="center"/>
          </w:tcPr>
          <w:p>
            <w:pPr>
              <w:spacing w:after="40" w:before="40" w:line="240"/>
            </w:pPr>
            <w:r>
              <w:rPr>
                <w:b/>
                <w:bCs/>
                <w:sz w:val="20"/>
                <w:szCs w:val="20"/>
              </w:rPr>
              <w:t xml:space="preserve">Name</w:t>
            </w:r>
          </w:p>
        </w:tc>
        <w:tc>
          <w:tcPr>
            <w:tcW w:type="dxa" w:w="7434"/>
            <w:tcMar>
              <w:top w:type="dxa" w:w="40"/>
              <w:left w:type="dxa" w:w="90"/>
              <w:bottom w:type="dxa" w:w="40"/>
              <w:right w:type="dxa" w:w="90"/>
            </w:tcMar>
            <w:vAlign w:val="center"/>
          </w:tcPr>
          <w:p>
            <w:pPr>
              <w:spacing w:after="40" w:before="40" w:line="240"/>
            </w:pPr>
            <w:r>
              <w:rPr>
                <w:b w:val="false"/>
                <w:bCs w:val="false"/>
                <w:sz w:val="20"/>
                <w:szCs w:val="20"/>
              </w:rPr>
              <w:t xml:space="preserve"/>
            </w:r>
          </w:p>
        </w:tc>
      </w:tr>
      <w:tr>
        <w:tc>
          <w:tcPr>
            <w:tcW w:type="dxa" w:w="2600"/>
            <w:tcMar>
              <w:top w:type="dxa" w:w="40"/>
              <w:left w:type="dxa" w:w="90"/>
              <w:bottom w:type="dxa" w:w="40"/>
              <w:right w:type="dxa" w:w="90"/>
            </w:tcMar>
            <w:vAlign w:val="center"/>
          </w:tcPr>
          <w:p>
            <w:pPr>
              <w:spacing w:after="40" w:before="40" w:line="240"/>
            </w:pPr>
            <w:r>
              <w:rPr>
                <w:b/>
                <w:bCs/>
                <w:sz w:val="20"/>
                <w:szCs w:val="20"/>
              </w:rPr>
              <w:t xml:space="preserve">Position</w:t>
            </w:r>
          </w:p>
        </w:tc>
        <w:tc>
          <w:tcPr>
            <w:tcW w:type="dxa" w:w="7434"/>
            <w:tcMar>
              <w:top w:type="dxa" w:w="40"/>
              <w:left w:type="dxa" w:w="90"/>
              <w:bottom w:type="dxa" w:w="40"/>
              <w:right w:type="dxa" w:w="90"/>
            </w:tcMar>
            <w:vAlign w:val="center"/>
          </w:tcPr>
          <w:p>
            <w:pPr>
              <w:spacing w:after="40" w:before="40" w:line="240"/>
            </w:pPr>
            <w:r>
              <w:rPr>
                <w:b w:val="false"/>
                <w:bCs w:val="false"/>
                <w:sz w:val="20"/>
                <w:szCs w:val="20"/>
              </w:rPr>
              <w:t xml:space="preserve"/>
            </w:r>
          </w:p>
        </w:tc>
      </w:tr>
      <w:tr>
        <w:tc>
          <w:tcPr>
            <w:tcW w:type="dxa" w:w="2600"/>
            <w:tcMar>
              <w:top w:type="dxa" w:w="40"/>
              <w:left w:type="dxa" w:w="90"/>
              <w:bottom w:type="dxa" w:w="40"/>
              <w:right w:type="dxa" w:w="90"/>
            </w:tcMar>
            <w:vAlign w:val="center"/>
          </w:tcPr>
          <w:p>
            <w:pPr>
              <w:spacing w:after="40" w:before="40" w:line="240"/>
            </w:pPr>
            <w:r>
              <w:rPr>
                <w:b/>
                <w:bCs/>
                <w:sz w:val="20"/>
                <w:szCs w:val="20"/>
              </w:rPr>
              <w:t xml:space="preserve">Signature</w:t>
            </w:r>
          </w:p>
        </w:tc>
        <w:tc>
          <w:tcPr>
            <w:tcW w:type="dxa" w:w="7434"/>
            <w:tcMar>
              <w:top w:type="dxa" w:w="40"/>
              <w:left w:type="dxa" w:w="90"/>
              <w:bottom w:type="dxa" w:w="40"/>
              <w:right w:type="dxa" w:w="90"/>
            </w:tcMar>
            <w:vAlign w:val="center"/>
          </w:tcPr>
          <w:p>
            <w:pPr>
              <w:spacing w:after="40" w:before="40" w:line="240"/>
            </w:pPr>
            <w:r>
              <w:rPr>
                <w:b w:val="false"/>
                <w:bCs w:val="false"/>
                <w:sz w:val="20"/>
                <w:szCs w:val="20"/>
              </w:rPr>
              <w:t xml:space="preserve"/>
            </w:r>
          </w:p>
        </w:tc>
      </w:tr>
      <w:tr>
        <w:tc>
          <w:tcPr>
            <w:tcW w:type="dxa" w:w="2600"/>
            <w:tcMar>
              <w:top w:type="dxa" w:w="40"/>
              <w:left w:type="dxa" w:w="90"/>
              <w:bottom w:type="dxa" w:w="40"/>
              <w:right w:type="dxa" w:w="90"/>
            </w:tcMar>
            <w:vAlign w:val="center"/>
          </w:tcPr>
          <w:p>
            <w:pPr>
              <w:spacing w:after="40" w:before="40" w:line="240"/>
            </w:pPr>
            <w:r>
              <w:rPr>
                <w:b/>
                <w:bCs/>
                <w:sz w:val="20"/>
                <w:szCs w:val="20"/>
              </w:rPr>
              <w:t xml:space="preserve">Date</w:t>
            </w:r>
          </w:p>
        </w:tc>
        <w:tc>
          <w:tcPr>
            <w:tcW w:type="dxa" w:w="7434"/>
            <w:tcMar>
              <w:top w:type="dxa" w:w="40"/>
              <w:left w:type="dxa" w:w="90"/>
              <w:bottom w:type="dxa" w:w="40"/>
              <w:right w:type="dxa" w:w="90"/>
            </w:tcMar>
            <w:vAlign w:val="center"/>
          </w:tcPr>
          <w:p>
            <w:pPr>
              <w:spacing w:after="40" w:before="40" w:line="240"/>
            </w:pPr>
            <w:r>
              <w:rPr>
                <w:b w:val="false"/>
                <w:bCs w:val="false"/>
                <w:sz w:val="20"/>
                <w:szCs w:val="20"/>
              </w:rPr>
              <w:t xml:space="preserve"/>
            </w:r>
          </w:p>
        </w:tc>
      </w:tr>
    </w:tbl>
    <w:p>
      <w:pPr>
        <w:sectPr>
          <w:headerReference w:type="default" r:id="rId7"/>
          <w:footerReference w:type="default" r:id="rId8"/>
          <w:pgSz w:w="11906" w:h="16838" w:orient="portrait"/>
          <w:pgMar w:top="1100" w:right="936" w:bottom="900" w:left="936" w:header="480" w:footer="400" w:gutter="0"/>
          <w:pgNumType/>
          <w:docGrid w:linePitch="360"/>
        </w:sectPr>
      </w:pPr>
    </w:p>
    <w:p>
      <w:pPr>
        <w:spacing w:after="60"/>
      </w:pPr>
      <w:r>
        <w:rPr>
          <w:rFonts w:ascii="Arial" w:cs="Arial" w:eastAsia="Arial" w:hAnsi="Arial"/>
          <w:b/>
          <w:bCs/>
          <w:color w:val="1F4E79"/>
          <w:sz w:val="26"/>
          <w:szCs w:val="26"/>
        </w:rPr>
        <w:t xml:space="preserve">APPENDIX A – TENDER QUERY SCHEDULE</w:t>
      </w:r>
    </w:p>
    <w:p>
      <w:pPr>
        <w:pBdr>
          <w:bottom w:val="single" w:color="ED602D" w:sz="8" w:space="6"/>
        </w:pBdr>
        <w:spacing w:after="150"/>
      </w:pPr>
      <w:r>
        <w:rPr>
          <w:rFonts w:ascii="Arial" w:cs="Arial" w:eastAsia="Arial" w:hAnsi="Arial"/>
          <w:b/>
          <w:bCs/>
          <w:color w:val="1E1E1E"/>
          <w:sz w:val="20"/>
          <w:szCs w:val="20"/>
        </w:rPr>
        <w:t xml:space="preserve">Issued with the TriCore Civil Services civil stormwater tender submission – TEN16699</w:t>
      </w:r>
    </w:p>
    <w:p>
      <w:pPr>
        <w:spacing w:after="110" w:before="0" w:line="250"/>
      </w:pPr>
      <w:r>
        <w:t xml:space="preserve">Hydraulic Specification VOL 38 Section 3.58 and drawing H002 note 15 both provide that where the documents conflict or are ambiguous, the tender is deemed to have priced the larger quantity or the more expensive component unless the ambiguity is raised at tender. This schedule raises them. Each query states the query, the documents in conflict, the assumption we have adopted for pricing, and the commercial consequence if the answer differs. Our tendered sums are based on the assumptions stated below; where a response alters an assumption, we reserve the right to adjust our price for that item accordingly.</w:t>
      </w:r>
    </w:p>
    <w:p>
      <w:pPr>
        <w:spacing w:after="110" w:before="0" w:line="250"/>
      </w:pPr>
      <w:r>
        <w:t xml:space="preserve">Priority: P1 – price-changing or scope-defining, answer needed before award. P2 – material, manageable by qualification. P3 – administrative or documentation.</w:t>
      </w:r>
    </w:p>
    <w:p>
      <w:pPr>
        <w:pStyle w:val="Heading2"/>
      </w:pPr>
      <w:r>
        <w:t xml:space="preserve">Section A – Queries affecting the project generally</w:t>
      </w:r>
    </w:p>
    <w:tbl>
      <w:tblPr>
        <w:tblW w:type="dxa" w:w="14966"/>
        <w:tblBorders>
          <w:top w:val="single" w:color="9AB3CC" w:sz="4"/>
          <w:left w:val="single" w:color="9AB3CC" w:sz="4"/>
          <w:bottom w:val="single" w:color="9AB3CC" w:sz="4"/>
          <w:right w:val="single" w:color="9AB3CC" w:sz="4"/>
          <w:insideH w:val="single" w:color="9AB3CC" w:sz="2"/>
          <w:insideV w:val="single" w:color="9AB3CC" w:sz="2"/>
        </w:tblBorders>
      </w:tblPr>
      <w:tblGrid>
        <w:gridCol w:w="620"/>
        <w:gridCol w:w="420"/>
        <w:gridCol w:w="4300"/>
        <w:gridCol w:w="2700"/>
        <w:gridCol w:w="4000"/>
        <w:gridCol w:w="2926"/>
      </w:tblGrid>
      <w:tr>
        <w:trPr>
          <w:tblHeader/>
        </w:trPr>
        <w:tc>
          <w:tcPr>
            <w:tcW w:type="dxa" w:w="620"/>
            <w:shd w:fill="1F4E79" w:color="auto" w:val="clear"/>
            <w:tcMar>
              <w:top w:type="dxa" w:w="40"/>
              <w:left w:type="dxa" w:w="90"/>
              <w:bottom w:type="dxa" w:w="40"/>
              <w:right w:type="dxa" w:w="90"/>
            </w:tcMar>
            <w:vAlign w:val="center"/>
          </w:tcPr>
          <w:p>
            <w:pPr>
              <w:spacing w:after="40" w:before="40" w:line="240"/>
            </w:pPr>
            <w:r>
              <w:rPr>
                <w:b/>
                <w:bCs/>
                <w:color w:val="FFFFFF"/>
                <w:sz w:val="18"/>
                <w:szCs w:val="18"/>
              </w:rPr>
              <w:t xml:space="preserve">#</w:t>
            </w:r>
          </w:p>
        </w:tc>
        <w:tc>
          <w:tcPr>
            <w:tcW w:type="dxa" w:w="420"/>
            <w:shd w:fill="1F4E79" w:color="auto" w:val="clear"/>
            <w:tcMar>
              <w:top w:type="dxa" w:w="40"/>
              <w:left w:type="dxa" w:w="90"/>
              <w:bottom w:type="dxa" w:w="40"/>
              <w:right w:type="dxa" w:w="90"/>
            </w:tcMar>
            <w:vAlign w:val="center"/>
          </w:tcPr>
          <w:p>
            <w:pPr>
              <w:spacing w:after="40" w:before="40" w:line="240"/>
            </w:pPr>
            <w:r>
              <w:rPr>
                <w:b/>
                <w:bCs/>
                <w:color w:val="FFFFFF"/>
                <w:sz w:val="18"/>
                <w:szCs w:val="18"/>
              </w:rPr>
              <w:t xml:space="preserve">P</w:t>
            </w:r>
          </w:p>
        </w:tc>
        <w:tc>
          <w:tcPr>
            <w:tcW w:type="dxa" w:w="4300"/>
            <w:shd w:fill="1F4E79" w:color="auto" w:val="clear"/>
            <w:tcMar>
              <w:top w:type="dxa" w:w="40"/>
              <w:left w:type="dxa" w:w="90"/>
              <w:bottom w:type="dxa" w:w="40"/>
              <w:right w:type="dxa" w:w="90"/>
            </w:tcMar>
            <w:vAlign w:val="center"/>
          </w:tcPr>
          <w:p>
            <w:pPr>
              <w:spacing w:after="40" w:before="40" w:line="240"/>
            </w:pPr>
            <w:r>
              <w:rPr>
                <w:b/>
                <w:bCs/>
                <w:color w:val="FFFFFF"/>
                <w:sz w:val="18"/>
                <w:szCs w:val="18"/>
              </w:rPr>
              <w:t xml:space="preserve">Query</w:t>
            </w:r>
          </w:p>
        </w:tc>
        <w:tc>
          <w:tcPr>
            <w:tcW w:type="dxa" w:w="2700"/>
            <w:shd w:fill="1F4E79" w:color="auto" w:val="clear"/>
            <w:tcMar>
              <w:top w:type="dxa" w:w="40"/>
              <w:left w:type="dxa" w:w="90"/>
              <w:bottom w:type="dxa" w:w="40"/>
              <w:right w:type="dxa" w:w="90"/>
            </w:tcMar>
            <w:vAlign w:val="center"/>
          </w:tcPr>
          <w:p>
            <w:pPr>
              <w:spacing w:after="40" w:before="40" w:line="240"/>
            </w:pPr>
            <w:r>
              <w:rPr>
                <w:b/>
                <w:bCs/>
                <w:color w:val="FFFFFF"/>
                <w:sz w:val="18"/>
                <w:szCs w:val="18"/>
              </w:rPr>
              <w:t xml:space="preserve">Documents in conflict</w:t>
            </w:r>
          </w:p>
        </w:tc>
        <w:tc>
          <w:tcPr>
            <w:tcW w:type="dxa" w:w="4000"/>
            <w:shd w:fill="1F4E79" w:color="auto" w:val="clear"/>
            <w:tcMar>
              <w:top w:type="dxa" w:w="40"/>
              <w:left w:type="dxa" w:w="90"/>
              <w:bottom w:type="dxa" w:w="40"/>
              <w:right w:type="dxa" w:w="90"/>
            </w:tcMar>
            <w:vAlign w:val="center"/>
          </w:tcPr>
          <w:p>
            <w:pPr>
              <w:spacing w:after="40" w:before="40" w:line="240"/>
            </w:pPr>
            <w:r>
              <w:rPr>
                <w:b/>
                <w:bCs/>
                <w:color w:val="FFFFFF"/>
                <w:sz w:val="18"/>
                <w:szCs w:val="18"/>
              </w:rPr>
              <w:t xml:space="preserve">Assumption adopted for pricing</w:t>
            </w:r>
          </w:p>
        </w:tc>
        <w:tc>
          <w:tcPr>
            <w:tcW w:type="dxa" w:w="2926"/>
            <w:shd w:fill="1F4E79" w:color="auto" w:val="clear"/>
            <w:tcMar>
              <w:top w:type="dxa" w:w="40"/>
              <w:left w:type="dxa" w:w="90"/>
              <w:bottom w:type="dxa" w:w="40"/>
              <w:right w:type="dxa" w:w="90"/>
            </w:tcMar>
            <w:vAlign w:val="center"/>
          </w:tcPr>
          <w:p>
            <w:pPr>
              <w:spacing w:after="40" w:before="40" w:line="240"/>
            </w:pPr>
            <w:r>
              <w:rPr>
                <w:b/>
                <w:bCs/>
                <w:color w:val="FFFFFF"/>
                <w:sz w:val="18"/>
                <w:szCs w:val="18"/>
              </w:rPr>
              <w:t xml:space="preserve">Consequence if different</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A1</w:t>
            </w:r>
          </w:p>
        </w:tc>
        <w:tc>
          <w:tcPr>
            <w:tcW w:type="dxa" w:w="420"/>
            <w:tcMar>
              <w:top w:type="dxa" w:w="40"/>
              <w:left w:type="dxa" w:w="90"/>
              <w:bottom w:type="dxa" w:w="40"/>
              <w:right w:type="dxa" w:w="90"/>
            </w:tcMar>
            <w:vAlign w:val="center"/>
          </w:tcPr>
          <w:p>
            <w:pPr>
              <w:spacing w:after="40" w:before="40" w:line="240"/>
            </w:pPr>
            <w:r>
              <w:rPr>
                <w:b/>
                <w:bCs/>
                <w:sz w:val="18"/>
                <w:szCs w:val="18"/>
              </w:rPr>
              <w:t xml:space="preserve">P1</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Confirm the pricing-entry convention for Tender Schedule 3, and confirm the roll-up. The Stage 1A lump-sum formula =SUM(F6:F131) excludes Section 6.0 entirely, and both stage tabs sum section Total rows together with individual line rows, creating a double-count path. Also confirm whether prices are entered at line level or section-Total level (1B preliminaries are itemised, all other sections show only Total rows).</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Schedule 3 workbook (both tabs) internal formulas</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Prices entered at section-Total level; our summary totals govern; Section 6.0 is not our scope.</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Re-entry of prices; risk of arithmetic dispute at tender assessment.</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A2</w:t>
            </w:r>
          </w:p>
        </w:tc>
        <w:tc>
          <w:tcPr>
            <w:tcW w:type="dxa" w:w="420"/>
            <w:tcMar>
              <w:top w:type="dxa" w:w="40"/>
              <w:left w:type="dxa" w:w="90"/>
              <w:bottom w:type="dxa" w:w="40"/>
              <w:right w:type="dxa" w:w="90"/>
            </w:tcMar>
            <w:vAlign w:val="center"/>
          </w:tcPr>
          <w:p>
            <w:pPr>
              <w:spacing w:after="40" w:before="40" w:line="240"/>
            </w:pPr>
            <w:r>
              <w:rPr>
                <w:b/>
                <w:bCs/>
                <w:sz w:val="18"/>
                <w:szCs w:val="18"/>
              </w:rPr>
              <w:t xml:space="preserve">P1</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Rock and unsuitable material: three different regimes appear. Which governs? (a) ITT Part 2 Section 18 – remeasurable rates payable only with prior written Superintendent direction, rock defined against a 20–30 t excavator with ripper; (b) H002 note 24 – rock deemed included where reasonably anticipated or where bore results are available, with extra-over m³ rates required for soft and hard rock, for trenches and pits; (c) VOL 38 Sections 7.7 and 7.11 – rock and water-charged bedding deemed included.</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ITT Part 2 Section 18 · H002 note 24 · VOL 38 Sections 7.7 and 7.11</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Rock reasonably inferable from geotechnical report NQL2024-0320 is included in our lump sum; rock beyond that is subject to the extra-over rate schedule tendered at Schedule 1A 7.0 / 1B 5.0. We note refusal was recorded at 25 of 36 test locations (shallowest 0.70 m; extremely weathered rock 0.2–2.2 m at six pits).</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If (c) governs unqualified, the rate schedule is defeated and all rock risk transfers to us – a material repricing event.</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A3</w:t>
            </w:r>
          </w:p>
        </w:tc>
        <w:tc>
          <w:tcPr>
            <w:tcW w:type="dxa" w:w="420"/>
            <w:tcMar>
              <w:top w:type="dxa" w:w="40"/>
              <w:left w:type="dxa" w:w="90"/>
              <w:bottom w:type="dxa" w:w="40"/>
              <w:right w:type="dxa" w:w="90"/>
            </w:tcMar>
            <w:vAlign w:val="center"/>
          </w:tcPr>
          <w:p>
            <w:pPr>
              <w:spacing w:after="40" w:before="40" w:line="240"/>
            </w:pPr>
            <w:r>
              <w:rPr>
                <w:b/>
                <w:bCs/>
                <w:sz w:val="18"/>
                <w:szCs w:val="18"/>
              </w:rPr>
              <w:t xml:space="preserve">P1</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Geotechnical report Section 5.3.3 requires temporary batters no steeper than 1.5H:1V for excavations less than 2 m deep, flattening to 3H:1V or benching where perched groundwater or soft material is encountered, and a geotechnical engineer’s inspection before personnel entry to any trench exceeding 1.5 m bench height. Confirm the Principal Contractor accepts trench shielding as the compliance method for trenches requiring personnel entry, and confirm who bears the geotechnical inspection cost and attendance.</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NQL2024-0320 Section 5.3.3 · tendered trench profile</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Trench shields allowed for runs requiring personnel entry; battering priced where shields are impracticable; geotechnical inspection attendance allowed at the excavations exceeding 1.5 m.</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Widened trenches materially increase excavation, spoil handling, bedding and backfill quantities across the whole network.</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A4</w:t>
            </w:r>
          </w:p>
        </w:tc>
        <w:tc>
          <w:tcPr>
            <w:tcW w:type="dxa" w:w="420"/>
            <w:tcMar>
              <w:top w:type="dxa" w:w="40"/>
              <w:left w:type="dxa" w:w="90"/>
              <w:bottom w:type="dxa" w:w="40"/>
              <w:right w:type="dxa" w:w="90"/>
            </w:tcMar>
            <w:vAlign w:val="center"/>
          </w:tcPr>
          <w:p>
            <w:pPr>
              <w:spacing w:after="40" w:before="40" w:line="240"/>
            </w:pPr>
            <w:r>
              <w:rPr>
                <w:b/>
                <w:bCs/>
                <w:sz w:val="18"/>
                <w:szCs w:val="18"/>
              </w:rPr>
              <w:t xml:space="preserve">P1</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Addendum 2 records “no spoil to leave site”, and ITT Section 17.9 requires spoil to remain on site pending EMR de-listing, while Design Report Section 4.3 states site-won high-plasticity clay is unsuitable for reuse without treatment and recommends imported fill. Confirm: (i) the nominated on-site stockpile locations and haul distance for trench spoil; (ii) that imported bedding and backfill is accepted where site-won material fails; (iii) who bears the cost of unsuitable-material classification and treatment.</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Addendum 2 · ITT Section 17.9 · RPT006_B Sections 4.3.7–4.3.9</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Trench spoil stockpiled on site at a location within 500 m; bedding and select backfill imported; no off-site disposal priced; no treatment of site-won clay priced.</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Double-handling, longer hauls or treatment obligations are unpriced and would be claimed.</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A5</w:t>
            </w:r>
          </w:p>
        </w:tc>
        <w:tc>
          <w:tcPr>
            <w:tcW w:type="dxa" w:w="420"/>
            <w:tcMar>
              <w:top w:type="dxa" w:w="40"/>
              <w:left w:type="dxa" w:w="90"/>
              <w:bottom w:type="dxa" w:w="40"/>
              <w:right w:type="dxa" w:w="90"/>
            </w:tcMar>
            <w:vAlign w:val="center"/>
          </w:tcPr>
          <w:p>
            <w:pPr>
              <w:spacing w:after="40" w:before="40" w:line="240"/>
            </w:pPr>
            <w:r>
              <w:rPr>
                <w:b/>
                <w:bCs/>
                <w:sz w:val="18"/>
                <w:szCs w:val="18"/>
              </w:rPr>
              <w:t xml:space="preserve">P2</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ITT Section 20.h allows only five days combined for inclement weather and latent conditions across the programme. For a Central Queensland site with a 2027 commencement, and given the Vegetation and Fauna Management Plan imposes a 6 pm to 6 am machinery curfew removing evening recovery float, confirm the mechanism for weather beyond five days.</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ITT Section 20.h · VFMP curfew</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Five days allowed as directed; extension-of-time relief available for weather beyond that; no acceleration priced.</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Acceleration or liquidated-damages exposure not in our price.</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A6</w:t>
            </w:r>
          </w:p>
        </w:tc>
        <w:tc>
          <w:tcPr>
            <w:tcW w:type="dxa" w:w="420"/>
            <w:tcMar>
              <w:top w:type="dxa" w:w="40"/>
              <w:left w:type="dxa" w:w="90"/>
              <w:bottom w:type="dxa" w:w="40"/>
              <w:right w:type="dxa" w:w="90"/>
            </w:tcMar>
            <w:vAlign w:val="center"/>
          </w:tcPr>
          <w:p>
            <w:pPr>
              <w:spacing w:after="40" w:before="40" w:line="240"/>
            </w:pPr>
            <w:r>
              <w:rPr>
                <w:b/>
                <w:bCs/>
                <w:sz w:val="18"/>
                <w:szCs w:val="18"/>
              </w:rPr>
              <w:t xml:space="preserve">P2</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ADAC-compliant XML as-constructed data and RPEQ certification are required (ITT Section 19, Schedule item 1.6 both stages), and VOL 38 Section 3.56 requires CCTV of all in-ground drainage by an independent Superintendent-approved firm in the Superintendent’s presence. Confirm the split of ADAC and CCTV obligations between trades where our civil and hydraulic packages both install in-ground assets, and confirm whether the Principal Contractor engages the CCTV firm.</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ITT Section 19 · Schedule item 1.6 · VOL 38 Section 3.56</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Each entity carries ADAC data capture and CCTV for its own in-ground assets; the CCTV firm is engaged by us and attends once per system.</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A duplicated or transferred obligation changes the price.</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A7</w:t>
            </w:r>
          </w:p>
        </w:tc>
        <w:tc>
          <w:tcPr>
            <w:tcW w:type="dxa" w:w="420"/>
            <w:tcMar>
              <w:top w:type="dxa" w:w="40"/>
              <w:left w:type="dxa" w:w="90"/>
              <w:bottom w:type="dxa" w:w="40"/>
              <w:right w:type="dxa" w:w="90"/>
            </w:tcMar>
            <w:vAlign w:val="center"/>
          </w:tcPr>
          <w:p>
            <w:pPr>
              <w:spacing w:after="40" w:before="40" w:line="240"/>
            </w:pPr>
            <w:r>
              <w:rPr>
                <w:b/>
                <w:bCs/>
                <w:sz w:val="18"/>
                <w:szCs w:val="18"/>
              </w:rPr>
              <w:t xml:space="preserve">P3</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The issued tender Document Register lists 43 volumes; 32 were not issued to us, and RRC Addenda Nos. 1 to 6 were not received in any form (we hold RRC Addenda 7, 8, 9, 10 and the builder-circulated clarifications). Please confirm whether Addenda 1 to 6 contain any change affecting civil stormwater scope, and provide VOL 35 (Civil and Field of Play Technical Specifications).</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Tender Document Register versus documents received</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Priced on documents received; no scope change assumed from unsighted addenda.</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VOL 35 is the governing civil specification – any requirement in it beyond CMDG and the drawings is unpriced.</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A8</w:t>
            </w:r>
          </w:p>
        </w:tc>
        <w:tc>
          <w:tcPr>
            <w:tcW w:type="dxa" w:w="420"/>
            <w:tcMar>
              <w:top w:type="dxa" w:w="40"/>
              <w:left w:type="dxa" w:w="90"/>
              <w:bottom w:type="dxa" w:w="40"/>
              <w:right w:type="dxa" w:w="90"/>
            </w:tcMar>
            <w:vAlign w:val="center"/>
          </w:tcPr>
          <w:p>
            <w:pPr>
              <w:spacing w:after="40" w:before="40" w:line="240"/>
            </w:pPr>
            <w:r>
              <w:rPr>
                <w:b/>
                <w:bCs/>
                <w:sz w:val="18"/>
                <w:szCs w:val="18"/>
              </w:rPr>
              <w:t xml:space="preserve">P3</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The ITT Section 27 Appendix Folder is stated to be mandatory reading and contains the Development Approval conditions and referenced documents. It was not accessible to us. Please provide it, and confirm whether any DA condition imposes obligations on subcontract works.</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ITT Section 27</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No DA-condition obligations priced beyond those visible in the Design Report (EDQ Conditions 16 and 17).</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Unknown compliance obligations.</w:t>
            </w:r>
          </w:p>
        </w:tc>
      </w:tr>
    </w:tbl>
    <w:p>
      <w:pPr>
        <w:spacing w:after="120"/>
      </w:pPr>
    </w:p>
    <w:p>
      <w:pPr>
        <w:pStyle w:val="Heading2"/>
      </w:pPr>
      <w:r>
        <w:t xml:space="preserve">Section B – Queries specific to civil stormwater</w:t>
      </w:r>
    </w:p>
    <w:tbl>
      <w:tblPr>
        <w:tblW w:type="dxa" w:w="14966"/>
        <w:tblBorders>
          <w:top w:val="single" w:color="9AB3CC" w:sz="4"/>
          <w:left w:val="single" w:color="9AB3CC" w:sz="4"/>
          <w:bottom w:val="single" w:color="9AB3CC" w:sz="4"/>
          <w:right w:val="single" w:color="9AB3CC" w:sz="4"/>
          <w:insideH w:val="single" w:color="9AB3CC" w:sz="2"/>
          <w:insideV w:val="single" w:color="9AB3CC" w:sz="2"/>
        </w:tblBorders>
      </w:tblPr>
      <w:tblGrid>
        <w:gridCol w:w="620"/>
        <w:gridCol w:w="420"/>
        <w:gridCol w:w="4300"/>
        <w:gridCol w:w="2700"/>
        <w:gridCol w:w="4000"/>
        <w:gridCol w:w="2926"/>
      </w:tblGrid>
      <w:tr>
        <w:trPr>
          <w:tblHeader/>
        </w:trPr>
        <w:tc>
          <w:tcPr>
            <w:tcW w:type="dxa" w:w="620"/>
            <w:shd w:fill="1F4E79" w:color="auto" w:val="clear"/>
            <w:tcMar>
              <w:top w:type="dxa" w:w="40"/>
              <w:left w:type="dxa" w:w="90"/>
              <w:bottom w:type="dxa" w:w="40"/>
              <w:right w:type="dxa" w:w="90"/>
            </w:tcMar>
            <w:vAlign w:val="center"/>
          </w:tcPr>
          <w:p>
            <w:pPr>
              <w:spacing w:after="40" w:before="40" w:line="240"/>
            </w:pPr>
            <w:r>
              <w:rPr>
                <w:b/>
                <w:bCs/>
                <w:color w:val="FFFFFF"/>
                <w:sz w:val="18"/>
                <w:szCs w:val="18"/>
              </w:rPr>
              <w:t xml:space="preserve">#</w:t>
            </w:r>
          </w:p>
        </w:tc>
        <w:tc>
          <w:tcPr>
            <w:tcW w:type="dxa" w:w="420"/>
            <w:shd w:fill="1F4E79" w:color="auto" w:val="clear"/>
            <w:tcMar>
              <w:top w:type="dxa" w:w="40"/>
              <w:left w:type="dxa" w:w="90"/>
              <w:bottom w:type="dxa" w:w="40"/>
              <w:right w:type="dxa" w:w="90"/>
            </w:tcMar>
            <w:vAlign w:val="center"/>
          </w:tcPr>
          <w:p>
            <w:pPr>
              <w:spacing w:after="40" w:before="40" w:line="240"/>
            </w:pPr>
            <w:r>
              <w:rPr>
                <w:b/>
                <w:bCs/>
                <w:color w:val="FFFFFF"/>
                <w:sz w:val="18"/>
                <w:szCs w:val="18"/>
              </w:rPr>
              <w:t xml:space="preserve">P</w:t>
            </w:r>
          </w:p>
        </w:tc>
        <w:tc>
          <w:tcPr>
            <w:tcW w:type="dxa" w:w="4300"/>
            <w:shd w:fill="1F4E79" w:color="auto" w:val="clear"/>
            <w:tcMar>
              <w:top w:type="dxa" w:w="40"/>
              <w:left w:type="dxa" w:w="90"/>
              <w:bottom w:type="dxa" w:w="40"/>
              <w:right w:type="dxa" w:w="90"/>
            </w:tcMar>
            <w:vAlign w:val="center"/>
          </w:tcPr>
          <w:p>
            <w:pPr>
              <w:spacing w:after="40" w:before="40" w:line="240"/>
            </w:pPr>
            <w:r>
              <w:rPr>
                <w:b/>
                <w:bCs/>
                <w:color w:val="FFFFFF"/>
                <w:sz w:val="18"/>
                <w:szCs w:val="18"/>
              </w:rPr>
              <w:t xml:space="preserve">Query</w:t>
            </w:r>
          </w:p>
        </w:tc>
        <w:tc>
          <w:tcPr>
            <w:tcW w:type="dxa" w:w="2700"/>
            <w:shd w:fill="1F4E79" w:color="auto" w:val="clear"/>
            <w:tcMar>
              <w:top w:type="dxa" w:w="40"/>
              <w:left w:type="dxa" w:w="90"/>
              <w:bottom w:type="dxa" w:w="40"/>
              <w:right w:type="dxa" w:w="90"/>
            </w:tcMar>
            <w:vAlign w:val="center"/>
          </w:tcPr>
          <w:p>
            <w:pPr>
              <w:spacing w:after="40" w:before="40" w:line="240"/>
            </w:pPr>
            <w:r>
              <w:rPr>
                <w:b/>
                <w:bCs/>
                <w:color w:val="FFFFFF"/>
                <w:sz w:val="18"/>
                <w:szCs w:val="18"/>
              </w:rPr>
              <w:t xml:space="preserve">Documents in conflict</w:t>
            </w:r>
          </w:p>
        </w:tc>
        <w:tc>
          <w:tcPr>
            <w:tcW w:type="dxa" w:w="4000"/>
            <w:shd w:fill="1F4E79" w:color="auto" w:val="clear"/>
            <w:tcMar>
              <w:top w:type="dxa" w:w="40"/>
              <w:left w:type="dxa" w:w="90"/>
              <w:bottom w:type="dxa" w:w="40"/>
              <w:right w:type="dxa" w:w="90"/>
            </w:tcMar>
            <w:vAlign w:val="center"/>
          </w:tcPr>
          <w:p>
            <w:pPr>
              <w:spacing w:after="40" w:before="40" w:line="240"/>
            </w:pPr>
            <w:r>
              <w:rPr>
                <w:b/>
                <w:bCs/>
                <w:color w:val="FFFFFF"/>
                <w:sz w:val="18"/>
                <w:szCs w:val="18"/>
              </w:rPr>
              <w:t xml:space="preserve">Assumption adopted for pricing</w:t>
            </w:r>
          </w:p>
        </w:tc>
        <w:tc>
          <w:tcPr>
            <w:tcW w:type="dxa" w:w="2926"/>
            <w:shd w:fill="1F4E79" w:color="auto" w:val="clear"/>
            <w:tcMar>
              <w:top w:type="dxa" w:w="40"/>
              <w:left w:type="dxa" w:w="90"/>
              <w:bottom w:type="dxa" w:w="40"/>
              <w:right w:type="dxa" w:w="90"/>
            </w:tcMar>
            <w:vAlign w:val="center"/>
          </w:tcPr>
          <w:p>
            <w:pPr>
              <w:spacing w:after="40" w:before="40" w:line="240"/>
            </w:pPr>
            <w:r>
              <w:rPr>
                <w:b/>
                <w:bCs/>
                <w:color w:val="FFFFFF"/>
                <w:sz w:val="18"/>
                <w:szCs w:val="18"/>
              </w:rPr>
              <w:t xml:space="preserve">Consequence if different</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B1</w:t>
            </w:r>
          </w:p>
        </w:tc>
        <w:tc>
          <w:tcPr>
            <w:tcW w:type="dxa" w:w="420"/>
            <w:tcMar>
              <w:top w:type="dxa" w:w="40"/>
              <w:left w:type="dxa" w:w="90"/>
              <w:bottom w:type="dxa" w:w="40"/>
              <w:right w:type="dxa" w:w="90"/>
            </w:tcMar>
            <w:vAlign w:val="center"/>
          </w:tcPr>
          <w:p>
            <w:pPr>
              <w:spacing w:after="40" w:before="40" w:line="240"/>
            </w:pPr>
            <w:r>
              <w:rPr>
                <w:b/>
                <w:bCs/>
                <w:sz w:val="18"/>
                <w:szCs w:val="18"/>
              </w:rPr>
              <w:t xml:space="preserve">P1</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The stormwater layouts show 141 drainage structures while pit schedule SE_12306_F1310 schedules 121. The difference is 20 culvert end structures (C01A/B–C10B); 18 are dimensioned on F1321, but C09A and C09B (twin 2 × 375 RCP, F1304) are detailed nowhere in the set – no headwall, apron or rock-pad detail exists. Please issue the C09 details and a corrected pit schedule.</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F1300–F1305 layouts · F1310 · F1321 · F1304</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Priced from the layouts and F1321: 141 structures total, with C09A/B priced as standard precast headwalls with aprons to match adjacent details.</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Non-standard C09 structures, or additional structures, are unpriced.</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B2</w:t>
            </w:r>
          </w:p>
        </w:tc>
        <w:tc>
          <w:tcPr>
            <w:tcW w:type="dxa" w:w="420"/>
            <w:tcMar>
              <w:top w:type="dxa" w:w="40"/>
              <w:left w:type="dxa" w:w="90"/>
              <w:bottom w:type="dxa" w:w="40"/>
              <w:right w:type="dxa" w:w="90"/>
            </w:tcMar>
            <w:vAlign w:val="center"/>
          </w:tcPr>
          <w:p>
            <w:pPr>
              <w:spacing w:after="40" w:before="40" w:line="240"/>
            </w:pPr>
            <w:r>
              <w:rPr>
                <w:b/>
                <w:bCs/>
                <w:sz w:val="18"/>
                <w:szCs w:val="18"/>
              </w:rPr>
              <w:t xml:space="preserve">P2</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Pit schedule F1310 defects requiring correction: pit 87-02 is listed twice with conflicting attributes (blank cover with a “precast headwall” remark versus grated B with CMDG-D-022); the remarks and cover columns are shifted by one row for pits 02-01, 81-07, 83-01, 87-01 and 87-02; pit 06-01 cites a non-existent sheet “12306_12320”; and pit 81-07 appears in the schedule but is missing from the line-81 sequence on long-section sheet F1361.</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F1310 · F1361</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Priced on the corrected reading: 121 unique pits; 87-02 as a single grated pit; 81-07 constructed as scheduled.</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Cover-class or type changes alter pit rates.</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B3</w:t>
            </w:r>
          </w:p>
        </w:tc>
        <w:tc>
          <w:tcPr>
            <w:tcW w:type="dxa" w:w="420"/>
            <w:tcMar>
              <w:top w:type="dxa" w:w="40"/>
              <w:left w:type="dxa" w:w="90"/>
              <w:bottom w:type="dxa" w:w="40"/>
              <w:right w:type="dxa" w:w="90"/>
            </w:tcMar>
            <w:vAlign w:val="center"/>
          </w:tcPr>
          <w:p>
            <w:pPr>
              <w:spacing w:after="40" w:before="40" w:line="240"/>
            </w:pPr>
            <w:r>
              <w:rPr>
                <w:b/>
                <w:bCs/>
                <w:sz w:val="18"/>
                <w:szCs w:val="18"/>
              </w:rPr>
              <w:t xml:space="preserve">P2</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Grated trench drain schedule on F1320: GT2 is listed at 141.2 m with 17.0 m spacing and 4 pits, while GT3 and GT4 at identical length list 7 pits, and the layouts show 5 trash boxes plus 7 connection pits along GT2. Confirm the pit count for GT2. Also confirm GT6 at the amenities is Class D ductile iron where all other runs are Class B.</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F1320 GT schedule · F1300–F1305 layouts</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GT total 608.5 m per the F1320 schedule; 29 trash boxes (25 × TB200, 4 × TB100); GT6 Class D as scheduled.</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Additional pits or units at each location.</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B4</w:t>
            </w:r>
          </w:p>
        </w:tc>
        <w:tc>
          <w:tcPr>
            <w:tcW w:type="dxa" w:w="420"/>
            <w:tcMar>
              <w:top w:type="dxa" w:w="40"/>
              <w:left w:type="dxa" w:w="90"/>
              <w:bottom w:type="dxa" w:w="40"/>
              <w:right w:type="dxa" w:w="90"/>
            </w:tcMar>
            <w:vAlign w:val="center"/>
          </w:tcPr>
          <w:p>
            <w:pPr>
              <w:spacing w:after="40" w:before="40" w:line="240"/>
            </w:pPr>
            <w:r>
              <w:rPr>
                <w:b/>
                <w:bCs/>
                <w:sz w:val="18"/>
                <w:szCs w:val="18"/>
              </w:rPr>
              <w:t xml:space="preserve">P2</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Design Report SE_12306_RPT006_B (Rev B, Addendum 8) records 100% Detailed Design changes – kerb chutes replacing single pit-and-pipe headwall outlets, subsoils re-nominated as type 2 strip filters, an additional culvert at the south-east corner for maintenance access, an enlarged detention basin footprint, and headwalls and scour protection added in swales – but the T1 civil drawings were not reissued to suit, and the report references the civil set at Rev D2. Please confirm which document governs for construction pricing.</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RPT006_B Sections 6.1 and 9.1 versus the F13xx series at T1</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Priced on the T1 drawings as modified by RPT006_B Sections 6.1 and 9.1, save that kerb chute construction is excluded (see B8).</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If the T1 sheets govern unmodified, or if a further reissue follows, quantities change.</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B5</w:t>
            </w:r>
          </w:p>
        </w:tc>
        <w:tc>
          <w:tcPr>
            <w:tcW w:type="dxa" w:w="420"/>
            <w:tcMar>
              <w:top w:type="dxa" w:w="40"/>
              <w:left w:type="dxa" w:w="90"/>
              <w:bottom w:type="dxa" w:w="40"/>
              <w:right w:type="dxa" w:w="90"/>
            </w:tcMar>
            <w:vAlign w:val="center"/>
          </w:tcPr>
          <w:p>
            <w:pPr>
              <w:spacing w:after="40" w:before="40" w:line="240"/>
            </w:pPr>
            <w:r>
              <w:rPr>
                <w:b/>
                <w:bCs/>
                <w:sz w:val="18"/>
                <w:szCs w:val="18"/>
              </w:rPr>
              <w:t xml:space="preserve">P1</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The detention basin earthworks and the 50 m concrete spillway weir appear as annotation on the drainage drawings but are not quantified in any schedule. Confirm these are within the bulk earthworks and civil works package and not within the stormwater drainage subcontract.</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F1305 · Schedule 3 items 2.5 (1A) and 2.3 (1B)</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Basin earthworks and the spillway weir are excluded – not in the drainage package. The basin outlet culvert, headwalls and rock pads are priced.</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If they fall to us, a significant earthworks and concrete scope is unpriced.</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B6</w:t>
            </w:r>
          </w:p>
        </w:tc>
        <w:tc>
          <w:tcPr>
            <w:tcW w:type="dxa" w:w="420"/>
            <w:tcMar>
              <w:top w:type="dxa" w:w="40"/>
              <w:left w:type="dxa" w:w="90"/>
              <w:bottom w:type="dxa" w:w="40"/>
              <w:right w:type="dxa" w:w="90"/>
            </w:tcMar>
            <w:vAlign w:val="center"/>
          </w:tcPr>
          <w:p>
            <w:pPr>
              <w:spacing w:after="40" w:before="40" w:line="240"/>
            </w:pPr>
            <w:r>
              <w:rPr>
                <w:b/>
                <w:bCs/>
                <w:sz w:val="18"/>
                <w:szCs w:val="18"/>
              </w:rPr>
              <w:t xml:space="preserve">P2</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Confirm the surface treatment and load-class requirements at culverts C01–C03 and C05–C08, where the long sections show zero or negative cover (units at or proud of the finished surface), and at C10 where cover is approximately 0.11–0.15 m at the headwalls with unannotated embankment over the mid-length.</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F1350–F1363 long sections</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Units installed as drawn; surface tie-in and any protection slab by others.</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Load-class upgrades or protection slabs unpriced.</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B7</w:t>
            </w:r>
          </w:p>
        </w:tc>
        <w:tc>
          <w:tcPr>
            <w:tcW w:type="dxa" w:w="420"/>
            <w:tcMar>
              <w:top w:type="dxa" w:w="40"/>
              <w:left w:type="dxa" w:w="90"/>
              <w:bottom w:type="dxa" w:w="40"/>
              <w:right w:type="dxa" w:w="90"/>
            </w:tcMar>
            <w:vAlign w:val="center"/>
          </w:tcPr>
          <w:p>
            <w:pPr>
              <w:spacing w:after="40" w:before="40" w:line="240"/>
            </w:pPr>
            <w:r>
              <w:rPr>
                <w:b/>
                <w:bCs/>
                <w:sz w:val="18"/>
                <w:szCs w:val="18"/>
              </w:rPr>
              <w:t xml:space="preserve">P3</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Long-section sheet titles skip Sheet 13 (F1361 is titled Sheet 12, F1362 is titled Sheet 14) although drawing numbers F1350–F1363 are consecutive; and F1324 and F1325 are both titled “Details Sheet 5” with different content. Confirm no sheet is missing from the issued set.</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F1350–F1363 · F1324 and F1325 titleblocks</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No missing sheet; F1325 read as Sheet 6.</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An unissued sheet may carry scope.</w:t>
            </w:r>
          </w:p>
        </w:tc>
      </w:tr>
      <w:tr>
        <w:tc>
          <w:tcPr>
            <w:tcW w:type="dxa" w:w="620"/>
            <w:tcMar>
              <w:top w:type="dxa" w:w="40"/>
              <w:left w:type="dxa" w:w="90"/>
              <w:bottom w:type="dxa" w:w="40"/>
              <w:right w:type="dxa" w:w="90"/>
            </w:tcMar>
            <w:vAlign w:val="center"/>
          </w:tcPr>
          <w:p>
            <w:pPr>
              <w:spacing w:after="40" w:before="40" w:line="240"/>
            </w:pPr>
            <w:r>
              <w:rPr>
                <w:b/>
                <w:bCs/>
                <w:sz w:val="18"/>
                <w:szCs w:val="18"/>
              </w:rPr>
              <w:t xml:space="preserve">B8</w:t>
            </w:r>
          </w:p>
        </w:tc>
        <w:tc>
          <w:tcPr>
            <w:tcW w:type="dxa" w:w="420"/>
            <w:tcMar>
              <w:top w:type="dxa" w:w="40"/>
              <w:left w:type="dxa" w:w="90"/>
              <w:bottom w:type="dxa" w:w="40"/>
              <w:right w:type="dxa" w:w="90"/>
            </w:tcMar>
            <w:vAlign w:val="center"/>
          </w:tcPr>
          <w:p>
            <w:pPr>
              <w:spacing w:after="40" w:before="40" w:line="240"/>
            </w:pPr>
            <w:r>
              <w:rPr>
                <w:b/>
                <w:bCs/>
                <w:sz w:val="18"/>
                <w:szCs w:val="18"/>
              </w:rPr>
              <w:t xml:space="preserve">P2</w:t>
            </w:r>
          </w:p>
        </w:tc>
        <w:tc>
          <w:tcPr>
            <w:tcW w:type="dxa" w:w="4300"/>
            <w:tcMar>
              <w:top w:type="dxa" w:w="40"/>
              <w:left w:type="dxa" w:w="90"/>
              <w:bottom w:type="dxa" w:w="40"/>
              <w:right w:type="dxa" w:w="90"/>
            </w:tcMar>
            <w:vAlign w:val="center"/>
          </w:tcPr>
          <w:p>
            <w:pPr>
              <w:spacing w:after="40" w:before="40" w:line="240"/>
            </w:pPr>
            <w:r>
              <w:rPr>
                <w:b w:val="false"/>
                <w:bCs w:val="false"/>
                <w:sz w:val="18"/>
                <w:szCs w:val="18"/>
              </w:rPr>
              <w:t xml:space="preserve">Confirm the intended extent of kerb chutes. Nine kerb chute structures appear in the pit schedule (03-02, 03-03, 04-02, 13-02 … 18-02) and RPT006_B Section 6.1 nominates kerb chutes replacing headwall outlets, but no chute construction detail with concrete, rock and matting quantities is provided.</w:t>
            </w:r>
          </w:p>
        </w:tc>
        <w:tc>
          <w:tcPr>
            <w:tcW w:type="dxa" w:w="2700"/>
            <w:tcMar>
              <w:top w:type="dxa" w:w="40"/>
              <w:left w:type="dxa" w:w="90"/>
              <w:bottom w:type="dxa" w:w="40"/>
              <w:right w:type="dxa" w:w="90"/>
            </w:tcMar>
            <w:vAlign w:val="center"/>
          </w:tcPr>
          <w:p>
            <w:pPr>
              <w:spacing w:after="40" w:before="40" w:line="240"/>
            </w:pPr>
            <w:r>
              <w:rPr>
                <w:b w:val="false"/>
                <w:bCs w:val="false"/>
                <w:sz w:val="18"/>
                <w:szCs w:val="18"/>
              </w:rPr>
              <w:t xml:space="preserve">F1310 · RPT006_B Section 6.1</w:t>
            </w:r>
          </w:p>
        </w:tc>
        <w:tc>
          <w:tcPr>
            <w:tcW w:type="dxa" w:w="4000"/>
            <w:tcMar>
              <w:top w:type="dxa" w:w="40"/>
              <w:left w:type="dxa" w:w="90"/>
              <w:bottom w:type="dxa" w:w="40"/>
              <w:right w:type="dxa" w:w="90"/>
            </w:tcMar>
            <w:vAlign w:val="center"/>
          </w:tcPr>
          <w:p>
            <w:pPr>
              <w:spacing w:after="40" w:before="40" w:line="240"/>
            </w:pPr>
            <w:r>
              <w:rPr>
                <w:b w:val="false"/>
                <w:bCs w:val="false"/>
                <w:sz w:val="18"/>
                <w:szCs w:val="18"/>
              </w:rPr>
              <w:t xml:space="preserve">Kerb chute construction is excluded from our base price; an add-price is held and can be provided on request.</w:t>
            </w:r>
          </w:p>
        </w:tc>
        <w:tc>
          <w:tcPr>
            <w:tcW w:type="dxa" w:w="2926"/>
            <w:tcMar>
              <w:top w:type="dxa" w:w="40"/>
              <w:left w:type="dxa" w:w="90"/>
              <w:bottom w:type="dxa" w:w="40"/>
              <w:right w:type="dxa" w:w="90"/>
            </w:tcMar>
            <w:vAlign w:val="center"/>
          </w:tcPr>
          <w:p>
            <w:pPr>
              <w:spacing w:after="40" w:before="40" w:line="240"/>
            </w:pPr>
            <w:r>
              <w:rPr>
                <w:b w:val="false"/>
                <w:bCs w:val="false"/>
                <w:sz w:val="18"/>
                <w:szCs w:val="18"/>
              </w:rPr>
              <w:t xml:space="preserve">Inclusion adds structure, concrete, rock protection and matting.</w:t>
            </w:r>
          </w:p>
        </w:tc>
      </w:tr>
    </w:tbl>
    <w:p>
      <w:pPr>
        <w:spacing w:after="120"/>
      </w:pPr>
    </w:p>
    <w:p>
      <w:pPr>
        <w:spacing w:after="110" w:before="0" w:line="250"/>
      </w:pPr>
      <w:r>
        <w:rPr>
          <w:i/>
          <w:iCs/>
        </w:rPr>
        <w:t xml:space="preserve">Our tendered sums are based on the assumptions stated above. Where the answer to any query differs from the assumption adopted, we reserve the right to adjust our price for that item. This schedule is issued to satisfy the requirement at VOL 38 Section 3.58 and H002 note 15 that ambiguities and conflicts be raised at tender.</w:t>
      </w:r>
    </w:p>
    <w:sectPr>
      <w:headerReference w:type="default" r:id="rId9"/>
      <w:footerReference w:type="default" r:id="rId10"/>
      <w:pgSz w:w="16838" w:h="11906" w:orient="landscape"/>
      <w:pgMar w:top="1100" w:right="936" w:bottom="900" w:left="936" w:header="48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40"/>
      <w:jc w:val="center"/>
    </w:pPr>
    <w:r>
      <w:rPr>
        <w:color w:val="595959"/>
        <w:sz w:val="16"/>
        <w:szCs w:val="16"/>
      </w:rPr>
      <w:t xml:space="preserve">TriCore Civil Services Pty Ltd  |  PO Box 103, Rockhampton QLD 4700  |  Tel: 07 3390 5803  |  tricorecivil.com.au</w:t>
    </w:r>
    <w:r>
      <w:br/>
      <w:t xml:space="preserve"/>
    </w: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40"/>
      <w:jc w:val="center"/>
    </w:pPr>
    <w:r>
      <w:rPr>
        <w:color w:val="595959"/>
        <w:sz w:val="16"/>
        <w:szCs w:val="16"/>
      </w:rPr>
      <w:t xml:space="preserve">TriCore Civil Services Pty Ltd  |  PO Box 103, Rockhampton QLD 4700  |  Tel: 07 3390 5803  |  tricorecivil.com.au</w:t>
    </w:r>
    <w:r>
      <w:br/>
      <w:t xml:space="preserve"/>
    </w: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602D" w:sz="6" w:space="4"/>
      </w:pBdr>
      <w:spacing w:after="0"/>
      <w:jc w:val="right"/>
    </w:pPr>
    <w:r>
      <w:rPr>
        <w:b/>
        <w:bCs/>
        <w:color w:val="1F4E79"/>
        <w:sz w:val="17"/>
        <w:szCs w:val="17"/>
      </w:rPr>
      <w:t xml:space="preserve">Rockhampton Sports Precinct Stage 1  |  TEN16699</w:t>
    </w:r>
    <w:r>
      <w:br/>
      <w:t xml:space="preserve"/>
    </w:r>
    <w:r>
      <w:rPr>
        <w:color w:val="595959"/>
        <w:sz w:val="17"/>
        <w:szCs w:val="17"/>
      </w:rPr>
      <w:t xml:space="preserve">Civil Stormwater Drainage Tender Submission</w:t>
    </w:r>
  </w:p>
  <w:p>
    <w:pPr>
      <w:spacing w:after="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602D" w:sz="6" w:space="4"/>
      </w:pBdr>
      <w:spacing w:after="0"/>
      <w:jc w:val="right"/>
    </w:pPr>
    <w:r>
      <w:rPr>
        <w:b/>
        <w:bCs/>
        <w:color w:val="1F4E79"/>
        <w:sz w:val="17"/>
        <w:szCs w:val="17"/>
      </w:rPr>
      <w:t xml:space="preserve">Rockhampton Sports Precinct Stage 1  |  TEN16699</w:t>
    </w:r>
    <w:r>
      <w:br/>
      <w:t xml:space="preserve"/>
    </w:r>
    <w:r>
      <w:rPr>
        <w:color w:val="595959"/>
        <w:sz w:val="17"/>
        <w:szCs w:val="17"/>
      </w:rPr>
      <w:t xml:space="preserve">Civil Stormwater Drainage Tender Submission</w:t>
    </w:r>
  </w:p>
  <w:p>
    <w:pPr>
      <w:spacing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ED602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E1E"/>
        <w:sz w:val="21"/>
        <w:szCs w:val="21"/>
      </w:rPr>
    </w:rPrDefault>
    <w:pPrDefault>
      <w:pPr>
        <w:spacing w:after="110" w:line="25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30" w:before="300"/>
      <w:outlineLvl w:val="0"/>
    </w:pPr>
    <w:rPr>
      <w:rFonts w:ascii="Calibri" w:cs="Calibri" w:eastAsia="Calibri" w:hAnsi="Calibri"/>
      <w:b/>
      <w:bCs/>
      <w:color w:val="365F91"/>
      <w:sz w:val="27"/>
      <w:szCs w:val="27"/>
    </w:rPr>
  </w:style>
  <w:style w:type="paragraph" w:styleId="Heading2">
    <w:name w:val="Heading 2"/>
    <w:basedOn w:val="Normal"/>
    <w:next w:val="Normal"/>
    <w:qFormat/>
    <w:pPr>
      <w:keepNext/>
      <w:spacing w:after="80" w:before="190"/>
      <w:outlineLvl w:val="1"/>
    </w:pPr>
    <w:rPr>
      <w:rFonts w:ascii="Calibri" w:cs="Calibri" w:eastAsia="Calibri" w:hAnsi="Calibri"/>
      <w:b/>
      <w:bCs/>
      <w:color w:val="1F4E79"/>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TEN16699 Rockhampton Sports Precinct Stage 1 - TriCore Civil Services Tender Submission</dc:title>
  <dc:creator>TriCore Civil Services Pty Ltd</dc:creator>
  <dc:description>Civil stormwater drainage tender submission, Stage 1A and Stage 1B</dc:description>
  <cp:lastModifiedBy>Un-named</cp:lastModifiedBy>
  <cp:revision>1</cp:revision>
  <dcterms:created xsi:type="dcterms:W3CDTF">2026-07-26T19:12:30.754Z</dcterms:created>
  <dcterms:modified xsi:type="dcterms:W3CDTF">2026-07-26T19:12:30.755Z</dcterms:modified>
</cp:coreProperties>
</file>

<file path=docProps/custom.xml><?xml version="1.0" encoding="utf-8"?>
<Properties xmlns="http://schemas.openxmlformats.org/officeDocument/2006/custom-properties" xmlns:vt="http://schemas.openxmlformats.org/officeDocument/2006/docPropsVTypes"/>
</file>