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Buyer Strategy Questions</w:t>
      </w:r>
    </w:p>
    <w:p>
      <w:r>
        <w:rPr>
          <w:rFonts w:ascii="Aptos" w:hAnsi="Aptos"/>
          <w:color w:val="667789"/>
          <w:sz w:val="18"/>
        </w:rPr>
        <w:t>Discovery prompts for buyer strategy and account mapping.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Core questions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business outcome is at risk if this role stays open?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Who owns the decision, budget, process, and final yes?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Where has the current hiring motion broken down?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What would make a staffing partner strategically useful instead of transactional?</w:t>
      </w:r>
    </w:p>
    <w:p>
      <w:pPr>
        <w:pStyle w:val="Heading1"/>
        <w:spacing w:before="200" w:after="80"/>
      </w:pPr>
      <w:r>
        <w:t>Enterprise vs. mid-market</w:t>
      </w:r>
    </w:p>
    <w:p>
      <w:pPr>
        <w:spacing w:after="100" w:line="259" w:lineRule="auto"/>
      </w:pPr>
      <w:r>
        <w:t>Enterprise accounts are structured, layered, and volume-oriented. Mid-market accounts are relationship-led, flexible, and education-heavy. A balanced book gives the business repeatability, agility, margin opportunity, and more ways to win.</w:t>
      </w:r>
    </w:p>
    <w:p>
      <w:pPr>
        <w:pStyle w:val="Heading1"/>
        <w:spacing w:before="200" w:after="80"/>
      </w:pPr>
      <w:r>
        <w:t>DMU/I buyer map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Decision Maker: final authority; lead with outcomes and economics.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User: interacts most with the firm and candidates; satisfaction drives future business.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Influencer: shapes the decision; address risks proactively to avoid delays.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