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Closeout Checklist</w:t>
      </w:r>
    </w:p>
    <w:p>
      <w:r>
        <w:rPr>
          <w:rFonts w:ascii="Aptos" w:hAnsi="Aptos"/>
          <w:color w:val="667789"/>
          <w:sz w:val="18"/>
        </w:rPr>
        <w:t>Interview debrief, onboarding, and assignment record steps.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Interview debrief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did the client like?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concerns remain?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Who else is involved in the decision?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is the next step and date?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can delivery adjust before the next submittal?</w:t>
      </w:r>
    </w:p>
    <w:p>
      <w:pPr>
        <w:pStyle w:val="Heading1"/>
        <w:spacing w:before="200" w:after="80"/>
      </w:pPr>
      <w:r>
        <w:t>Before onboarding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the JobDiva job title mirrors the consultant contract.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location is the correct work location.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the contact is the correct manager.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remote, onsite, or hybrid status is accurate.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Recruiting confirms/corrects candidate information before onboarding starts.</w:t>
      </w:r>
    </w:p>
    <w:p>
      <w:pPr>
        <w:pStyle w:val="Heading1"/>
        <w:spacing w:before="200" w:after="80"/>
      </w:pPr>
      <w:r>
        <w:t>Assignment record flow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Sales completes the bill side after receiving the JobDiva start-record notification.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Recruiting completes the pay side after receiving notice that the bill side is complete.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Direct placements go to the Invoice Placement tab.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Send new deals to itonboarding@itmmi.com or hconboarding@hcmmi.com.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If CDM is involved, send to CDM first.</w:t>
      </w:r>
    </w:p>
    <w:p>
      <w:pPr>
        <w:pStyle w:val="Heading1"/>
        <w:spacing w:before="200" w:after="80"/>
      </w:pPr>
      <w:r>
        <w:t>3rd parties and ICs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 a 3rd party, first add the company in JobDiva and classify it as a 3rd Party.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On the pay side for a 3rd party, classify employment category as subcontract, add corp name, and enter the TaxID.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 an independent contractor, classify employment category as independent contractor, add the IC's name under corp, and enter the TaxID.</w:t>
      </w:r>
    </w:p>
    <w:p>
      <w:pPr>
        <w:pStyle w:val="Heading1"/>
        <w:spacing w:before="200" w:after="80"/>
      </w:pPr>
      <w:r>
        <w:t>After start</w:t>
      </w:r>
    </w:p>
    <w:p>
      <w:pPr>
        <w:spacing w:after="100" w:line="259" w:lineRule="auto"/>
      </w:pPr>
      <w:r>
        <w:t>Send assignment record changes, extensions, and rate changes to support@itmmi.com. For untraditional deals, reach out to Jordan before guessing the workflow.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