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First Deal Checklist</w:t>
      </w:r>
    </w:p>
    <w:p>
      <w:r>
        <w:rPr>
          <w:rFonts w:ascii="Aptos" w:hAnsi="Aptos"/>
          <w:color w:val="667789"/>
          <w:sz w:val="18"/>
        </w:rPr>
        <w:t>Assignment Record and Invoice Placement first-deal path.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First deal steps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Confirm deal type: contract, contract-to-perm, direct placement, subcontract, or independent contractor.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For contract starts, confirm the JobDiva job record, candidate details, start date, work location, manager, remote status, and assignment record details.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Sales completes the bill side when the start record notification arrives; recruiting completes the pay side after bill-side completion.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For permanent placements, use Invoice Placement instructions with salary, fee, start date, client approval, and invoice details.</w:t>
      </w:r>
    </w:p>
    <w:p>
      <w:pPr>
        <w:pStyle w:val="ListNumber"/>
        <w:spacing w:after="40"/>
      </w:pPr>
      <w:r>
        <w:rPr>
          <w:rFonts w:ascii="Aptos" w:hAnsi="Aptos"/>
          <w:sz w:val="18"/>
        </w:rPr>
        <w:t>Route onboarding cleanly and send later assignment record changes, extensions, or rate changes to support@itmmi.com.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