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ptos Display" w:hAnsi="Aptos Display"/>
          <w:b/>
          <w:color w:val="003F78"/>
          <w:sz w:val="48"/>
        </w:rPr>
        <w:t>MMI Networking Referral Prompts</w:t>
      </w:r>
    </w:p>
    <w:p>
      <w:r>
        <w:rPr>
          <w:rFonts w:ascii="Aptos" w:hAnsi="Aptos"/>
          <w:color w:val="667789"/>
          <w:sz w:val="18"/>
        </w:rPr>
        <w:t>Warm-path questions for networking and referrals.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440"/>
      </w:tblGrid>
      <w:tr>
        <w:trPr>
          <w:trHeight w:val="100"/>
        </w:trPr>
        <w:tc>
          <w:tcPr>
            <w:tcW w:type="dxa" w:w="10512"/>
            <w:shd w:fill="39B54A"/>
            <w:vAlign w:val="center"/>
          </w:tcPr>
          <w:p>
            <w:r/>
            <w:r>
              <w:rPr>
                <w:rFonts w:ascii="Aptos" w:hAnsi="Aptos"/>
                <w:b w:val="0"/>
                <w:color w:val="172331"/>
                <w:sz w:val="17"/>
              </w:rPr>
            </w:r>
          </w:p>
        </w:tc>
      </w:tr>
    </w:tbl>
    <w:p>
      <w:pPr>
        <w:spacing w:after="80"/>
      </w:pPr>
    </w:p>
    <w:p>
      <w:pPr>
        <w:pStyle w:val="Heading1"/>
        <w:spacing w:before="200" w:after="80"/>
      </w:pPr>
      <w:r>
        <w:t>Referral prompts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Who in your network is hiring, expanding, transforming, or frustrated with hiring velocity?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Who recently changed roles and may be rebuilding a team?</w:t>
      </w:r>
    </w:p>
    <w:p>
      <w:pPr>
        <w:pStyle w:val="ListBullet"/>
        <w:spacing w:after="40"/>
      </w:pPr>
      <w:r>
        <w:rPr>
          <w:rFonts w:ascii="Aptos" w:hAnsi="Aptos"/>
          <w:sz w:val="18"/>
        </w:rPr>
        <w:t>Which candidate, consultant, or client relationship can create a warm path?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7233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3F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