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Proof of Partnerships</w:t>
      </w:r>
    </w:p>
    <w:p>
      <w:r>
        <w:rPr>
          <w:rFonts w:ascii="Aptos" w:hAnsi="Aptos"/>
          <w:color w:val="667789"/>
          <w:sz w:val="18"/>
        </w:rPr>
        <w:t>Proof points for strategic partnership conversations.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Strategic partner, not transactional staffing provider</w:t>
      </w:r>
    </w:p>
    <w:p>
      <w:pPr>
        <w:spacing w:after="100" w:line="259" w:lineRule="auto"/>
      </w:pPr>
      <w:r>
        <w:t>In partnership with a major investment bank, MMI helped validate and de-risk a long-term staffing strategy under intense regulatory pressure and cost constraints.</w:t>
      </w:r>
    </w:p>
    <w:p>
      <w:pPr>
        <w:pStyle w:val="Heading1"/>
        <w:spacing w:before="200" w:after="80"/>
      </w:pPr>
      <w:r>
        <w:t>Results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50%+ interview progression rate vs. 10% internal success rate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105 total placements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80 converted to full-time employees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Resume delivery in under one week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