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drawing>
          <wp:inline xmlns:a="http://schemas.openxmlformats.org/drawingml/2006/main" xmlns:pic="http://schemas.openxmlformats.org/drawingml/2006/picture">
            <wp:extent cx="1554480" cy="1036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mi-playbook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03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Aptos Display" w:hAnsi="Aptos Display"/>
          <w:b/>
          <w:color w:val="003F78"/>
          <w:sz w:val="48"/>
        </w:rPr>
        <w:t>MMI First Deal Checklist</w:t>
      </w:r>
    </w:p>
    <w:p>
      <w:r>
        <w:rPr>
          <w:rFonts w:ascii="Aptos" w:hAnsi="Aptos"/>
          <w:color w:val="667789"/>
          <w:sz w:val="18"/>
        </w:rPr>
        <w:t>Assignment Record and Invoice Placement first-deal path.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rHeight w:val="100"/>
        </w:trPr>
        <w:tc>
          <w:tcPr>
            <w:tcW w:type="dxa" w:w="10512"/>
            <w:shd w:fill="39B54A"/>
            <w:vAlign w:val="center"/>
          </w:tcPr>
          <w:p>
            <w:r/>
            <w:r>
              <w:rPr>
                <w:rFonts w:ascii="Aptos" w:hAnsi="Aptos"/>
                <w:b w:val="0"/>
                <w:color w:val="172331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1"/>
        <w:spacing w:before="200" w:after="80"/>
      </w:pPr>
      <w:r>
        <w:t>First deal steps</w:t>
      </w:r>
    </w:p>
    <w:p>
      <w:pPr>
        <w:pStyle w:val="ListNumber"/>
        <w:spacing w:after="40"/>
      </w:pPr>
      <w:r>
        <w:rPr>
          <w:rFonts w:ascii="Aptos" w:hAnsi="Aptos"/>
          <w:sz w:val="18"/>
        </w:rPr>
        <w:t>Confirm deal type: contract, contract-to-perm, direct placement, subcontract, or independent contractor.</w:t>
      </w:r>
    </w:p>
    <w:p>
      <w:pPr>
        <w:pStyle w:val="ListNumber"/>
        <w:spacing w:after="40"/>
      </w:pPr>
      <w:r>
        <w:rPr>
          <w:rFonts w:ascii="Aptos" w:hAnsi="Aptos"/>
          <w:sz w:val="18"/>
        </w:rPr>
        <w:t>For contract starts, confirm the JobDiva job record, candidate details, start date, work location, manager, remote status, and assignment record details.</w:t>
      </w:r>
    </w:p>
    <w:p>
      <w:pPr>
        <w:pStyle w:val="ListNumber"/>
        <w:spacing w:after="40"/>
      </w:pPr>
      <w:r>
        <w:rPr>
          <w:rFonts w:ascii="Aptos" w:hAnsi="Aptos"/>
          <w:sz w:val="18"/>
        </w:rPr>
        <w:t>Sales completes the bill side when the start record notification arrives; recruiting completes the pay side after bill-side completion.</w:t>
      </w:r>
    </w:p>
    <w:p>
      <w:pPr>
        <w:pStyle w:val="ListNumber"/>
        <w:spacing w:after="40"/>
      </w:pPr>
      <w:r>
        <w:rPr>
          <w:rFonts w:ascii="Aptos" w:hAnsi="Aptos"/>
          <w:sz w:val="18"/>
        </w:rPr>
        <w:t>For permanent placements, use Invoice Placement instructions with salary, fee, start date, client approval, and invoice details.</w:t>
      </w:r>
    </w:p>
    <w:p>
      <w:pPr>
        <w:pStyle w:val="ListNumber"/>
        <w:spacing w:after="40"/>
      </w:pPr>
      <w:r>
        <w:rPr>
          <w:rFonts w:ascii="Aptos" w:hAnsi="Aptos"/>
          <w:sz w:val="18"/>
        </w:rPr>
        <w:t>Route onboarding cleanly and send later assignment record changes, extensions, or rate changes to support@itmmi.com.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33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3F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3F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3F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