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left"/>
      </w:pPr>
      <w:r>
        <w:drawing>
          <wp:inline xmlns:a="http://schemas.openxmlformats.org/drawingml/2006/main" xmlns:pic="http://schemas.openxmlformats.org/drawingml/2006/picture">
            <wp:extent cx="1554480" cy="1036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mi-playbook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1036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Aptos Display" w:hAnsi="Aptos Display"/>
          <w:b/>
          <w:color w:val="003F78"/>
          <w:sz w:val="48"/>
        </w:rPr>
        <w:t>MMI Market Intel Call Prep</w:t>
      </w:r>
    </w:p>
    <w:p>
      <w:r>
        <w:rPr>
          <w:rFonts w:ascii="Aptos" w:hAnsi="Aptos"/>
          <w:color w:val="667789"/>
          <w:sz w:val="18"/>
        </w:rPr>
        <w:t>Use data to sharpen staffing conversations.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rPr>
          <w:trHeight w:val="100"/>
        </w:trPr>
        <w:tc>
          <w:tcPr>
            <w:tcW w:type="dxa" w:w="10512"/>
            <w:shd w:fill="39B54A"/>
            <w:vAlign w:val="center"/>
          </w:tcPr>
          <w:p>
            <w:r/>
            <w:r>
              <w:rPr>
                <w:rFonts w:ascii="Aptos" w:hAnsi="Aptos"/>
                <w:b w:val="0"/>
                <w:color w:val="172331"/>
                <w:sz w:val="17"/>
              </w:rPr>
            </w:r>
          </w:p>
        </w:tc>
      </w:tr>
    </w:tbl>
    <w:p>
      <w:pPr>
        <w:spacing w:after="80"/>
      </w:pPr>
    </w:p>
    <w:p>
      <w:pPr>
        <w:pStyle w:val="Heading1"/>
        <w:spacing w:before="200" w:after="80"/>
      </w:pPr>
      <w:r>
        <w:t>Bring evidence</w:t>
      </w:r>
    </w:p>
    <w:p>
      <w:pPr>
        <w:spacing w:after="100" w:line="259" w:lineRule="auto"/>
      </w:pPr>
      <w:r>
        <w:t>Bring hiring trends, compensation benchmarks, skill availability, time-to-fill, and interview-to-offer data into the sales conversation.</w:t>
      </w:r>
    </w:p>
    <w:p>
      <w:pPr>
        <w:pStyle w:val="Heading1"/>
        <w:spacing w:before="200" w:after="80"/>
      </w:pPr>
      <w:r>
        <w:t>Frame the pressure</w:t>
      </w:r>
    </w:p>
    <w:p>
      <w:pPr>
        <w:spacing w:after="100" w:line="259" w:lineRule="auto"/>
      </w:pPr>
      <w:r>
        <w:t>Frame the market around the buyer's pressure: speed, quality, cost, risk, or continuity.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7233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3F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3F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3F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