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left"/>
      </w:pPr>
      <w:r>
        <w:drawing>
          <wp:inline xmlns:a="http://schemas.openxmlformats.org/drawingml/2006/main" xmlns:pic="http://schemas.openxmlformats.org/drawingml/2006/picture">
            <wp:extent cx="1554480" cy="1036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mi-playbook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1036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Aptos Display" w:hAnsi="Aptos Display"/>
          <w:b/>
          <w:color w:val="003F78"/>
          <w:sz w:val="48"/>
        </w:rPr>
        <w:t>MMI Meeting Checklist</w:t>
      </w:r>
    </w:p>
    <w:p>
      <w:r>
        <w:rPr>
          <w:rFonts w:ascii="Aptos" w:hAnsi="Aptos"/>
          <w:color w:val="667789"/>
          <w:sz w:val="18"/>
        </w:rPr>
        <w:t>Preparation, conversation, and follow-up checklist.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40"/>
      </w:tblGrid>
      <w:tr>
        <w:trPr>
          <w:trHeight w:val="100"/>
        </w:trPr>
        <w:tc>
          <w:tcPr>
            <w:tcW w:type="dxa" w:w="10512"/>
            <w:shd w:fill="39B54A"/>
            <w:vAlign w:val="center"/>
          </w:tcPr>
          <w:p>
            <w:r/>
            <w:r>
              <w:rPr>
                <w:rFonts w:ascii="Aptos" w:hAnsi="Aptos"/>
                <w:b w:val="0"/>
                <w:color w:val="172331"/>
                <w:sz w:val="17"/>
              </w:rPr>
            </w:r>
          </w:p>
        </w:tc>
      </w:tr>
    </w:tbl>
    <w:p>
      <w:pPr>
        <w:spacing w:after="80"/>
      </w:pPr>
    </w:p>
    <w:p>
      <w:pPr>
        <w:pStyle w:val="Heading1"/>
        <w:spacing w:before="200" w:after="80"/>
      </w:pPr>
      <w:r>
        <w:t>Before</w:t>
      </w:r>
    </w:p>
    <w:p>
      <w:pPr>
        <w:spacing w:after="100" w:line="259" w:lineRule="auto"/>
      </w:pPr>
      <w:r>
        <w:t>Research buyer, business pressure, market signals, likely roles, and proof points.</w:t>
      </w:r>
    </w:p>
    <w:p>
      <w:pPr>
        <w:pStyle w:val="Heading1"/>
        <w:spacing w:before="200" w:after="80"/>
      </w:pPr>
      <w:r>
        <w:t>During</w:t>
      </w:r>
    </w:p>
    <w:p>
      <w:pPr>
        <w:spacing w:after="100" w:line="259" w:lineRule="auto"/>
      </w:pPr>
      <w:r>
        <w:t>Diagnose pain, urgency, process, decision path, and success criteria.</w:t>
      </w:r>
    </w:p>
    <w:p>
      <w:pPr>
        <w:pStyle w:val="Heading1"/>
        <w:spacing w:before="200" w:after="80"/>
      </w:pPr>
      <w:r>
        <w:t>After</w:t>
      </w:r>
    </w:p>
    <w:p>
      <w:pPr>
        <w:spacing w:after="100" w:line="259" w:lineRule="auto"/>
      </w:pPr>
      <w:r>
        <w:t>Recap, assign next steps, align delivery, and document the opportunity.</w:t>
      </w:r>
    </w:p>
    <w:p>
      <w:pPr>
        <w:pStyle w:val="Heading1"/>
        <w:spacing w:before="200" w:after="80"/>
      </w:pPr>
      <w:r>
        <w:t>Cold call / voicemail structure</w:t>
      </w:r>
    </w:p>
    <w:p>
      <w:pPr>
        <w:pStyle w:val="ListNumber"/>
        <w:spacing w:after="40"/>
      </w:pPr>
      <w:r>
        <w:rPr>
          <w:rFonts w:ascii="Aptos" w:hAnsi="Aptos"/>
          <w:sz w:val="18"/>
        </w:rPr>
        <w:t>Who you are.</w:t>
      </w:r>
    </w:p>
    <w:p>
      <w:pPr>
        <w:pStyle w:val="ListNumber"/>
        <w:spacing w:after="40"/>
      </w:pPr>
      <w:r>
        <w:rPr>
          <w:rFonts w:ascii="Aptos" w:hAnsi="Aptos"/>
          <w:sz w:val="18"/>
        </w:rPr>
        <w:t>Where you are calling from.</w:t>
      </w:r>
    </w:p>
    <w:p>
      <w:pPr>
        <w:pStyle w:val="ListNumber"/>
        <w:spacing w:after="40"/>
      </w:pPr>
      <w:r>
        <w:rPr>
          <w:rFonts w:ascii="Aptos" w:hAnsi="Aptos"/>
          <w:sz w:val="18"/>
        </w:rPr>
        <w:t>What you specialize in.</w:t>
      </w:r>
    </w:p>
    <w:p>
      <w:pPr>
        <w:pStyle w:val="ListNumber"/>
        <w:spacing w:after="40"/>
      </w:pPr>
      <w:r>
        <w:rPr>
          <w:rFonts w:ascii="Aptos" w:hAnsi="Aptos"/>
          <w:sz w:val="18"/>
        </w:rPr>
        <w:t>The reason you are calling.</w:t>
      </w:r>
    </w:p>
    <w:p>
      <w:pPr>
        <w:pStyle w:val="ListNumber"/>
        <w:spacing w:after="40"/>
      </w:pPr>
      <w:r>
        <w:rPr>
          <w:rFonts w:ascii="Aptos" w:hAnsi="Aptos"/>
          <w:sz w:val="18"/>
        </w:rPr>
        <w:t>Open question.</w:t>
      </w:r>
    </w:p>
    <w:p>
      <w:pPr>
        <w:pStyle w:val="Heading1"/>
        <w:spacing w:before="200" w:after="80"/>
      </w:pPr>
      <w:r>
        <w:t>Qualified job order intake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Why is the position open, and how is the work currently being done?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Confirm remote, hybrid, onsite, immigration, work hours, shift, start date, duration, project description, and job duties.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Capture skills, years of experience, education, certifications, environment, soft skills, culture, and top three requirements.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Confirm bill rate, salary if C2H or full-time, follow-up day/time, exclusivity ask, interview time blocks, and interview process.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Route contract roles to jobqueue.contract@itmmi.com and full-time roles to jobqueue.perm@itmmi.com.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7233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3F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3F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3F7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