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Objection Handling Guide</w:t>
      </w:r>
    </w:p>
    <w:p>
      <w:r>
        <w:rPr>
          <w:rFonts w:ascii="Aptos" w:hAnsi="Aptos"/>
          <w:color w:val="667789"/>
          <w:sz w:val="18"/>
        </w:rPr>
        <w:t>Ask, acknowledge, reframe, and advance common buyer pushback.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Resolution model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Ask: Clarify what is really behind the objection before responding.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Acknowledge: Show you heard the concern without sounding defensive.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Reframe: Connect MMI to a gap, niche, benchmark, speed issue, or risk the buyer already has.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Advance: Earn the next step: a name, a meeting, a role, a follow-up date, or a test search.</w:t>
      </w:r>
    </w:p>
    <w:p>
      <w:pPr>
        <w:pStyle w:val="Heading1"/>
        <w:spacing w:before="200" w:after="80"/>
      </w:pPr>
      <w:r>
        <w:t>Common objections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Approved vendor / vendor list: Ask how vendors get added and whether niche partners are used for hard-to-fill roles.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MSP / VMS program: Respect the program, then learn the tool, program owner, review cycle, and delivery gaps.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HR owns all hiring: Work with HR and confirm the manager's role in defining must-haves.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Fees, rates, or price is too high: Shift from price to vacancy cost, market reality, speed, and quality.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Happy with current vendors: Look for gaps around niche roles, time-to-fill, quality, or urgency.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Too busy / send me information: Ask what information would be useful and set a follow-up.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No needs / budget not approved: Learn planning cycles, upcoming initiatives, likely skill needs, and reconnect timing.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