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left"/>
      </w:pPr>
      <w:r>
        <w:drawing>
          <wp:inline xmlns:a="http://schemas.openxmlformats.org/drawingml/2006/main" xmlns:pic="http://schemas.openxmlformats.org/drawingml/2006/picture">
            <wp:extent cx="1554480" cy="1036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mi-playbook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1036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left"/>
      </w:pPr>
      <w:r>
        <w:rPr>
          <w:rFonts w:ascii="Aptos Display" w:hAnsi="Aptos Display"/>
          <w:b/>
          <w:color w:val="003F78"/>
          <w:sz w:val="48"/>
        </w:rPr>
        <w:t>MMI Proof of Partnerships</w:t>
      </w:r>
    </w:p>
    <w:p>
      <w:r>
        <w:rPr>
          <w:rFonts w:ascii="Aptos" w:hAnsi="Aptos"/>
          <w:color w:val="667789"/>
          <w:sz w:val="18"/>
        </w:rPr>
        <w:t>Proof points for strategic partnership conversations.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40"/>
      </w:tblGrid>
      <w:tr>
        <w:trPr>
          <w:trHeight w:val="100"/>
        </w:trPr>
        <w:tc>
          <w:tcPr>
            <w:tcW w:type="dxa" w:w="10512"/>
            <w:shd w:fill="39B54A"/>
            <w:vAlign w:val="center"/>
          </w:tcPr>
          <w:p>
            <w:r/>
            <w:r>
              <w:rPr>
                <w:rFonts w:ascii="Aptos" w:hAnsi="Aptos"/>
                <w:b w:val="0"/>
                <w:color w:val="172331"/>
                <w:sz w:val="17"/>
              </w:rPr>
            </w:r>
          </w:p>
        </w:tc>
      </w:tr>
    </w:tbl>
    <w:p>
      <w:pPr>
        <w:spacing w:after="80"/>
      </w:pPr>
    </w:p>
    <w:p>
      <w:pPr>
        <w:pStyle w:val="Heading1"/>
        <w:spacing w:before="200" w:after="80"/>
      </w:pPr>
      <w:r>
        <w:t>Strategic partner, not transactional staffing provider</w:t>
      </w:r>
    </w:p>
    <w:p>
      <w:pPr>
        <w:spacing w:after="100" w:line="259" w:lineRule="auto"/>
      </w:pPr>
      <w:r>
        <w:t>In partnership with a major investment bank, MMI helped validate and de-risk a long-term staffing strategy under intense regulatory pressure and cost constraints.</w:t>
      </w:r>
    </w:p>
    <w:p>
      <w:pPr>
        <w:pStyle w:val="Heading1"/>
        <w:spacing w:before="200" w:after="80"/>
      </w:pPr>
      <w:r>
        <w:t>Results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50%+ interview progression rate vs. 10% internal success rate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105 total placements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80 converted to full-time employees</w:t>
      </w:r>
    </w:p>
    <w:p>
      <w:pPr>
        <w:pStyle w:val="ListBullet"/>
        <w:spacing w:after="40"/>
      </w:pPr>
      <w:r>
        <w:rPr>
          <w:rFonts w:ascii="Aptos" w:hAnsi="Aptos"/>
          <w:sz w:val="18"/>
        </w:rPr>
        <w:t>Resume delivery in under one week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7233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3F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3F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3F78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