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Prospecting Prompts</w:t>
      </w:r>
    </w:p>
    <w:p>
      <w:r>
        <w:rPr>
          <w:rFonts w:ascii="Aptos" w:hAnsi="Aptos"/>
          <w:color w:val="667789"/>
          <w:sz w:val="18"/>
        </w:rPr>
        <w:t>Signals and weekly motion prompts for pipeline creation.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Signals to check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Referrals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Candidates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Consultants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Current clients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New executives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News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Job boards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MSA accounts</w:t>
      </w:r>
    </w:p>
    <w:p>
      <w:pPr>
        <w:pStyle w:val="Heading1"/>
        <w:spacing w:before="200" w:after="80"/>
      </w:pPr>
      <w:r>
        <w:t>Weekly motion</w:t>
      </w:r>
    </w:p>
    <w:p>
      <w:pPr>
        <w:spacing w:after="100" w:line="259" w:lineRule="auto"/>
      </w:pPr>
      <w:r>
        <w:t>Combine warm network moves, market triggers, data-backed campaigns, and disciplined call blocks.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