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left"/>
      </w:pPr>
      <w:r>
        <w:drawing>
          <wp:inline xmlns:a="http://schemas.openxmlformats.org/drawingml/2006/main" xmlns:pic="http://schemas.openxmlformats.org/drawingml/2006/picture">
            <wp:extent cx="1554480" cy="1036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i-playbook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1036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ptos Display" w:hAnsi="Aptos Display"/>
          <w:b/>
          <w:color w:val="003F78"/>
          <w:sz w:val="48"/>
        </w:rPr>
        <w:t>MMI Sales Lifecycle Checklist</w:t>
      </w:r>
    </w:p>
    <w:p>
      <w:r>
        <w:rPr>
          <w:rFonts w:ascii="Aptos" w:hAnsi="Aptos"/>
          <w:color w:val="667789"/>
          <w:sz w:val="18"/>
        </w:rPr>
        <w:t>Operating path from signal to partnership.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40"/>
      </w:tblGrid>
      <w:tr>
        <w:trPr>
          <w:trHeight w:val="100"/>
        </w:trPr>
        <w:tc>
          <w:tcPr>
            <w:tcW w:type="dxa" w:w="10512"/>
            <w:shd w:fill="39B54A"/>
            <w:vAlign w:val="center"/>
          </w:tcPr>
          <w:p>
            <w:r/>
            <w:r>
              <w:rPr>
                <w:rFonts w:ascii="Aptos" w:hAnsi="Aptos"/>
                <w:b w:val="0"/>
                <w:color w:val="172331"/>
                <w:sz w:val="17"/>
              </w:rPr>
            </w:r>
          </w:p>
        </w:tc>
      </w:tr>
    </w:tbl>
    <w:p>
      <w:pPr>
        <w:spacing w:after="80"/>
      </w:pPr>
    </w:p>
    <w:p>
      <w:pPr>
        <w:pStyle w:val="Heading1"/>
        <w:spacing w:before="200" w:after="80"/>
      </w:pPr>
      <w:r>
        <w:t>Operating path</w:t>
      </w:r>
    </w:p>
    <w:p>
      <w:pPr>
        <w:pStyle w:val="ListNumber"/>
        <w:spacing w:after="40"/>
      </w:pPr>
      <w:r>
        <w:rPr>
          <w:rFonts w:ascii="Aptos" w:hAnsi="Aptos"/>
          <w:sz w:val="18"/>
        </w:rPr>
        <w:t>Research: Find signals, names, referrals, and timing.</w:t>
      </w:r>
    </w:p>
    <w:p>
      <w:pPr>
        <w:pStyle w:val="ListNumber"/>
        <w:spacing w:after="40"/>
      </w:pPr>
      <w:r>
        <w:rPr>
          <w:rFonts w:ascii="Aptos" w:hAnsi="Aptos"/>
          <w:sz w:val="18"/>
        </w:rPr>
        <w:t>Engage: Use calls, email, LinkedIn, pro-marketing, and events.</w:t>
      </w:r>
    </w:p>
    <w:p>
      <w:pPr>
        <w:pStyle w:val="ListNumber"/>
        <w:spacing w:after="40"/>
      </w:pPr>
      <w:r>
        <w:rPr>
          <w:rFonts w:ascii="Aptos" w:hAnsi="Aptos"/>
          <w:sz w:val="18"/>
        </w:rPr>
        <w:t>Diagnose: Map buyer type, pain, team, process, and urgency.</w:t>
      </w:r>
    </w:p>
    <w:p>
      <w:pPr>
        <w:pStyle w:val="ListNumber"/>
        <w:spacing w:after="40"/>
      </w:pPr>
      <w:r>
        <w:rPr>
          <w:rFonts w:ascii="Aptos" w:hAnsi="Aptos"/>
          <w:sz w:val="18"/>
        </w:rPr>
        <w:t>Capture: Take a job order with delivery aligned early.</w:t>
      </w:r>
    </w:p>
    <w:p>
      <w:pPr>
        <w:pStyle w:val="ListNumber"/>
        <w:spacing w:after="40"/>
      </w:pPr>
      <w:r>
        <w:rPr>
          <w:rFonts w:ascii="Aptos" w:hAnsi="Aptos"/>
          <w:sz w:val="18"/>
        </w:rPr>
        <w:t>Advance: Prep, debrief, close, document, and redeploy.</w:t>
      </w:r>
    </w:p>
    <w:p>
      <w:pPr>
        <w:pStyle w:val="Heading1"/>
        <w:spacing w:before="200" w:after="80"/>
      </w:pPr>
      <w:r>
        <w:t>Sales pipeline</w:t>
      </w:r>
    </w:p>
    <w:p>
      <w:pPr>
        <w:pStyle w:val="ListNumber"/>
        <w:spacing w:after="40"/>
      </w:pPr>
      <w:r>
        <w:rPr>
          <w:rFonts w:ascii="Aptos" w:hAnsi="Aptos"/>
          <w:sz w:val="18"/>
        </w:rPr>
        <w:t>Awareness: Keep targeted activity at the top of the funnel.</w:t>
      </w:r>
    </w:p>
    <w:p>
      <w:pPr>
        <w:pStyle w:val="ListNumber"/>
        <w:spacing w:after="40"/>
      </w:pPr>
      <w:r>
        <w:rPr>
          <w:rFonts w:ascii="Aptos" w:hAnsi="Aptos"/>
          <w:sz w:val="18"/>
        </w:rPr>
        <w:t>Engagement: Convert attention into conversations and meetings.</w:t>
      </w:r>
    </w:p>
    <w:p>
      <w:pPr>
        <w:pStyle w:val="ListNumber"/>
        <w:spacing w:after="40"/>
      </w:pPr>
      <w:r>
        <w:rPr>
          <w:rFonts w:ascii="Aptos" w:hAnsi="Aptos"/>
          <w:sz w:val="18"/>
        </w:rPr>
        <w:t>Job Reqs: Capture qualified requirements with process and pain.</w:t>
      </w:r>
    </w:p>
    <w:p>
      <w:pPr>
        <w:pStyle w:val="ListNumber"/>
        <w:spacing w:after="40"/>
      </w:pPr>
      <w:r>
        <w:rPr>
          <w:rFonts w:ascii="Aptos" w:hAnsi="Aptos"/>
          <w:sz w:val="18"/>
        </w:rPr>
        <w:t>Delivery: Align recruiting early and manage interviews.</w:t>
      </w:r>
    </w:p>
    <w:p>
      <w:pPr>
        <w:pStyle w:val="ListNumber"/>
        <w:spacing w:after="40"/>
      </w:pPr>
      <w:r>
        <w:rPr>
          <w:rFonts w:ascii="Aptos" w:hAnsi="Aptos"/>
          <w:sz w:val="18"/>
        </w:rPr>
        <w:t>Trust: Protect the start and turn one filled role into partnership.</w:t>
      </w:r>
    </w:p>
    <w:p>
      <w:pPr>
        <w:pStyle w:val="Heading1"/>
        <w:spacing w:before="200" w:after="80"/>
      </w:pPr>
      <w:r>
        <w:t>How MMI achieves sales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Events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Warm calls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References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Virtual meetings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Cold calls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Hot calls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In-person meetings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7233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