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 Perception Indices (SPI): Developing context-dependent single value scores of multidimensional soundscape perceptual quality</w:t>
      </w:r>
    </w:p>
    <w:p>
      <w:pPr>
        <w:pStyle w:val="Author"/>
      </w:pPr>
      <w:r>
        <w:t xml:space="preserve">Andrew Mitchell</w:t>
      </w:r>
    </w:p>
    <w:p>
      <w:pPr>
        <w:pStyle w:val="Author"/>
      </w:pPr>
      <w:r>
        <w:t xml:space="preserve">Francesco Aletta</w:t>
      </w:r>
    </w:p>
    <w:p>
      <w:pPr>
        <w:pStyle w:val="Author"/>
      </w:pPr>
      <w:r>
        <w:t xml:space="preserve">Tin Oberman</w:t>
      </w:r>
    </w:p>
    <w:p>
      <w:pPr>
        <w:pStyle w:val="Author"/>
      </w:pPr>
      <w:r>
        <w:t xml:space="preserve">Jian Kang</w:t>
      </w:r>
    </w:p>
    <w:p>
      <w:pPr>
        <w:pStyle w:val="Date"/>
      </w:pPr>
      <w:r>
        <w:t xml:space="preserve">2024-10-28</w:t>
      </w:r>
    </w:p>
    <w:p>
      <w:pPr>
        <w:pStyle w:val="AbstractTitle"/>
      </w:pPr>
      <w:r>
        <w:t xml:space="preserve">Abstract</w:t>
      </w:r>
    </w:p>
    <w:p>
      <w:pPr>
        <w:pStyle w:val="Abstract"/>
      </w:pPr>
      <w:r>
        <w:t xml:space="preserve">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‘resource’</w:t>
      </w:r>
      <w:r>
        <w:t xml:space="preserve"> </w:t>
      </w:r>
      <w:r>
        <w:t xml:space="preserve">rather than</w:t>
      </w:r>
      <w:r>
        <w:t xml:space="preserve"> </w:t>
      </w:r>
      <w:r>
        <w:t xml:space="preserve">‘waste’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‘good’</w:t>
      </w:r>
      <w:r>
        <w:t xml:space="preserve"> </w:t>
      </w:r>
      <w:r>
        <w:t xml:space="preserve">soundscape compared to a</w:t>
      </w:r>
      <w:r>
        <w:t xml:space="preserve"> </w:t>
      </w:r>
      <w:r>
        <w:t xml:space="preserve">‘bad’</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“soundscape quality”</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‘measures of how people perceive the acoustic environment’</w:t>
      </w:r>
      <w:r>
        <w:t xml:space="preserve"> </w:t>
      </w:r>
      <w:r>
        <w:t xml:space="preserve">and soundscape indicators as</w:t>
      </w:r>
      <w:r>
        <w:t xml:space="preserve"> </w:t>
      </w:r>
      <w:r>
        <w:t xml:space="preserve">‘measures used to predict the value of a soundscape descriptor’</w:t>
      </w:r>
      <w:r>
        <w:t xml:space="preserve">. The relationship between soundscape indicator(s) and a soundscape descriptor effectively defines what has been previously referred to as a</w:t>
      </w:r>
      <w:r>
        <w:t xml:space="preserve"> </w:t>
      </w:r>
      <w:r>
        <w:t xml:space="preserve">“predictive soundscape model”</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“preserve environmental noise quality where it is good”</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‘Soundscape Indices’</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‘Soundscape Perception Indices (SPI)’</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‘ideal’</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‘good’</w:t>
      </w:r>
      <w:r>
        <w:t xml:space="preserve"> </w:t>
      </w:r>
      <w:r>
        <w:t xml:space="preserve">or</w:t>
      </w:r>
      <w:r>
        <w:t xml:space="preserve"> </w:t>
      </w:r>
      <w:r>
        <w:t xml:space="preserve">‘bad’</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“Russell’s model identifies two dimensions related to the perceived pleasantness of environments and how activating or arousing the environment is.”</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center"/>
                  </w:pPr>
                  <w:r>
                    <w:t xml:space="preserve">Target</w:t>
                  </w:r>
                </w:p>
              </w:tc>
              <w:tc>
                <w:tcPr/>
                <w:p>
                  <w:pPr>
                    <w:pStyle w:val="Compact"/>
                    <w:jc w:val="center"/>
                  </w:pPr>
                  <w:r>
                    <w:t xml:space="preserve">D</w:t>
                  </w:r>
                </w:p>
              </w:tc>
              <w:tc>
                <w:tcPr/>
                <w:p>
                  <w:pPr>
                    <w:pStyle w:val="SourceCode"/>
                    <w:jc w:val="center"/>
                  </w:pPr>
                  <w:r>
                    <w:rPr>
                      <w:rStyle w:val="VerbatimChar"/>
                    </w:rPr>
                    <w:t xml:space="preserve">      p</w:t>
                  </w:r>
                </w:p>
              </w:tc>
            </w:tr>
            <w:tr>
              <w:tc>
                <w:tcPr/>
                <w:p>
                  <w:pPr>
                    <w:pStyle w:val="Compact"/>
                    <w:jc w:val="center"/>
                  </w:pPr>
                  <w:r>
                    <w:t xml:space="preserve">tgt_1</w:t>
                  </w:r>
                </w:p>
              </w:tc>
              <w:tc>
                <w:tcPr/>
                <w:p>
                  <w:pPr>
                    <w:pStyle w:val="Compact"/>
                    <w:jc w:val="center"/>
                  </w:pPr>
                  <w:r>
                    <w:t xml:space="preserve">0.66</w:t>
                  </w:r>
                </w:p>
              </w:tc>
              <w:tc>
                <w:tcPr/>
                <w:p>
                  <w:pPr>
                    <w:pStyle w:val="Compact"/>
                    <w:jc w:val="center"/>
                  </w:pPr>
                  <w:r>
                    <w:t xml:space="preserve">6.94745e-25</w:t>
                  </w:r>
                </w:p>
              </w:tc>
            </w:tr>
            <w:tr>
              <w:tc>
                <w:tcPr/>
                <w:p>
                  <w:pPr>
                    <w:pStyle w:val="Compact"/>
                    <w:jc w:val="center"/>
                  </w:pPr>
                  <w:r>
                    <w:t xml:space="preserve">tgt_2</w:t>
                  </w:r>
                </w:p>
              </w:tc>
              <w:tc>
                <w:tcPr/>
                <w:p>
                  <w:pPr>
                    <w:pStyle w:val="Compact"/>
                    <w:jc w:val="center"/>
                  </w:pPr>
                  <w:r>
                    <w:t xml:space="preserve">0.83</w:t>
                  </w:r>
                </w:p>
              </w:tc>
              <w:tc>
                <w:tcPr/>
                <w:p>
                  <w:pPr>
                    <w:pStyle w:val="Compact"/>
                    <w:jc w:val="center"/>
                  </w:pPr>
                  <w:r>
                    <w:t xml:space="preserve">8.96388e-39</w:t>
                  </w:r>
                </w:p>
              </w:tc>
            </w:tr>
            <w:tr>
              <w:tc>
                <w:tcPr/>
                <w:p>
                  <w:pPr>
                    <w:pStyle w:val="Compact"/>
                    <w:jc w:val="center"/>
                  </w:pPr>
                  <w:r>
                    <w:t xml:space="preserve">tgt_3</w:t>
                  </w:r>
                </w:p>
              </w:tc>
              <w:tc>
                <w:tcPr/>
                <w:p>
                  <w:pPr>
                    <w:pStyle w:val="Compact"/>
                    <w:jc w:val="center"/>
                  </w:pPr>
                  <w:r>
                    <w:t xml:space="preserve">0.28</w:t>
                  </w:r>
                </w:p>
              </w:tc>
              <w:tc>
                <w:tcPr/>
                <w:p>
                  <w:pPr>
                    <w:pStyle w:val="Compac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“absolute”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“ideal”</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“urban typology”</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“use case”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‘traffic noise’</w:t>
      </w:r>
      <w:r>
        <w:t xml:space="preserve">,</w:t>
      </w:r>
      <w:r>
        <w:t xml:space="preserve"> </w:t>
      </w:r>
      <w:r>
        <w:t xml:space="preserve">‘balanced’</w:t>
      </w:r>
      <w:r>
        <w:t xml:space="preserve">, and</w:t>
      </w:r>
      <w:r>
        <w:t xml:space="preserve"> </w:t>
      </w:r>
      <w:r>
        <w:t xml:space="preserve">‘natural’</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“Soundscape Perception Index”</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‘a soundscape’</w:t>
      </w:r>
      <w:r>
        <w:t xml:space="preserve">, or indeed of</w:t>
      </w:r>
      <w:r>
        <w:t xml:space="preserve"> </w:t>
      </w:r>
      <w:r>
        <w:t xml:space="preserve">‘a place’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“the”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“overcome”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‘direct parameters’</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“while any choice of the DP components is admissible, the same is not true for CP”</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“an</w:t>
      </w:r>
      <w:r>
        <w:t xml:space="preserve"> </w:t>
      </w:r>
      <w:r>
        <w:t xml:space="preserve">‘environmental unit’</w:t>
      </w:r>
      <w:r>
        <w:t xml:space="preserve"> </w:t>
      </w:r>
      <w:r>
        <w:t xml:space="preserve">wherein the environmental factors are consistent and is typically perceived to constitute a single distinct area”</w:t>
      </w:r>
      <w:r>
        <w:t xml:space="preserve">, noting that</w:t>
      </w:r>
      <w:r>
        <w:t xml:space="preserve"> </w:t>
      </w:r>
      <w:r>
        <w:t xml:space="preserve">“the exact dimensions and delineation of the environmental unit will vary depending on the characteristics of the space”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2024-11-08T22:17:10Z</dcterms:created>
  <dcterms:modified xsi:type="dcterms:W3CDTF">2024-11-08T22:17:10Z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