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3.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w:t>
      </w:r>
      <w:r>
        <w:t xml:space="preserve"> </w:t>
      </w:r>
      <w:r>
        <w:t xml:space="preserve">Perception</w:t>
      </w:r>
      <w:r>
        <w:t xml:space="preserve"> </w:t>
      </w:r>
      <w:r>
        <w:t xml:space="preserve">Indices</w:t>
      </w:r>
      <w:r>
        <w:t xml:space="preserve"> </w:t>
      </w:r>
      <w:r>
        <w:t xml:space="preserve">(SPI):</w:t>
      </w:r>
      <w:r>
        <w:t xml:space="preserve"> </w:t>
      </w:r>
      <w:r>
        <w:t xml:space="preserve">Developing</w:t>
      </w:r>
      <w:r>
        <w:t xml:space="preserve"> </w:t>
      </w:r>
      <w:r>
        <w:t xml:space="preserve">context-dependent</w:t>
      </w:r>
      <w:r>
        <w:t xml:space="preserve"> </w:t>
      </w:r>
      <w:r>
        <w:t xml:space="preserve">single</w:t>
      </w:r>
      <w:r>
        <w:t xml:space="preserve"> </w:t>
      </w:r>
      <w:r>
        <w:t xml:space="preserve">value</w:t>
      </w:r>
      <w:r>
        <w:t xml:space="preserve"> </w:t>
      </w:r>
      <w:r>
        <w:t xml:space="preserve">scores</w:t>
      </w:r>
      <w:r>
        <w:t xml:space="preserve"> </w:t>
      </w:r>
      <w:r>
        <w:t xml:space="preserve">of</w:t>
      </w:r>
      <w:r>
        <w:t xml:space="preserve"> </w:t>
      </w:r>
      <w:r>
        <w:t xml:space="preserve">multidimensional</w:t>
      </w:r>
      <w:r>
        <w:t xml:space="preserve"> </w:t>
      </w:r>
      <w:r>
        <w:t xml:space="preserve">soundscape</w:t>
      </w:r>
      <w:r>
        <w:t xml:space="preserve"> </w:t>
      </w:r>
      <w:r>
        <w:t xml:space="preserve">perceptual</w:t>
      </w:r>
      <w:r>
        <w:t xml:space="preserve"> </w:t>
      </w:r>
      <w:r>
        <w:t xml:space="preserve">quality</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2024-06-25</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r>
          <m:t>L</m:t>
        </m:r>
        <m:r>
          <m:t>d</m:t>
        </m:r>
        <m:r>
          <m:t>e</m:t>
        </m:r>
        <m:r>
          <m:t>n</m:t>
        </m:r>
      </m:oMath>
      <w:r>
        <w:t xml:space="preserve">,</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but</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bespoke</w:t>
      </w:r>
      <w:r>
        <w:t xml:space="preserve"> </w:t>
      </w:r>
      <w:r>
        <w:t xml:space="preserve">and</w:t>
      </w:r>
      <w:r>
        <w:t xml:space="preserve"> </w:t>
      </w:r>
      <w:r>
        <w:t xml:space="preserve">reference</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This</w:t>
      </w:r>
      <w:r>
        <w:t xml:space="preserve"> </w:t>
      </w:r>
      <w:r>
        <w:t xml:space="preserve">framework</w:t>
      </w:r>
      <w:r>
        <w:t xml:space="preserve"> </w:t>
      </w:r>
      <w:r>
        <w:t xml:space="preserve">is</w:t>
      </w:r>
      <w:r>
        <w:t xml:space="preserve"> </w:t>
      </w:r>
      <w:r>
        <w:t xml:space="preserve">based</w:t>
      </w:r>
      <w:r>
        <w:t xml:space="preserve"> </w:t>
      </w:r>
      <w:r>
        <w:t xml:space="preserve">on</w:t>
      </w:r>
      <w:r>
        <w:t xml:space="preserve"> </w:t>
      </w:r>
      <w:r>
        <w:t xml:space="preserve">a</w:t>
      </w:r>
      <w:r>
        <w:t xml:space="preserve"> </w:t>
      </w:r>
      <w:r>
        <w:t xml:space="preserve">four-step</w:t>
      </w:r>
      <w:r>
        <w:t xml:space="preserve"> </w:t>
      </w:r>
      <w:r>
        <w:t xml:space="preserve">test-target</w:t>
      </w:r>
      <w:r>
        <w:t xml:space="preserve"> </w:t>
      </w:r>
      <w:r>
        <w:t xml:space="preserve">paradigm</w:t>
      </w:r>
      <w:r>
        <w:t xml:space="preserve"> </w:t>
      </w:r>
      <w:r>
        <w:t xml:space="preserve">wherein</w:t>
      </w:r>
      <w:r>
        <w:t xml:space="preserve"> </w:t>
      </w:r>
      <w:r>
        <w:t xml:space="preserve">a</w:t>
      </w:r>
      <w:r>
        <w:t xml:space="preserve"> </w:t>
      </w:r>
      <w:r>
        <w:t xml:space="preserve">desired</w:t>
      </w:r>
      <w:r>
        <w:t xml:space="preserve"> </w:t>
      </w:r>
      <w:r>
        <w:t xml:space="preserve">soundscape</w:t>
      </w:r>
      <w:r>
        <w:t xml:space="preserve"> </w:t>
      </w:r>
      <w:r>
        <w:t xml:space="preserve">perception</w:t>
      </w:r>
      <w:r>
        <w:t xml:space="preserve"> </w:t>
      </w:r>
      <w:r>
        <w:t xml:space="preserve">is</w:t>
      </w:r>
      <w:r>
        <w:t xml:space="preserve"> </w:t>
      </w:r>
      <w:r>
        <w:t xml:space="preserve">defined</w:t>
      </w:r>
      <w:r>
        <w:t xml:space="preserve"> </w:t>
      </w:r>
      <w:r>
        <w:t xml:space="preserve">as</w:t>
      </w:r>
      <w:r>
        <w:t xml:space="preserve"> </w:t>
      </w:r>
      <w:r>
        <w:t xml:space="preserve">a</w:t>
      </w:r>
      <w:r>
        <w:t xml:space="preserve"> </w:t>
      </w:r>
      <w:r>
        <w:t xml:space="preserve">target</w:t>
      </w:r>
      <w:r>
        <w:t xml:space="preserve"> </w:t>
      </w:r>
      <w:r>
        <w:t xml:space="preserve">distribution</w:t>
      </w:r>
      <w:r>
        <w:t xml:space="preserve"> </w:t>
      </w:r>
      <w:r>
        <w:t xml:space="preserve">within</w:t>
      </w:r>
      <w:r>
        <w:t xml:space="preserve"> </w:t>
      </w:r>
      <w:r>
        <w:t xml:space="preserve">the</w:t>
      </w:r>
      <w:r>
        <w:t xml:space="preserve"> </w:t>
      </w:r>
      <w:r>
        <w:t xml:space="preserve">soundscape</w:t>
      </w:r>
      <w:r>
        <w:t xml:space="preserve"> </w:t>
      </w:r>
      <w:r>
        <w:t xml:space="preserve">circumplex</w:t>
      </w:r>
      <w:r>
        <w:t xml:space="preserve"> </w:t>
      </w:r>
      <w:r>
        <w:t xml:space="preserve">model</w:t>
      </w:r>
      <w:r>
        <w:t xml:space="preserve"> </w:t>
      </w:r>
      <w:r>
        <w:t xml:space="preserve">and</w:t>
      </w:r>
      <w:r>
        <w:t xml:space="preserve"> </w:t>
      </w:r>
      <w:r>
        <w:t xml:space="preserve">a</w:t>
      </w:r>
      <w:r>
        <w:t xml:space="preserve"> </w:t>
      </w:r>
      <w:r>
        <w:t xml:space="preserve">distance</w:t>
      </w:r>
      <w:r>
        <w:t xml:space="preserve"> </w:t>
      </w:r>
      <w:r>
        <w:t xml:space="preserve">metric</w:t>
      </w:r>
      <w:r>
        <w:t xml:space="preserve"> </w:t>
      </w:r>
      <w:r>
        <w:t xml:space="preserve">is</w:t>
      </w:r>
      <w:r>
        <w:t xml:space="preserve"> </w:t>
      </w:r>
      <w:r>
        <w:t xml:space="preserve">used</w:t>
      </w:r>
      <w:r>
        <w:t xml:space="preserve"> </w:t>
      </w:r>
      <w:r>
        <w:t xml:space="preserve">to</w:t>
      </w:r>
      <w:r>
        <w:t xml:space="preserve"> </w:t>
      </w:r>
      <w:r>
        <w:t xml:space="preserve">test</w:t>
      </w:r>
      <w:r>
        <w:t xml:space="preserve"> </w:t>
      </w:r>
      <w:r>
        <w:t xml:space="preserve">an</w:t>
      </w:r>
      <w:r>
        <w:t xml:space="preserve"> </w:t>
      </w:r>
      <w:r>
        <w:t xml:space="preserve">assessed</w:t>
      </w:r>
      <w:r>
        <w:t xml:space="preserve"> </w:t>
      </w:r>
      <w:r>
        <w:t xml:space="preserve">soundscape</w:t>
      </w:r>
      <w:r>
        <w:t xml:space="preserve"> </w:t>
      </w:r>
      <w:r>
        <w:t xml:space="preserve">against</w:t>
      </w:r>
      <w:r>
        <w:t xml:space="preserve"> </w:t>
      </w:r>
      <w:r>
        <w:t xml:space="preserve">this</w:t>
      </w:r>
      <w:r>
        <w:t xml:space="preserve"> </w:t>
      </w:r>
      <w:r>
        <w:t xml:space="preserve">target.</w:t>
      </w:r>
      <w:r>
        <w:t xml:space="preserve"> </w:t>
      </w:r>
      <w:r>
        <w:t xml:space="preserve">Applications</w:t>
      </w:r>
      <w:r>
        <w:t xml:space="preserve"> </w:t>
      </w:r>
      <w:r>
        <w:t xml:space="preserve">and</w:t>
      </w:r>
      <w:r>
        <w:t xml:space="preserve"> </w:t>
      </w:r>
      <w:r>
        <w:t xml:space="preserve">implications</w:t>
      </w:r>
      <w:r>
        <w:t xml:space="preserve"> </w:t>
      </w:r>
      <w:r>
        <w:t xml:space="preserve">of</w:t>
      </w:r>
      <w:r>
        <w:t xml:space="preserve"> </w:t>
      </w:r>
      <w:r>
        <w:t xml:space="preserve">this</w:t>
      </w:r>
      <w:r>
        <w:t xml:space="preserve"> </w:t>
      </w:r>
      <w:r>
        <w:t xml:space="preserve">framework</w:t>
      </w:r>
      <w:r>
        <w:t xml:space="preserve"> </w:t>
      </w:r>
      <w:r>
        <w:t xml:space="preserve">are</w:t>
      </w:r>
      <w:r>
        <w:t xml:space="preserve"> </w:t>
      </w:r>
      <w:r>
        <w:t xml:space="preserve">discussed</w:t>
      </w:r>
      <w:r>
        <w:t xml:space="preserve"> </w:t>
      </w:r>
      <w:r>
        <w:t xml:space="preserve">and</w:t>
      </w:r>
      <w:r>
        <w:t xml:space="preserve"> </w:t>
      </w:r>
      <w:r>
        <w:t xml:space="preserve">a</w:t>
      </w:r>
      <w:r>
        <w:t xml:space="preserve"> </w:t>
      </w:r>
      <w:r>
        <w:t xml:space="preserve">method</w:t>
      </w:r>
      <w:r>
        <w:t xml:space="preserve"> </w:t>
      </w:r>
      <w:r>
        <w:t xml:space="preserve">for</w:t>
      </w:r>
      <w:r>
        <w:t xml:space="preserve"> </w:t>
      </w:r>
      <w:r>
        <w:t xml:space="preserve">empirically</w:t>
      </w:r>
      <w:r>
        <w:t xml:space="preserve"> </w:t>
      </w:r>
      <w:r>
        <w:t xml:space="preserve">defining</w:t>
      </w:r>
      <w:r>
        <w:t xml:space="preserve"> </w:t>
      </w:r>
      <w:r>
        <w:t xml:space="preserve">perception</w:t>
      </w:r>
      <w:r>
        <w:t xml:space="preserve"> </w:t>
      </w:r>
      <w:r>
        <w:t xml:space="preserve">indices</w:t>
      </w:r>
      <w:r>
        <w:t xml:space="preserve"> </w:t>
      </w:r>
      <w:r>
        <w:t xml:space="preserve">is</w:t>
      </w:r>
      <w:r>
        <w:t xml:space="preserve"> </w:t>
      </w:r>
      <w:r>
        <w:t xml:space="preserve">proposed.</w:t>
      </w:r>
    </w:p>
    <w:bookmarkStart w:id="20" w:name="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 ~30%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w:t>
      </w:r>
      <w:r>
        <w:t xml:space="preserve"> </w:t>
      </w:r>
      <w:r>
        <w:t xml:space="preserve">(Schulte-Fortkamp and Kang 2013; Chen and Kang 2023)</w:t>
      </w:r>
      <w:r>
        <w:t xml:space="preserve"> </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w:t>
      </w:r>
      <w:r>
        <w:t xml:space="preserve">good</w:t>
      </w:r>
      <w:r>
        <w:t xml:space="preserve">’</w:t>
      </w:r>
      <w:r>
        <w:t xml:space="preserve"> </w:t>
      </w:r>
      <w:r>
        <w:t xml:space="preserve">soundscape compared to a</w:t>
      </w:r>
      <w:r>
        <w:t xml:space="preserve"> </w:t>
      </w:r>
      <w:r>
        <w:t xml:space="preserve">‘</w:t>
      </w:r>
      <w:r>
        <w:t xml:space="preserve">bad</w:t>
      </w:r>
      <w:r>
        <w:t xml:space="preserve">’</w:t>
      </w:r>
      <w:r>
        <w:t xml:space="preserve"> </w:t>
      </w:r>
      <w:r>
        <w:t xml:space="preserve">soundscape. However, this presents several challenges:</w:t>
      </w:r>
    </w:p>
    <w:p>
      <w:pPr>
        <w:numPr>
          <w:ilvl w:val="0"/>
          <w:numId w:val="1001"/>
        </w:numPr>
        <w:pStyle w:val="Compact"/>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numPr>
          <w:ilvl w:val="0"/>
          <w:numId w:val="1001"/>
        </w:numPr>
        <w:pStyle w:val="Compact"/>
      </w:pPr>
      <w:r>
        <w:t xml:space="preserve">On what metric should the quality rating be based? Previous attempts at defining objective metrics of</w:t>
      </w:r>
      <w:r>
        <w:t xml:space="preserve"> </w:t>
      </w:r>
      <w:r>
        <w:t xml:space="preserve">“</w:t>
      </w:r>
      <w:r>
        <w:t xml:space="preserve">soundscape quality</w:t>
      </w:r>
      <w:r>
        <w:t xml:space="preserve">”</w:t>
      </w:r>
      <w:r>
        <w:t xml:space="preserve"> </w:t>
      </w:r>
      <w:r>
        <w:t xml:space="preserve">assessment have fallen short of capturing the multidimensionality of people’s perception of surrounding acoustic environments.</w:t>
      </w:r>
    </w:p>
    <w:p>
      <w:pPr>
        <w:numPr>
          <w:ilvl w:val="0"/>
          <w:numId w:val="1001"/>
        </w:numPr>
        <w:pStyle w:val="Compact"/>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w:t>
      </w:r>
      <w:r>
        <w:t xml:space="preserve"> </w:t>
      </w:r>
      <w:r>
        <w:t xml:space="preserve">‘</w:t>
      </w:r>
      <w:r>
        <w:t xml:space="preserve">good</w:t>
      </w:r>
      <w:r>
        <w:t xml:space="preserve">’</w:t>
      </w:r>
      <w:r>
        <w:t xml:space="preserve"> </w:t>
      </w:r>
      <w:r>
        <w:t xml:space="preserve">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Mitchell, Aletta, and Kang (2022)</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 The relationship between soundscape indicator(s) and a soundscape descriptor effectively defines what has been previously referred to as a</w:t>
      </w:r>
      <w:r>
        <w:t xml:space="preserve"> </w:t>
      </w:r>
      <w:r>
        <w:t xml:space="preserve">“</w:t>
      </w:r>
      <w:r>
        <w:t xml:space="preserve">predictive soundscape model</w:t>
      </w:r>
      <w:r>
        <w:t xml:space="preserve">”</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 Lionello and colleagues</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1970)</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 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numPr>
          <w:ilvl w:val="0"/>
          <w:numId w:val="1002"/>
        </w:numPr>
        <w:pStyle w:val="Compact"/>
      </w:pPr>
      <w:r>
        <w:t xml:space="preserve">considering all aspects of the environment which may influence perception, not just the sound level and spectral content (e.g., visual setting, odour environment, spatial layout, etc.);</w:t>
      </w:r>
    </w:p>
    <w:p>
      <w:pPr>
        <w:numPr>
          <w:ilvl w:val="0"/>
          <w:numId w:val="1002"/>
        </w:numPr>
        <w:pStyle w:val="Compact"/>
      </w:pPr>
      <w:r>
        <w:t xml:space="preserve">an increased and integrated consideration of the varying impacts which different sound sources and sonic characteristics have on perception; and</w:t>
      </w:r>
    </w:p>
    <w:p>
      <w:pPr>
        <w:numPr>
          <w:ilvl w:val="0"/>
          <w:numId w:val="1002"/>
        </w:numPr>
        <w:pStyle w:val="Compact"/>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w:t>
      </w:r>
      <w:r>
        <w:t xml:space="preserve">preserve environmental noise quality where it is good</w:t>
      </w:r>
      <w:r>
        <w:t xml:space="preserve">”</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existing-soundscape-indices"/>
    <w:p>
      <w:pPr>
        <w:pStyle w:val="Heading2"/>
      </w:pPr>
      <w:r>
        <w:t xml:space="preserve">2.1 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Frequency-dependenty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oundscape-perception"/>
    <w:p>
      <w:pPr>
        <w:pStyle w:val="Heading3"/>
      </w:pPr>
      <w:r>
        <w:t xml:space="preserve">2.1.2 Soundscape Perception</w:t>
      </w:r>
    </w:p>
    <w:p>
      <w:pPr>
        <w:pStyle w:val="FirstParagraph"/>
      </w:pPr>
      <w:r>
        <w:t xml:space="preserve">In the domain of soundscape perception, the Green Soundscape Index (GSI)</w:t>
      </w:r>
      <w:r>
        <w:t xml:space="preserve"> </w:t>
      </w:r>
      <w:r>
        <w:t xml:space="preserve">(Kogan et al. 2018)</w:t>
      </w:r>
      <w:r>
        <w:t xml:space="preserve"> </w:t>
      </w:r>
      <w:r>
        <w:t xml:space="preserve">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pPr>
        <w:pStyle w:val="BodyText"/>
      </w:pPr>
      <w:r>
        <w:t xml:space="preserve">The GSI is the ratio of the perceived extent of natural sounds (PNS) to the perceived extent of traffic noise (PTN). The GSI is noted to range between 1/5 and 5, with several ranges of values given which correspond to general categories of the perceived dominance of traffic noise. Subsequently, Cao and colleagues</w:t>
      </w:r>
      <w:r>
        <w:t xml:space="preserve"> </w:t>
      </w:r>
      <w:r>
        <w:t xml:space="preserve">(Cao, Meng, and Kang 2020; Yang, Cao, and Meng 2022)</w:t>
      </w:r>
      <w:r>
        <w:t xml:space="preserve"> </w:t>
      </w:r>
      <w:r>
        <w:t xml:space="preserve">argued that for urban soundscape design the GSI would not be suitable for all applications and should be complemented by a Red Soundscape Index (RSI), defined as the ratio of natural sounds (PNS) to human sounds (PHS).</w:t>
      </w:r>
      <w:r>
        <w:t xml:space="preserve"> </w:t>
      </w:r>
      <w:r>
        <w:t xml:space="preserve">Xiang et al. (2023)</w:t>
      </w:r>
      <w:r>
        <w:t xml:space="preserve"> </w:t>
      </w:r>
      <w:r>
        <w:t xml:space="preserve">defined a pool of soundscape indices; namely: the soundscape diversity index (SDI), the soundscape richness index (SRI), the soundscape dominance index (SDO), and soundscape evenness index (SEI), and showed that some of them could be explained by existing acoustic indicators. 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r>
          <m:rPr>
            <m:sty m:val="p"/>
          </m:rPr>
          <m:t>)</m:t>
        </m:r>
      </m:oMath>
      <w:r>
        <w:t xml:space="preserve"> </w:t>
      </w:r>
      <w:r>
        <w:t xml:space="preserve">where the functions and weights of each aspect which influences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all these indices represent a commendable effort to bridge the gap between objective measurements and subjective perceptions, they remain limited in their ability to capture the full complexity of soundscape perception across diverse contexts. 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providing a case study of defining an appropriate target.</w:t>
      </w:r>
    </w:p>
    <w:bookmarkEnd w:id="22"/>
    <w:bookmarkEnd w:id="23"/>
    <w:bookmarkEnd w:id="24"/>
    <w:bookmarkStart w:id="42" w:name="sec-method"/>
    <w:p>
      <w:pPr>
        <w:pStyle w:val="Heading1"/>
      </w:pPr>
      <w:r>
        <w:t xml:space="preserve">3. Establishing the SPI Framework</w:t>
      </w:r>
    </w:p>
    <w:p>
      <w:pPr>
        <w:pStyle w:val="FirstParagraph"/>
      </w:pPr>
      <w:r>
        <w:t xml:space="preserve">The index framework,</w:t>
      </w:r>
      <w:r>
        <w:t xml:space="preserve"> </w:t>
      </w:r>
      <w:r>
        <w:t xml:space="preserve">‘</w:t>
      </w:r>
      <w:r>
        <w:t xml:space="preserve">Soundscape Perception Indices (SPI)</w:t>
      </w:r>
      <w:r>
        <w:t xml:space="preserve">’</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w:t>
      </w:r>
      <w:r>
        <w:t xml:space="preserve">ideal</w:t>
      </w:r>
      <w:r>
        <w:t xml:space="preserve">’</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soundscapes.</w:t>
      </w:r>
    </w:p>
    <w:bookmarkStart w:id="29" w:name="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One benefit of the circumplex model is that, as a whole, it encapsulates several of the other proposed soundscape descriptors - in particular, annoyance, pleasantness, tranquility,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numPr>
          <w:ilvl w:val="0"/>
          <w:numId w:val="1003"/>
        </w:numPr>
        <w:pStyle w:val="Compact"/>
      </w:pPr>
      <w:r>
        <w:t xml:space="preserve">Define and parameterise the target circumplex distribution;</w:t>
      </w:r>
    </w:p>
    <w:p>
      <w:pPr>
        <w:numPr>
          <w:ilvl w:val="0"/>
          <w:numId w:val="1003"/>
        </w:numPr>
        <w:pStyle w:val="Compact"/>
      </w:pPr>
      <w:r>
        <w:t xml:space="preserve">Sample the target distribution and prepare the test distribution;</w:t>
      </w:r>
    </w:p>
    <w:p>
      <w:pPr>
        <w:numPr>
          <w:ilvl w:val="0"/>
          <w:numId w:val="1003"/>
        </w:numPr>
        <w:pStyle w:val="Compact"/>
      </w:pPr>
      <w:r>
        <w:t xml:space="preserve">Compare test and target distributions using the distance metric (two-dimensional Kolmogorov-Smirnov distance);</w:t>
      </w:r>
    </w:p>
    <w:p>
      <w:pPr>
        <w:numPr>
          <w:ilvl w:val="0"/>
          <w:numId w:val="1003"/>
        </w:numPr>
        <w:pStyle w:val="Compact"/>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r>
              <m:t>K</m:t>
            </m:r>
            <m:r>
              <m:t>S</m:t>
            </m:r>
          </m:e>
        </m:d>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bespoke-spi"/>
          <w:p>
            <w:pPr>
              <w:pStyle w:val="Compact"/>
              <w:jc w:val="center"/>
            </w:pPr>
            <w:r>
              <w:drawing>
                <wp:inline>
                  <wp:extent cx="5943600" cy="1837453"/>
                  <wp:effectExtent b="0" l="0" r="0" t="0"/>
                  <wp:docPr descr="" title="" id="26" name="Picture"/>
                  <a:graphic>
                    <a:graphicData uri="http://schemas.openxmlformats.org/drawingml/2006/picture">
                      <pic:pic>
                        <pic:nvPicPr>
                          <pic:cNvPr descr="SPI-framework.drawio.png" id="27" name="Picture"/>
                          <pic:cNvPicPr>
                            <a:picLocks noChangeArrowheads="1" noChangeAspect="1"/>
                          </pic:cNvPicPr>
                        </pic:nvPicPr>
                        <pic:blipFill>
                          <a:blip r:embed="rId25"/>
                          <a:stretch>
                            <a:fillRect/>
                          </a:stretch>
                        </pic:blipFill>
                        <pic:spPr bwMode="auto">
                          <a:xfrm>
                            <a:off x="0" y="0"/>
                            <a:ext cx="5943600" cy="18374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4.3</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Mitchell and Aletta (2023)</w:t>
      </w:r>
      <w:r>
        <w:t xml:space="preserve"> </w:t>
      </w:r>
      <w:r>
        <w:t xml:space="preserve">to include a correction for the language in which the survey was conducted.</w:t>
      </w:r>
      <w:r>
        <w:t xml:space="preserve"> </w:t>
      </w:r>
      <w:r>
        <w:t xml:space="preserve">Mitchell and Aletta (2023)</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numPr>
          <w:ilvl w:val="0"/>
          <w:numId w:val="1004"/>
        </w:numPr>
        <w:pStyle w:val="Compact"/>
      </w:pPr>
      <w:r>
        <w:t xml:space="preserve">The two axes are normally distributed.</w:t>
      </w:r>
    </w:p>
    <w:p>
      <w:pPr>
        <w:numPr>
          <w:ilvl w:val="0"/>
          <w:numId w:val="1004"/>
        </w:numPr>
        <w:pStyle w:val="Compact"/>
      </w:pPr>
      <w:r>
        <w:t xml:space="preserve">The two axes are independent of each other.</w:t>
      </w:r>
    </w:p>
    <w:p>
      <w:pPr>
        <w:numPr>
          <w:ilvl w:val="0"/>
          <w:numId w:val="1004"/>
        </w:numPr>
        <w:pStyle w:val="Compact"/>
      </w:pPr>
      <w:r>
        <w:t xml:space="preserve">The two axes are symmetrically distributed.</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Cs/>
          <w:i/>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Cs/>
          <w:i/>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p>
          <w:tbl>
            <w:tblPr>
              <w:tblStyle w:val="Table"/>
              <w:tblW w:type="pct" w:w="5000"/>
              <w:tblLook w:firstRow="1" w:lastRow="0" w:firstColumn="0" w:lastColumn="0" w:noHBand="0" w:noVBand="0" w:val="0020"/>
              <w:jc w:val="start"/>
              <w:tblLayout w:type="fixed"/>
            </w:tblPr>
            <w:tblGrid>
              <w:gridCol w:w="1952"/>
              <w:gridCol w:w="1952"/>
              <w:gridCol w:w="2061"/>
              <w:gridCol w:w="1952"/>
            </w:tblGrid>
            <w:tr>
              <w:trPr>
                <w:tblHeader w:val="true"/>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7" w:name="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arge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ook w:firstRow="0" w:lastRow="0" w:firstColumn="0" w:lastColumn="0" w:noHBand="0" w:noVBand="0" w:val="0000"/>
        <w:jc w:val="start"/>
        <w:tblLayout w:type="fixed"/>
      </w:tblPr>
      <w:tblGrid>
        <w:gridCol w:w="7920"/>
      </w:tblGrid>
      <w:tr>
        <w:tc>
          <w:tcPr/>
          <w:bookmarkStart w:id="36" w:name="fig-targets"/>
          <w:p>
            <w:pPr>
              <w:pStyle w:val="Compact"/>
              <w:jc w:val="center"/>
            </w:pPr>
            <w:r>
              <w:drawing>
                <wp:inline>
                  <wp:extent cx="5943600" cy="2151924"/>
                  <wp:effectExtent b="0" l="0" r="0" t="0"/>
                  <wp:docPr descr="" title="" id="34" name="Picture"/>
                  <a:graphic>
                    <a:graphicData uri="http://schemas.openxmlformats.org/drawingml/2006/picture">
                      <pic:pic>
                        <pic:nvPicPr>
                          <pic:cNvPr descr="index_files/figure-docx/notebooks-SingleIndex-Code-fig-targets-output-1.png" id="35" name="Picture"/>
                          <pic:cNvPicPr>
                            <a:picLocks noChangeArrowheads="1" noChangeAspect="1"/>
                          </pic:cNvPicPr>
                        </pic:nvPicPr>
                        <pic:blipFill>
                          <a:blip r:embed="rId33"/>
                          <a:stretch>
                            <a:fillRect/>
                          </a:stretch>
                        </pic:blipFill>
                        <pic:spPr bwMode="auto">
                          <a:xfrm>
                            <a:off x="0" y="0"/>
                            <a:ext cx="5943600" cy="21519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bookmarkEnd w:id="37"/>
    <w:bookmarkStart w:id="39"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(KS) test</w:t>
      </w:r>
      <w:r>
        <w:t xml:space="preserve"> </w:t>
      </w:r>
      <w:r>
        <w:t xml:space="preserve">(Fasano and Franceschini 1987)</w:t>
      </w:r>
      <w:r>
        <w:t xml:space="preserve">. The KS test is a non-parametric test of the equality of continuous distributions which is sensitive to both the location and shape of the distributions</w:t>
      </w:r>
      <w:r>
        <w:t xml:space="preserve"> </w:t>
      </w:r>
      <w:r>
        <w:t xml:space="preserve">(Chakravati, Laha, and Roy 1967)</w:t>
      </w:r>
    </w:p>
    <w:p>
      <w:pPr>
        <w:pStyle w:val="BodyText"/>
      </w:pPr>
      <w:r>
        <w:t xml:space="preserve">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 KS statistic and p-value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Cs/>
          <w:b/>
        </w:rPr>
        <w:t xml:space="preserve">fig?</w:t>
      </w:r>
      <w:r>
        <w:t xml:space="preserve">)</w:t>
      </w:r>
      <w:r>
        <w:t xml:space="preserve">–targets.</w:t>
      </w:r>
    </w:p>
    <w:tbl>
      <w:tblPr>
        <w:tblStyle w:val="Table"/>
        <w:tblW w:type="pct" w:w="5000"/>
        <w:tblLook w:firstRow="0" w:lastRow="0" w:firstColumn="0" w:lastColumn="0" w:noHBand="0" w:noVBand="0" w:val="0000"/>
        <w:jc w:val="start"/>
        <w:tblLayout w:type="fixed"/>
      </w:tblPr>
      <w:tblGrid>
        <w:gridCol w:w="7920"/>
      </w:tblGrid>
      <w:tr>
        <w:tc>
          <w:tcPr/>
          <w:bookmarkStart w:id="38"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ook w:firstRow="1" w:lastRow="0" w:firstColumn="0" w:lastColumn="0" w:noHBand="0" w:noVBand="0" w:val="0020"/>
              <w:jc w:val="start"/>
              <w:tblLayout w:type="fixed"/>
            </w:tblPr>
            <w:tblGrid>
              <w:gridCol w:w="1210"/>
              <w:gridCol w:w="770"/>
              <w:gridCol w:w="1540"/>
            </w:tblGrid>
            <w:tr>
              <w:trPr>
                <w:tblHeader w:val="true"/>
              </w:trPr>
              <w:tc>
                <w:tcPr/>
                <w:p>
                  <w:pPr>
                    <w:pStyle w:val="Compact"/>
                    <w:jc w:val="left"/>
                    <w:jc w:val="center"/>
                  </w:pPr>
                  <w:r>
                    <w:t xml:space="preserve">Target</w:t>
                  </w:r>
                </w:p>
              </w:tc>
              <w:tc>
                <w:tcPr/>
                <w:p>
                  <w:pPr>
                    <w:pStyle w:val="Compact"/>
                    <w:jc w:val="left"/>
                    <w:jc w:val="center"/>
                  </w:pPr>
                  <w:r>
                    <w:t xml:space="preserve">D</w:t>
                  </w:r>
                </w:p>
              </w:tc>
              <w:tc>
                <w:tcPr/>
                <w:p>
                  <w:pPr>
                    <w:pStyle w:val="SourceCode"/>
                    <w:jc w:val="left"/>
                    <w:jc w:val="center"/>
                  </w:pPr>
                  <w:r>
                    <w:rPr>
                      <w:rStyle w:val="VerbatimChar"/>
                    </w:rPr>
                    <w:t xml:space="preserve">      p</w:t>
                  </w:r>
                </w:p>
              </w:tc>
            </w:tr>
            <w:tr>
              <w:tc>
                <w:tcPr/>
                <w:p>
                  <w:pPr>
                    <w:pStyle w:val="Compact"/>
                    <w:jc w:val="left"/>
                    <w:jc w:val="center"/>
                  </w:pPr>
                  <w:r>
                    <w:t xml:space="preserve">tgt_1</w:t>
                  </w:r>
                </w:p>
              </w:tc>
              <w:tc>
                <w:tcPr/>
                <w:p>
                  <w:pPr>
                    <w:pStyle w:val="Compact"/>
                    <w:jc w:val="left"/>
                    <w:jc w:val="center"/>
                  </w:pPr>
                  <w:r>
                    <w:t xml:space="preserve">0.64</w:t>
                  </w:r>
                </w:p>
              </w:tc>
              <w:tc>
                <w:tcPr/>
                <w:p>
                  <w:pPr>
                    <w:pStyle w:val="Compact"/>
                    <w:jc w:val="left"/>
                    <w:jc w:val="center"/>
                  </w:pPr>
                  <w:r>
                    <w:t xml:space="preserve">2.48761e-23</w:t>
                  </w:r>
                </w:p>
              </w:tc>
            </w:tr>
            <w:tr>
              <w:tc>
                <w:tcPr/>
                <w:p>
                  <w:pPr>
                    <w:pStyle w:val="Compact"/>
                    <w:jc w:val="left"/>
                    <w:jc w:val="center"/>
                  </w:pPr>
                  <w:r>
                    <w:t xml:space="preserve">tgt_2</w:t>
                  </w:r>
                </w:p>
              </w:tc>
              <w:tc>
                <w:tcPr/>
                <w:p>
                  <w:pPr>
                    <w:pStyle w:val="Compact"/>
                    <w:jc w:val="left"/>
                    <w:jc w:val="center"/>
                  </w:pPr>
                  <w:r>
                    <w:t xml:space="preserve">0.82</w:t>
                  </w:r>
                </w:p>
              </w:tc>
              <w:tc>
                <w:tcPr/>
                <w:p>
                  <w:pPr>
                    <w:pStyle w:val="Compact"/>
                    <w:jc w:val="left"/>
                    <w:jc w:val="center"/>
                  </w:pPr>
                  <w:r>
                    <w:t xml:space="preserve">5.87603e-38</w:t>
                  </w:r>
                </w:p>
              </w:tc>
            </w:tr>
            <w:tr>
              <w:tc>
                <w:tcPr/>
                <w:p>
                  <w:pPr>
                    <w:pStyle w:val="Compact"/>
                    <w:jc w:val="left"/>
                    <w:jc w:val="center"/>
                  </w:pPr>
                  <w:r>
                    <w:t xml:space="preserve">tgt_3</w:t>
                  </w:r>
                </w:p>
              </w:tc>
              <w:tc>
                <w:tcPr/>
                <w:p>
                  <w:pPr>
                    <w:pStyle w:val="Compact"/>
                    <w:jc w:val="left"/>
                    <w:jc w:val="center"/>
                  </w:pPr>
                  <w:r>
                    <w:t xml:space="preserve">0.28</w:t>
                  </w:r>
                </w:p>
              </w:tc>
              <w:tc>
                <w:tcPr/>
                <w:p>
                  <w:pPr>
                    <w:pStyle w:val="Compact"/>
                    <w:jc w:val="left"/>
                    <w:jc w:val="center"/>
                  </w:pPr>
                  <w:r>
                    <w:t xml:space="preserve">5.87603e-38</w:t>
                  </w:r>
                </w:p>
              </w:tc>
            </w:tr>
          </w:tbl>
          <w:bookmarkEnd w:id="38"/>
          <w:p/>
        </w:tc>
      </w:tr>
    </w:tbl>
    <w:p>
      <w:pPr>
        <w:pStyle w:val="BodyText"/>
      </w:pPr>
      <w:r>
        <w:t xml:space="preserve">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bookmarkEnd w:id="39"/>
    <w:bookmarkStart w:id="41" w:name="calculate-the-spi-score"/>
    <w:p>
      <w:pPr>
        <w:pStyle w:val="Heading2"/>
      </w:pPr>
      <w:r>
        <w:t xml:space="preserve">3.5 Calculate the SPI score</w:t>
      </w:r>
    </w:p>
    <w:p>
      <w:pPr>
        <w:pStyle w:val="FirstParagraph"/>
      </w:pPr>
      <w:r>
        <w:t xml:space="preserve">The final step is to convert the KS test statistic into a more interpretable form to use as a comparison across soundscapes. Since the KS test statistic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r>
                <m:t>K</m:t>
              </m:r>
              <m:r>
                <m:t>S</m:t>
              </m:r>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beyond San Marco,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ook w:firstRow="0" w:lastRow="0" w:firstColumn="0" w:lastColumn="0" w:noHBand="0" w:noVBand="0" w:val="0000"/>
        <w:jc w:val="start"/>
        <w:tblLayout w:type="fixed"/>
      </w:tblPr>
      <w:tblGrid>
        <w:gridCol w:w="7920"/>
      </w:tblGrid>
      <w:tr>
        <w:tc>
          <w:tcPr/>
          <w:bookmarkStart w:id="40"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ook w:firstRow="1" w:lastRow="0" w:firstColumn="0" w:lastColumn="0" w:noHBand="0" w:noVBand="0" w:val="0020"/>
              <w:jc w:val="start"/>
              <w:tblLayout w:type="fixed"/>
            </w:tblPr>
            <w:tblGrid>
              <w:gridCol w:w="1013"/>
              <w:gridCol w:w="2302"/>
              <w:gridCol w:w="2302"/>
              <w:gridCol w:w="2302"/>
            </w:tblGrid>
            <w:tr>
              <w:trPr>
                <w:tblHeader w:val="true"/>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72 CarloV</w:t>
                  </w:r>
                </w:p>
              </w:tc>
              <w:tc>
                <w:tcPr/>
                <w:p>
                  <w:pPr>
                    <w:pStyle w:val="Compact"/>
                    <w:jc w:val="left"/>
                    <w:jc w:val="center"/>
                  </w:pPr>
                  <w:r>
                    <w:t xml:space="preserve">64 CampoPrincipe</w:t>
                  </w:r>
                </w:p>
              </w:tc>
              <w:tc>
                <w:tcPr/>
                <w:p>
                  <w:pPr>
                    <w:pStyle w:val="Compact"/>
                    <w:jc w:val="left"/>
                    <w:jc w:val="center"/>
                  </w:pPr>
                  <w:r>
                    <w:t xml:space="preserve">72 SanMarco</w:t>
                  </w:r>
                </w:p>
              </w:tc>
            </w:tr>
            <w:tr>
              <w:tc>
                <w:tcPr/>
                <w:p>
                  <w:pPr>
                    <w:pStyle w:val="Compact"/>
                    <w:jc w:val="right"/>
                    <w:jc w:val="center"/>
                  </w:pPr>
                  <w:r>
                    <w:t xml:space="preserve">2</w:t>
                  </w:r>
                </w:p>
              </w:tc>
              <w:tc>
                <w:tcPr/>
                <w:p>
                  <w:pPr>
                    <w:pStyle w:val="Compact"/>
                    <w:jc w:val="left"/>
                    <w:jc w:val="center"/>
                  </w:pPr>
                  <w:r>
                    <w:t xml:space="preserve">70 RegentsParkFields</w:t>
                  </w:r>
                </w:p>
              </w:tc>
              <w:tc>
                <w:tcPr/>
                <w:p>
                  <w:pPr>
                    <w:pStyle w:val="Compact"/>
                    <w:jc w:val="left"/>
                    <w:jc w:val="center"/>
                  </w:pPr>
                  <w:r>
                    <w:t xml:space="preserve">54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64 CampoPrincipe</w:t>
                  </w:r>
                </w:p>
              </w:tc>
              <w:tc>
                <w:tcPr/>
                <w:p>
                  <w:pPr>
                    <w:pStyle w:val="Compact"/>
                    <w:jc w:val="left"/>
                    <w:jc w:val="center"/>
                  </w:pPr>
                  <w:r>
                    <w:t xml:space="preserve">51 RegentsParkFields</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64 RegentsParkJapan</w:t>
                  </w:r>
                </w:p>
              </w:tc>
              <w:tc>
                <w:tcPr/>
                <w:p>
                  <w:pPr>
                    <w:pStyle w:val="Compact"/>
                    <w:jc w:val="left"/>
                    <w:jc w:val="center"/>
                  </w:pPr>
                  <w:r>
                    <w:t xml:space="preserve">50 PlazaBibRambla</w:t>
                  </w:r>
                </w:p>
              </w:tc>
              <w:tc>
                <w:tcPr/>
                <w:p>
                  <w:pPr>
                    <w:pStyle w:val="Compact"/>
                    <w:jc w:val="left"/>
                    <w:jc w:val="center"/>
                  </w:pPr>
                  <w:r>
                    <w:t xml:space="preserve">59 Noorderplantsoen</w:t>
                  </w:r>
                </w:p>
              </w:tc>
            </w:tr>
            <w:tr>
              <w:tc>
                <w:tcPr/>
                <w:p>
                  <w:pPr>
                    <w:pStyle w:val="Compact"/>
                    <w:jc w:val="right"/>
                    <w:jc w:val="center"/>
                  </w:pPr>
                  <w:r>
                    <w:t xml:space="preserve">5</w:t>
                  </w:r>
                </w:p>
              </w:tc>
              <w:tc>
                <w:tcPr/>
                <w:p>
                  <w:pPr>
                    <w:pStyle w:val="Compact"/>
                    <w:jc w:val="left"/>
                    <w:jc w:val="center"/>
                  </w:pPr>
                  <w:r>
                    <w:t xml:space="preserve">63 PlazaBibRambla</w:t>
                  </w:r>
                </w:p>
              </w:tc>
              <w:tc>
                <w:tcPr/>
                <w:p>
                  <w:pPr>
                    <w:pStyle w:val="Compact"/>
                    <w:jc w:val="left"/>
                    <w:jc w:val="center"/>
                  </w:pPr>
                  <w:r>
                    <w:t xml:space="preserve">46 MarchmontGarden</w:t>
                  </w:r>
                </w:p>
              </w:tc>
              <w:tc>
                <w:tcPr/>
                <w:p>
                  <w:pPr>
                    <w:pStyle w:val="Compact"/>
                    <w:jc w:val="left"/>
                    <w:jc w:val="center"/>
                  </w:pPr>
                  <w:r>
                    <w:t xml:space="preserve">54 PancrasLock</w:t>
                  </w:r>
                </w:p>
              </w:tc>
            </w:tr>
            <w:tr>
              <w:tc>
                <w:tcPr/>
                <w:p>
                  <w:pPr>
                    <w:pStyle w:val="Compact"/>
                    <w:jc w:val="right"/>
                    <w:jc w:val="center"/>
                  </w:pPr>
                  <w:r>
                    <w:t xml:space="preserve">6</w:t>
                  </w:r>
                </w:p>
              </w:tc>
              <w:tc>
                <w:tcPr/>
                <w:p>
                  <w:pPr>
                    <w:pStyle w:val="Compact"/>
                    <w:jc w:val="left"/>
                    <w:jc w:val="center"/>
                  </w:pPr>
                  <w:r>
                    <w:t xml:space="preserve">62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62 MarchmontGarden</w:t>
                  </w:r>
                </w:p>
              </w:tc>
              <w:tc>
                <w:tcPr/>
                <w:p>
                  <w:pPr>
                    <w:pStyle w:val="Compact"/>
                    <w:jc w:val="left"/>
                    <w:jc w:val="center"/>
                  </w:pPr>
                  <w:r>
                    <w:t xml:space="preserve">41 RussellSq</w:t>
                  </w:r>
                </w:p>
              </w:tc>
              <w:tc>
                <w:tcPr/>
                <w:p>
                  <w:pPr>
                    <w:pStyle w:val="Compact"/>
                    <w:jc w:val="left"/>
                    <w:jc w:val="center"/>
                  </w:pPr>
                  <w:r>
                    <w:t xml:space="preserve">47 StPaulsRow</w:t>
                  </w:r>
                </w:p>
              </w:tc>
            </w:tr>
            <w:tr>
              <w:tc>
                <w:tcPr/>
                <w:p>
                  <w:pPr>
                    <w:pStyle w:val="Compact"/>
                    <w:jc w:val="right"/>
                    <w:jc w:val="center"/>
                  </w:pPr>
                  <w:r>
                    <w:t xml:space="preserve">8</w:t>
                  </w:r>
                </w:p>
              </w:tc>
              <w:tc>
                <w:tcPr/>
                <w:p>
                  <w:pPr>
                    <w:pStyle w:val="Compact"/>
                    <w:jc w:val="left"/>
                    <w:jc w:val="center"/>
                  </w:pPr>
                  <w:r>
                    <w:t xml:space="preserve">61 PancrasLock</w:t>
                  </w:r>
                </w:p>
              </w:tc>
              <w:tc>
                <w:tcPr/>
                <w:p>
                  <w:pPr>
                    <w:pStyle w:val="Compact"/>
                    <w:jc w:val="left"/>
                    <w:jc w:val="center"/>
                  </w:pPr>
                  <w:r>
                    <w:t xml:space="preserve">40 PancrasLock</w:t>
                  </w:r>
                </w:p>
              </w:tc>
              <w:tc>
                <w:tcPr/>
                <w:p>
                  <w:pPr>
                    <w:pStyle w:val="Compact"/>
                    <w:jc w:val="left"/>
                    <w:jc w:val="center"/>
                  </w:pPr>
                  <w:r>
                    <w:t xml:space="preserve">47 RussellSq</w:t>
                  </w:r>
                </w:p>
              </w:tc>
            </w:tr>
            <w:tr>
              <w:tc>
                <w:tcPr/>
                <w:p>
                  <w:pPr>
                    <w:pStyle w:val="Compact"/>
                    <w:jc w:val="right"/>
                    <w:jc w:val="center"/>
                  </w:pPr>
                  <w:r>
                    <w:t xml:space="preserve">9</w:t>
                  </w:r>
                </w:p>
              </w:tc>
              <w:tc>
                <w:tcPr/>
                <w:p>
                  <w:pPr>
                    <w:pStyle w:val="Compact"/>
                    <w:jc w:val="left"/>
                    <w:jc w:val="center"/>
                  </w:pPr>
                  <w:r>
                    <w:t xml:space="preserve">61 MonumentoGaribaldi</w:t>
                  </w:r>
                </w:p>
              </w:tc>
              <w:tc>
                <w:tcPr/>
                <w:p>
                  <w:pPr>
                    <w:pStyle w:val="Compact"/>
                    <w:jc w:val="left"/>
                    <w:jc w:val="center"/>
                  </w:pPr>
                  <w:r>
                    <w:t xml:space="preserve">39 RegentsParkJapan</w:t>
                  </w:r>
                </w:p>
              </w:tc>
              <w:tc>
                <w:tcPr/>
                <w:p>
                  <w:pPr>
                    <w:pStyle w:val="Compact"/>
                    <w:jc w:val="left"/>
                    <w:jc w:val="center"/>
                  </w:pPr>
                  <w:r>
                    <w:t xml:space="preserve">46 MiradorSanNicolas</w:t>
                  </w:r>
                </w:p>
              </w:tc>
            </w:tr>
            <w:tr>
              <w:tc>
                <w:tcPr/>
                <w:p>
                  <w:pPr>
                    <w:pStyle w:val="Compact"/>
                    <w:jc w:val="right"/>
                    <w:jc w:val="center"/>
                  </w:pPr>
                  <w:r>
                    <w:t xml:space="preserve">10</w:t>
                  </w:r>
                </w:p>
              </w:tc>
              <w:tc>
                <w:tcPr/>
                <w:p>
                  <w:pPr>
                    <w:pStyle w:val="Compact"/>
                    <w:jc w:val="left"/>
                    <w:jc w:val="center"/>
                  </w:pPr>
                  <w:r>
                    <w:t xml:space="preserve">55 StPaulsCross</w:t>
                  </w:r>
                </w:p>
              </w:tc>
              <w:tc>
                <w:tcPr/>
                <w:p>
                  <w:pPr>
                    <w:pStyle w:val="Compact"/>
                    <w:jc w:val="left"/>
                    <w:jc w:val="center"/>
                  </w:pPr>
                  <w:r>
                    <w:t xml:space="preserve">32 StPaulsCross</w:t>
                  </w:r>
                </w:p>
              </w:tc>
              <w:tc>
                <w:tcPr/>
                <w:p>
                  <w:pPr>
                    <w:pStyle w:val="Compact"/>
                    <w:jc w:val="left"/>
                    <w:jc w:val="center"/>
                  </w:pPr>
                  <w:r>
                    <w:t xml:space="preserve">42 CamdenTown</w:t>
                  </w:r>
                </w:p>
              </w:tc>
            </w:tr>
            <w:tr>
              <w:tc>
                <w:tcPr/>
                <w:p>
                  <w:pPr>
                    <w:pStyle w:val="Compact"/>
                    <w:jc w:val="right"/>
                    <w:jc w:val="center"/>
                  </w:pPr>
                  <w:r>
                    <w:t xml:space="preserve">11</w:t>
                  </w:r>
                </w:p>
              </w:tc>
              <w:tc>
                <w:tcPr/>
                <w:p>
                  <w:pPr>
                    <w:pStyle w:val="Compact"/>
                    <w:jc w:val="left"/>
                    <w:jc w:val="center"/>
                  </w:pPr>
                  <w:r>
                    <w:t xml:space="preserve">50 TateModern</w:t>
                  </w:r>
                </w:p>
              </w:tc>
              <w:tc>
                <w:tcPr/>
                <w:p>
                  <w:pPr>
                    <w:pStyle w:val="Compact"/>
                    <w:jc w:val="left"/>
                    <w:jc w:val="center"/>
                  </w:pPr>
                  <w:r>
                    <w:t xml:space="preserve">32 MiradorSanNicolas</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50 StPaulsRow</w:t>
                  </w:r>
                </w:p>
              </w:tc>
              <w:tc>
                <w:tcPr/>
                <w:p>
                  <w:pPr>
                    <w:pStyle w:val="Compact"/>
                    <w:jc w:val="left"/>
                    <w:jc w:val="center"/>
                  </w:pPr>
                  <w:r>
                    <w:t xml:space="preserve">31 TateModern</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46 MiradorSanNicolas</w:t>
                  </w:r>
                </w:p>
              </w:tc>
              <w:tc>
                <w:tcPr/>
                <w:p>
                  <w:pPr>
                    <w:pStyle w:val="Compact"/>
                    <w:jc w:val="left"/>
                    <w:jc w:val="center"/>
                  </w:pPr>
                  <w:r>
                    <w:t xml:space="preserve">30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41 Noorderplantsoen</w:t>
                  </w:r>
                </w:p>
              </w:tc>
              <w:tc>
                <w:tcPr/>
                <w:p>
                  <w:pPr>
                    <w:pStyle w:val="Compact"/>
                    <w:jc w:val="left"/>
                    <w:jc w:val="center"/>
                  </w:pPr>
                  <w:r>
                    <w:t xml:space="preserve">29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39 TorringtonSq</w:t>
                  </w:r>
                </w:p>
              </w:tc>
              <w:tc>
                <w:tcPr/>
                <w:p>
                  <w:pPr>
                    <w:pStyle w:val="Compact"/>
                    <w:jc w:val="left"/>
                    <w:jc w:val="center"/>
                  </w:pPr>
                  <w:r>
                    <w:t xml:space="preserve">17 SanMarco</w:t>
                  </w:r>
                </w:p>
              </w:tc>
              <w:tc>
                <w:tcPr/>
                <w:p>
                  <w:pPr>
                    <w:pStyle w:val="Compact"/>
                    <w:jc w:val="left"/>
                    <w:jc w:val="center"/>
                  </w:pPr>
                  <w:r>
                    <w:t xml:space="preserve">32 CampoPrincipe</w:t>
                  </w:r>
                </w:p>
              </w:tc>
            </w:tr>
            <w:tr>
              <w:tc>
                <w:tcPr/>
                <w:p>
                  <w:pPr>
                    <w:pStyle w:val="Compact"/>
                    <w:jc w:val="right"/>
                    <w:jc w:val="center"/>
                  </w:pPr>
                  <w:r>
                    <w:t xml:space="preserve">16</w:t>
                  </w:r>
                </w:p>
              </w:tc>
              <w:tc>
                <w:tcPr/>
                <w:p>
                  <w:pPr>
                    <w:pStyle w:val="Compact"/>
                    <w:jc w:val="left"/>
                    <w:jc w:val="center"/>
                  </w:pPr>
                  <w:r>
                    <w:t xml:space="preserve">35 SanMarco</w:t>
                  </w:r>
                </w:p>
              </w:tc>
              <w:tc>
                <w:tcPr/>
                <w:p>
                  <w:pPr>
                    <w:pStyle w:val="Compact"/>
                    <w:jc w:val="left"/>
                    <w:jc w:val="center"/>
                  </w:pPr>
                  <w:r>
                    <w:t xml:space="preserve">16 Noorderplantsoen</w:t>
                  </w:r>
                </w:p>
              </w:tc>
              <w:tc>
                <w:tcPr/>
                <w:p>
                  <w:pPr>
                    <w:pStyle w:val="Compact"/>
                    <w:jc w:val="left"/>
                    <w:jc w:val="center"/>
                  </w:pPr>
                  <w:r>
                    <w:t xml:space="preserve">31 EustonTap</w:t>
                  </w:r>
                </w:p>
              </w:tc>
            </w:tr>
            <w:tr>
              <w:tc>
                <w:tcPr/>
                <w:p>
                  <w:pPr>
                    <w:pStyle w:val="Compact"/>
                    <w:jc w:val="right"/>
                    <w:jc w:val="center"/>
                  </w:pPr>
                  <w:r>
                    <w:t xml:space="preserve">17</w:t>
                  </w:r>
                </w:p>
              </w:tc>
              <w:tc>
                <w:tcPr/>
                <w:p>
                  <w:pPr>
                    <w:pStyle w:val="Compact"/>
                    <w:jc w:val="left"/>
                    <w:jc w:val="center"/>
                  </w:pPr>
                  <w:r>
                    <w:t xml:space="preserve">22 CamdenTown</w:t>
                  </w:r>
                </w:p>
              </w:tc>
              <w:tc>
                <w:tcPr/>
                <w:p>
                  <w:pPr>
                    <w:pStyle w:val="Compact"/>
                    <w:jc w:val="left"/>
                    <w:jc w:val="center"/>
                  </w:pPr>
                  <w:r>
                    <w:t xml:space="preserve">14 EustonTap</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17 EustonTap</w:t>
                  </w:r>
                </w:p>
              </w:tc>
              <w:tc>
                <w:tcPr/>
                <w:p>
                  <w:pPr>
                    <w:pStyle w:val="Compact"/>
                    <w:jc w:val="left"/>
                    <w:jc w:val="center"/>
                  </w:pPr>
                  <w:r>
                    <w:t xml:space="preserve">14 CamdenTown</w:t>
                  </w:r>
                </w:p>
              </w:tc>
              <w:tc>
                <w:tcPr/>
                <w:p>
                  <w:pPr>
                    <w:pStyle w:val="Compact"/>
                    <w:jc w:val="left"/>
                    <w:jc w:val="center"/>
                  </w:pPr>
                  <w:r>
                    <w:t xml:space="preserve">27 RegentsParkJapan</w:t>
                  </w:r>
                </w:p>
              </w:tc>
            </w:tr>
          </w:tbl>
          <w:bookmarkEnd w:id="40"/>
          <w:p/>
        </w:tc>
      </w:tr>
    </w:tbl>
    <w:bookmarkEnd w:id="41"/>
    <w:bookmarkEnd w:id="42"/>
    <w:bookmarkStart w:id="56"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3"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3"/>
    <w:bookmarkStart w:id="44"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 empirically defined to encapsulate the ideal of a particular type of soundscape (e.g. for a park, for an urban square, for a particular group of users, etc.).</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44"/>
    <w:bookmarkStart w:id="55" w:name="sec-targets"/>
    <w:p>
      <w:pPr>
        <w:pStyle w:val="Heading2"/>
      </w:pPr>
      <w:r>
        <w:t xml:space="preserve">4.3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Cs/>
          <w:i/>
        </w:rPr>
        <w:t xml:space="preserve">ad hoc</w:t>
      </w:r>
      <w:r>
        <w:t xml:space="preserve">, but rather an</w:t>
      </w:r>
      <w:r>
        <w:t xml:space="preserve"> </w:t>
      </w:r>
      <w:r>
        <w:t xml:space="preserve">“</w:t>
      </w:r>
      <w:r>
        <w:t xml:space="preserve">absolute</w:t>
      </w:r>
      <w:r>
        <w:t xml:space="preserv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optimized SPI target.</w:t>
      </w:r>
    </w:p>
    <w:p>
      <w:pPr>
        <w:pStyle w:val="BodyText"/>
      </w:pPr>
      <w:r>
        <w:t xml:space="preserve">In this case study, we will examine a ranking derived from the ISD locations (shown in</w:t>
      </w:r>
      <w:r>
        <w:t xml:space="preserve"> </w:t>
      </w:r>
      <w:hyperlink w:anchor="tbl-isd-ranking">
        <w:r>
          <w:rPr>
            <w:rStyle w:val="Hyperlink"/>
          </w:rPr>
          <w:t xml:space="preserve">Table 4</w:t>
        </w:r>
      </w:hyperlink>
      <w:r>
        <w:t xml:space="preserve">). The goal is then to derive an SPI target distribution which, when applied to the SCM data from each of these locations, (1) results in the same ranking order and (2) results in high SPI scores for the top ranked locations and lower scores for the bottom ranked locations.</w:t>
      </w:r>
    </w:p>
    <w:tbl>
      <w:tblPr>
        <w:tblStyle w:val="Table"/>
        <w:tblW w:type="pct" w:w="5000"/>
        <w:tblLook w:firstRow="0" w:lastRow="0" w:firstColumn="0" w:lastColumn="0" w:noHBand="0" w:noVBand="0" w:val="0000"/>
        <w:jc w:val="start"/>
        <w:tblLayout w:type="fixed"/>
      </w:tblPr>
      <w:tblGrid>
        <w:gridCol w:w="7920"/>
      </w:tblGrid>
      <w:tr>
        <w:tc>
          <w:tcPr/>
          <w:bookmarkStart w:id="45"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5"/>
          <w:p/>
        </w:tc>
      </w:tr>
    </w:tbl>
    <w:p>
      <w:pPr>
        <w:pStyle w:val="BodyText"/>
      </w:pPr>
      <w:r>
        <w:t xml:space="preserve">Effectively, this is an optimization task to determine the MSN parameters which best achieve the above goals. Parameter optimization refers to the process of adjusting the parameters of a system, model, or algorithm to achieve the best possible performance according to one or more objectives. To set up the optimization task, we first need to express the parameter space and any constraints. Since our goal is to identify an optimized soundscape target distribution, the parameters we will search over are:</w:t>
      </w:r>
    </w:p>
    <w:p>
      <w:pPr>
        <w:numPr>
          <w:ilvl w:val="0"/>
          <w:numId w:val="1005"/>
        </w:numPr>
        <w:pStyle w:val="Compact"/>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numPr>
          <w:ilvl w:val="0"/>
          <w:numId w:val="1005"/>
        </w:numPr>
        <w:pStyle w:val="Compact"/>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numPr>
          <w:ilvl w:val="1"/>
          <w:numId w:val="1006"/>
        </w:numPr>
        <w:pStyle w:val="Compact"/>
      </w:pPr>
      <m:oMath>
        <m:r>
          <m:t>0</m:t>
        </m:r>
        <m:r>
          <m:rPr>
            <m:sty m:val="p"/>
          </m:rPr>
          <m:t>≤</m:t>
        </m:r>
        <m:r>
          <m:t>v</m:t>
        </m:r>
        <m:r>
          <m:t>a</m:t>
        </m:r>
        <m:r>
          <m:t>r</m:t>
        </m:r>
        <m:d>
          <m:dPr>
            <m:begChr m:val="("/>
            <m:endChr m:val=")"/>
            <m:sepChr m:val=""/>
            <m:grow/>
          </m:dPr>
          <m:e/>
        </m:d>
        <m:r>
          <m:rPr>
            <m:sty m:val="p"/>
          </m:rPr>
          <m:t>≤</m:t>
        </m:r>
        <m:r>
          <m:t>1</m:t>
        </m:r>
      </m:oMath>
    </w:p>
    <w:p>
      <w:pPr>
        <w:numPr>
          <w:ilvl w:val="1"/>
          <w:numId w:val="1006"/>
        </w:numPr>
        <w:pStyle w:val="Compact"/>
      </w:pPr>
      <m:oMath>
        <m:r>
          <m:rPr>
            <m:sty m:val="p"/>
          </m:rPr>
          <m:t>−</m:t>
        </m:r>
        <m:r>
          <m:t>1</m:t>
        </m:r>
        <m:r>
          <m:rPr>
            <m:sty m:val="p"/>
          </m:rPr>
          <m:t>≤</m:t>
        </m:r>
        <m:r>
          <m:t>c</m:t>
        </m:r>
        <m:r>
          <m:t>o</m:t>
        </m:r>
        <m:r>
          <m:t>v</m:t>
        </m:r>
        <m:d>
          <m:dPr>
            <m:begChr m:val="("/>
            <m:endChr m:val=")"/>
            <m:sepChr m:val=""/>
            <m:grow/>
          </m:dPr>
          <m:e/>
        </m:d>
        <m:r>
          <m:rPr>
            <m:sty m:val="p"/>
          </m:rPr>
          <m:t>≤</m:t>
        </m:r>
        <m:r>
          <m:t>1</m:t>
        </m:r>
      </m:oMath>
    </w:p>
    <w:p>
      <w:pPr>
        <w:numPr>
          <w:ilvl w:val="1"/>
          <w:numId w:val="1006"/>
        </w:numPr>
        <w:pStyle w:val="Compact"/>
      </w:pPr>
      <m:oMath>
        <m:r>
          <m:t>Ω</m:t>
        </m:r>
      </m:oMath>
      <w:r>
        <w:t xml:space="preserve"> </w:t>
      </w:r>
      <w:r>
        <w:t xml:space="preserve">must be symmetric and positive definite</w:t>
      </w:r>
    </w:p>
    <w:p>
      <w:pPr>
        <w:numPr>
          <w:ilvl w:val="0"/>
          <w:numId w:val="1005"/>
        </w:numPr>
        <w:pStyle w:val="Compact"/>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numPr>
          <w:ilvl w:val="0"/>
          <w:numId w:val="1005"/>
        </w:numPr>
        <w:pStyle w:val="Compact"/>
      </w:pPr>
      <m:oMath>
        <m:r>
          <m:rPr>
            <m:sty m:val="p"/>
          </m:rPr>
          <m:t>−</m:t>
        </m:r>
        <m:r>
          <m:t>1</m:t>
        </m:r>
        <m:r>
          <m:rPr>
            <m:sty m:val="p"/>
          </m:rPr>
          <m:t>≤</m:t>
        </m:r>
        <m:r>
          <m:t>x</m:t>
        </m:r>
        <m:r>
          <m:rPr>
            <m:sty m:val="p"/>
          </m:rPr>
          <m:t>,</m:t>
        </m:r>
        <m:r>
          <m:t>y</m:t>
        </m:r>
        <m:r>
          <m:rPr>
            <m:sty m:val="p"/>
          </m:rPr>
          <m:t>≤</m:t>
        </m:r>
        <m:r>
          <m:t>1</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Cs/>
          <w:i/>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optimizing only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 Optimizing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w:t>
      </w:r>
    </w:p>
    <w:bookmarkStart w:id="54" w:name="fig-pymoo-park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9" w:name="fig-pymoo-parks-1"/>
                <w:p>
                  <w:pPr>
                    <w:pStyle w:val="Compact"/>
                    <w:jc w:val="center"/>
                    <w:jc w:val="left"/>
                  </w:pPr>
                  <w:r>
                    <w:drawing>
                      <wp:inline>
                        <wp:extent cx="2971800" cy="2234149"/>
                        <wp:effectExtent b="0" l="0" r="0" t="0"/>
                        <wp:docPr descr="" title="" id="47" name="Picture"/>
                        <a:graphic>
                          <a:graphicData uri="http://schemas.openxmlformats.org/drawingml/2006/picture">
                            <pic:pic>
                              <pic:nvPicPr>
                                <pic:cNvPr descr="index_files/figure-docx/notebooks-TargetOptimization-fig-pymoo-parks-output-1.png" id="48" name="Picture"/>
                                <pic:cNvPicPr>
                                  <a:picLocks noChangeArrowheads="1" noChangeAspect="1"/>
                                </pic:cNvPicPr>
                              </pic:nvPicPr>
                              <pic:blipFill>
                                <a:blip r:embed="rId46"/>
                                <a:stretch>
                                  <a:fillRect/>
                                </a:stretch>
                              </pic:blipFill>
                              <pic:spPr bwMode="auto">
                                <a:xfrm>
                                  <a:off x="0" y="0"/>
                                  <a:ext cx="2971800" cy="223414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w:t>
                  </w:r>
                </w:p>
                <w:bookmarkEnd w:id="4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3" w:name="fig-pymoo-parks-2"/>
                <w:p>
                  <w:pPr>
                    <w:pStyle w:val="Compact"/>
                    <w:jc w:val="center"/>
                    <w:jc w:val="left"/>
                  </w:pPr>
                  <w:r>
                    <w:drawing>
                      <wp:inline>
                        <wp:extent cx="2971800" cy="2722630"/>
                        <wp:effectExtent b="0" l="0" r="0" t="0"/>
                        <wp:docPr descr="" title="" id="51" name="Picture"/>
                        <a:graphic>
                          <a:graphicData uri="http://schemas.openxmlformats.org/drawingml/2006/picture">
                            <pic:pic>
                              <pic:nvPicPr>
                                <pic:cNvPr descr="index_files/figure-docx/notebooks-TargetOptimization-fig-pymoo-parks-output-2.png" id="52" name="Picture"/>
                                <pic:cNvPicPr>
                                  <a:picLocks noChangeArrowheads="1" noChangeAspect="1"/>
                                </pic:cNvPicPr>
                              </pic:nvPicPr>
                              <pic:blipFill>
                                <a:blip r:embed="rId50"/>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3"/>
              </w:tc>
            </w:tr>
          </w:tbl>
          <w:p/>
        </w:tc>
      </w:tr>
    </w:tbl>
    <w:p>
      <w:pPr>
        <w:pStyle w:val="BodyText"/>
      </w:pPr>
      <w:pPr>
        <w:spacing w:before="200"/>
        <w:pStyle w:val="ImageCaption"/>
      </w:pPr>
      <w:r>
        <w:t xml:space="preserve">Figure 3: NSGA-II optimization to learn the MSN parameters which produce the Park ranking.</w:t>
      </w:r>
    </w:p>
    <w:bookmarkEnd w:id="54"/>
    <w:bookmarkEnd w:id="55"/>
    <w:bookmarkEnd w:id="56"/>
    <w:bookmarkStart w:id="58" w:name="discussion"/>
    <w:p>
      <w:pPr>
        <w:pStyle w:val="Heading1"/>
      </w:pPr>
      <w:r>
        <w:t xml:space="preserve">5. Discussion</w:t>
      </w:r>
    </w:p>
    <w:p>
      <w:pPr>
        <w:pStyle w:val="FirstParagraph"/>
      </w:pPr>
      <w:r>
        <w:t xml:space="preserve">The development of bespoke and reference context-dependent Soundscape Perception Indices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pPr>
        <w:pStyle w:val="BodyText"/>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w:t>
      </w:r>
      <w:r>
        <w:t xml:space="preserve">urban typology</w:t>
      </w:r>
      <w:r>
        <w:t xml:space="preserve">”</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w:t>
      </w:r>
      <w:r>
        <w:t xml:space="preserve">use case</w:t>
      </w:r>
      <w:r>
        <w:t xml:space="preserv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 fig. 6)</w:t>
      </w:r>
      <w:r>
        <w:t xml:space="preserve">, in fact displays a startlingly similar concept, showing the locations of the three categories of traffic noise dominance (</w:t>
      </w:r>
      <w:r>
        <w:t xml:space="preserve">‘</w:t>
      </w:r>
      <w:r>
        <w:t xml:space="preserve">traffic noise</w:t>
      </w:r>
      <w:r>
        <w:t xml:space="preserve">’</w:t>
      </w:r>
      <w:r>
        <w:t xml:space="preserve">,</w:t>
      </w:r>
      <w:r>
        <w:t xml:space="preserve"> </w:t>
      </w:r>
      <w:r>
        <w:t xml:space="preserve">‘</w:t>
      </w:r>
      <w:r>
        <w:t xml:space="preserve">balanced</w:t>
      </w:r>
      <w:r>
        <w:t xml:space="preserve">’</w:t>
      </w:r>
      <w:r>
        <w:t xml:space="preserve">, and</w:t>
      </w:r>
      <w:r>
        <w:t xml:space="preserve"> </w:t>
      </w:r>
      <w:r>
        <w:t xml:space="preserve">‘</w:t>
      </w:r>
      <w:r>
        <w:t xml:space="preserve">natural</w:t>
      </w:r>
      <w:r>
        <w:t xml:space="preserve">’</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Start w:id="57" w:name="limitations"/>
    <w:p>
      <w:pPr>
        <w:pStyle w:val="Heading2"/>
      </w:pPr>
      <w:r>
        <w:t xml:space="preserve">5.1 Limitations</w:t>
      </w:r>
    </w:p>
    <w:p>
      <w:pPr>
        <w:pStyle w:val="FirstParagraph"/>
      </w:pPr>
      <w:r>
        <w:rPr>
          <w:iCs/>
          <w:i/>
        </w:rPr>
        <w:t xml:space="preserve">Need to add more limitations discussion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By defining the SPI as a true target-test distribution comparison we ensure that the SPI always accurately reflects the similarity between the perception of a soundscape and its target.</w:t>
      </w:r>
    </w:p>
    <w:bookmarkEnd w:id="57"/>
    <w:bookmarkEnd w:id="58"/>
    <w:bookmarkStart w:id="59"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w:t>
      </w:r>
      <w:r>
        <w:t xml:space="preserve">the</w:t>
      </w:r>
      <w:r>
        <w:t xml:space="preserv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Cs/>
          <w:i/>
        </w:rPr>
        <w:t xml:space="preserve">reductio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w:t>
      </w:r>
      <w:r>
        <w:t xml:space="preserve">overcome</w:t>
      </w:r>
      <w:r>
        <w:t xml:space="preserve">”</w:t>
      </w:r>
      <w:r>
        <w:t xml:space="preserve">. There is no such thing as a single noise indicator (</w:t>
      </w:r>
      <w:r>
        <w:rPr>
          <w:iCs/>
          <w:i/>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59"/>
    <w:bookmarkStart w:id="62"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0"/>
      </w:r>
    </w:p>
    <w:bookmarkEnd w:id="62"/>
    <w:bookmarkStart w:id="67"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63"/>
      </w:r>
      <w:r>
        <w:t xml:space="preserve">. The analysis code developed for this method has been integrated into the open-source Python package Soundscapy, which can be found on Github</w:t>
      </w:r>
      <w:r>
        <w:rPr>
          <w:rStyle w:val="FootnoteReference"/>
        </w:rPr>
        <w:footnoteReference w:id="65"/>
      </w:r>
      <w:r>
        <w:t xml:space="preserve">. The code to recreate the figures in this paper can be found on this paper’s Github page.</w:t>
      </w:r>
    </w:p>
    <w:bookmarkEnd w:id="67"/>
    <w:bookmarkStart w:id="68" w:name="author-contributions"/>
    <w:p>
      <w:pPr>
        <w:pStyle w:val="Heading1"/>
      </w:pPr>
      <w:r>
        <w:t xml:space="preserve">Author contributions</w:t>
      </w:r>
    </w:p>
    <w:p>
      <w:pPr>
        <w:pStyle w:val="FirstParagraph"/>
      </w:pPr>
      <w:r>
        <w:rPr>
          <w:bCs/>
          <w:b/>
        </w:rPr>
        <w:t xml:space="preserve">AM</w:t>
      </w:r>
      <w:r>
        <w:t xml:space="preserve">: Conceptualization, Methodology, Software, Writing-Original Draft, Writing-Review &amp; Editing, Visualization.</w:t>
      </w:r>
      <w:r>
        <w:t xml:space="preserve"> </w:t>
      </w:r>
      <w:r>
        <w:rPr>
          <w:bCs/>
          <w:b/>
        </w:rPr>
        <w:t xml:space="preserve">FA</w:t>
      </w:r>
      <w:r>
        <w:t xml:space="preserve">: Conceptualization, Methodology, Writing-Review &amp; Editing.</w:t>
      </w:r>
      <w:r>
        <w:t xml:space="preserve"> </w:t>
      </w:r>
      <w:r>
        <w:rPr>
          <w:bCs/>
          <w:b/>
        </w:rPr>
        <w:t xml:space="preserve">TO</w:t>
      </w:r>
      <w:r>
        <w:t xml:space="preserve">: Conceptualization, Writing-Review &amp; Editing.</w:t>
      </w:r>
      <w:r>
        <w:t xml:space="preserve"> </w:t>
      </w:r>
      <w:r>
        <w:rPr>
          <w:bCs/>
          <w:b/>
        </w:rPr>
        <w:t xml:space="preserve">JK</w:t>
      </w:r>
      <w:r>
        <w:t xml:space="preserve">: Conceptualization, Supervision, Funding acquisition.</w:t>
      </w:r>
    </w:p>
    <w:bookmarkEnd w:id="68"/>
    <w:bookmarkStart w:id="160" w:name="references"/>
    <w:p>
      <w:pPr>
        <w:pStyle w:val="Heading1"/>
      </w:pPr>
      <w:r>
        <w:t xml:space="preserve">7. References</w:t>
      </w:r>
    </w:p>
    <w:bookmarkStart w:id="159" w:name="refs"/>
    <w:bookmarkStart w:id="70"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Cs/>
          <w:i/>
        </w:rPr>
        <w:t xml:space="preserve">Noise Mapping</w:t>
      </w:r>
      <w:r>
        <w:t xml:space="preserve"> </w:t>
      </w:r>
      <w:r>
        <w:t xml:space="preserve">2 (1): 1–12.</w:t>
      </w:r>
      <w:r>
        <w:t xml:space="preserve"> </w:t>
      </w:r>
      <w:hyperlink r:id="rId69">
        <w:r>
          <w:rPr>
            <w:rStyle w:val="Hyperlink"/>
          </w:rPr>
          <w:t xml:space="preserve">https://doi.org/10.1515/noise-2015-0001</w:t>
        </w:r>
      </w:hyperlink>
      <w:r>
        <w:t xml:space="preserve">.</w:t>
      </w:r>
    </w:p>
    <w:bookmarkEnd w:id="70"/>
    <w:bookmarkStart w:id="72"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Cs/>
          <w:i/>
        </w:rPr>
        <w:t xml:space="preserve">Landscape and Urban Planning</w:t>
      </w:r>
      <w:r>
        <w:t xml:space="preserve"> </w:t>
      </w:r>
      <w:r>
        <w:t xml:space="preserve">149 (July): 65–74.</w:t>
      </w:r>
      <w:r>
        <w:t xml:space="preserve"> </w:t>
      </w:r>
      <w:hyperlink r:id="rId71">
        <w:r>
          <w:rPr>
            <w:rStyle w:val="Hyperlink"/>
          </w:rPr>
          <w:t xml:space="preserve">https://doi.org/10.1016/j.landurbplan.2016.02.001</w:t>
        </w:r>
      </w:hyperlink>
      <w:r>
        <w:t xml:space="preserve">.</w:t>
      </w:r>
    </w:p>
    <w:bookmarkEnd w:id="72"/>
    <w:bookmarkStart w:id="74"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Cs/>
          <w:i/>
        </w:rPr>
        <w:t xml:space="preserve">International Journal of Environmental Research and Public Health</w:t>
      </w:r>
      <w:r>
        <w:t xml:space="preserve"> </w:t>
      </w:r>
      <w:r>
        <w:t xml:space="preserve">15 (October): 1–15.</w:t>
      </w:r>
      <w:r>
        <w:t xml:space="preserve"> </w:t>
      </w:r>
      <w:hyperlink r:id="rId73">
        <w:r>
          <w:rPr>
            <w:rStyle w:val="Hyperlink"/>
          </w:rPr>
          <w:t xml:space="preserve">https://doi.org/10.3390/ijerph15112392</w:t>
        </w:r>
      </w:hyperlink>
      <w:r>
        <w:t xml:space="preserve">.</w:t>
      </w:r>
    </w:p>
    <w:bookmarkEnd w:id="74"/>
    <w:bookmarkStart w:id="76"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Cs/>
          <w:i/>
        </w:rPr>
        <w:t xml:space="preserve">Current Pollution Reports</w:t>
      </w:r>
      <w:r>
        <w:t xml:space="preserve">, October.</w:t>
      </w:r>
      <w:r>
        <w:t xml:space="preserve"> </w:t>
      </w:r>
      <w:hyperlink r:id="rId75">
        <w:r>
          <w:rPr>
            <w:rStyle w:val="Hyperlink"/>
          </w:rPr>
          <w:t xml:space="preserve">https://doi.org/10.1007/s40726-023-00283-6</w:t>
        </w:r>
      </w:hyperlink>
      <w:r>
        <w:t xml:space="preserve">.</w:t>
      </w:r>
    </w:p>
    <w:bookmarkEnd w:id="76"/>
    <w:bookmarkStart w:id="77"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Cs/>
          <w:i/>
        </w:rPr>
        <w:t xml:space="preserve">Proceedings of Euronoise 2015 :</w:t>
      </w:r>
      <w:r>
        <w:t xml:space="preserve">, 1477–81. Stockholm University, Perception; psychophysics; Nederlands Akoestisch Genootschap; ABAV - Belgian Acoustical Society.</w:t>
      </w:r>
    </w:p>
    <w:bookmarkEnd w:id="77"/>
    <w:bookmarkStart w:id="79"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Cs/>
          <w:i/>
        </w:rPr>
        <w:t xml:space="preserve">The Journal of the Acoustical Society of America</w:t>
      </w:r>
      <w:r>
        <w:t xml:space="preserve"> </w:t>
      </w:r>
      <w:r>
        <w:t xml:space="preserve">128 (5): 2836–46.</w:t>
      </w:r>
      <w:r>
        <w:t xml:space="preserve"> </w:t>
      </w:r>
      <w:hyperlink r:id="rId78">
        <w:r>
          <w:rPr>
            <w:rStyle w:val="Hyperlink"/>
          </w:rPr>
          <w:t xml:space="preserve">https://doi.org/10.1121/1.3493436</w:t>
        </w:r>
      </w:hyperlink>
      <w:r>
        <w:t xml:space="preserve">.</w:t>
      </w:r>
    </w:p>
    <w:bookmarkEnd w:id="79"/>
    <w:bookmarkStart w:id="81"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Cs/>
          <w:i/>
        </w:rPr>
        <w:t xml:space="preserve">The Journal of the Acoustical Society of America</w:t>
      </w:r>
      <w:r>
        <w:t xml:space="preserve">, 131:3476–76. 4. Acoustical Society of America (</w:t>
      </w:r>
      <w:r>
        <w:t xml:space="preserve">ASA</w:t>
      </w:r>
      <w:r>
        <w:t xml:space="preserve">).</w:t>
      </w:r>
      <w:r>
        <w:t xml:space="preserve"> </w:t>
      </w:r>
      <w:hyperlink r:id="rId80">
        <w:r>
          <w:rPr>
            <w:rStyle w:val="Hyperlink"/>
          </w:rPr>
          <w:t xml:space="preserve">https://doi.org/10.1121/1.4709112</w:t>
        </w:r>
      </w:hyperlink>
      <w:r>
        <w:t xml:space="preserve">.</w:t>
      </w:r>
    </w:p>
    <w:bookmarkEnd w:id="81"/>
    <w:bookmarkStart w:id="83"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82">
        <w:r>
          <w:rPr>
            <w:rStyle w:val="Hyperlink"/>
          </w:rPr>
          <w:t xml:space="preserve">https://cran.r-project.org/package=sn</w:t>
        </w:r>
      </w:hyperlink>
      <w:r>
        <w:t xml:space="preserve">.</w:t>
      </w:r>
    </w:p>
    <w:bookmarkEnd w:id="83"/>
    <w:bookmarkStart w:id="85"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Cs/>
          <w:i/>
        </w:rPr>
        <w:t xml:space="preserve">Journal of the Royal Statistical Society Series B: Statistical Methodology</w:t>
      </w:r>
      <w:r>
        <w:t xml:space="preserve"> </w:t>
      </w:r>
      <w:r>
        <w:t xml:space="preserve">61 (3): 579–602.</w:t>
      </w:r>
      <w:r>
        <w:t xml:space="preserve"> </w:t>
      </w:r>
      <w:hyperlink r:id="rId84">
        <w:r>
          <w:rPr>
            <w:rStyle w:val="Hyperlink"/>
          </w:rPr>
          <w:t xml:space="preserve">https://doi.org/10.1111/1467-9868.00194</w:t>
        </w:r>
      </w:hyperlink>
      <w:r>
        <w:t xml:space="preserve">.</w:t>
      </w:r>
    </w:p>
    <w:bookmarkEnd w:id="85"/>
    <w:bookmarkStart w:id="87" w:name="ref-Azzalini2005Skew"/>
    <w:p>
      <w:pPr>
        <w:pStyle w:val="Bibliography"/>
      </w:pPr>
      <w:r>
        <w:t xml:space="preserve">Azzalini, Adelchi. 2005.</w:t>
      </w:r>
      <w:r>
        <w:t xml:space="preserve"> </w:t>
      </w:r>
      <w:r>
        <w:t xml:space="preserve">“The Skew-Normal Distribution and Related Multivariate Families.”</w:t>
      </w:r>
      <w:r>
        <w:t xml:space="preserve"> </w:t>
      </w:r>
      <w:r>
        <w:rPr>
          <w:iCs/>
          <w:i/>
        </w:rPr>
        <w:t xml:space="preserve">Scandinavian Journal of Statistics</w:t>
      </w:r>
      <w:r>
        <w:t xml:space="preserve"> </w:t>
      </w:r>
      <w:r>
        <w:t xml:space="preserve">32 (2): 159–88.</w:t>
      </w:r>
      <w:r>
        <w:t xml:space="preserve"> </w:t>
      </w:r>
      <w:hyperlink r:id="rId86">
        <w:r>
          <w:rPr>
            <w:rStyle w:val="Hyperlink"/>
          </w:rPr>
          <w:t xml:space="preserve">https://doi.org/10.1111/j.1467-9469.2005.00426.x</w:t>
        </w:r>
      </w:hyperlink>
      <w:r>
        <w:t xml:space="preserve">.</w:t>
      </w:r>
    </w:p>
    <w:bookmarkEnd w:id="87"/>
    <w:bookmarkStart w:id="89"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88">
        <w:r>
          <w:rPr>
            <w:rStyle w:val="Hyperlink"/>
          </w:rPr>
          <w:t xml:space="preserve">http://azzalini.stat.unipd.it/SN/how_to_sample.pdf</w:t>
        </w:r>
      </w:hyperlink>
      <w:r>
        <w:t xml:space="preserve">.</w:t>
      </w:r>
    </w:p>
    <w:bookmarkEnd w:id="89"/>
    <w:bookmarkStart w:id="91" w:name="ref-Azzalini1996Multivariate"/>
    <w:p>
      <w:pPr>
        <w:pStyle w:val="Bibliography"/>
      </w:pPr>
      <w:r>
        <w:t xml:space="preserve">Azzalini, A., and A. Dalla Valle. 1996.</w:t>
      </w:r>
      <w:r>
        <w:t xml:space="preserve"> </w:t>
      </w:r>
      <w:r>
        <w:t xml:space="preserve">“The Multivariate Skew-Normal Distribution.”</w:t>
      </w:r>
      <w:r>
        <w:t xml:space="preserve"> </w:t>
      </w:r>
      <w:r>
        <w:rPr>
          <w:iCs/>
          <w:i/>
        </w:rPr>
        <w:t xml:space="preserve">Biometrika</w:t>
      </w:r>
      <w:r>
        <w:t xml:space="preserve"> </w:t>
      </w:r>
      <w:r>
        <w:t xml:space="preserve">83 (4): 715–26.</w:t>
      </w:r>
      <w:r>
        <w:t xml:space="preserve"> </w:t>
      </w:r>
      <w:hyperlink r:id="rId90">
        <w:r>
          <w:rPr>
            <w:rStyle w:val="Hyperlink"/>
          </w:rPr>
          <w:t xml:space="preserve">http://www.jstor.org/stable/2337278</w:t>
        </w:r>
      </w:hyperlink>
      <w:r>
        <w:t xml:space="preserve">.</w:t>
      </w:r>
    </w:p>
    <w:bookmarkEnd w:id="91"/>
    <w:bookmarkStart w:id="92"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92"/>
    <w:bookmarkStart w:id="94" w:name="ref-Blauert1997Sound"/>
    <w:p>
      <w:pPr>
        <w:pStyle w:val="Bibliography"/>
      </w:pPr>
      <w:r>
        <w:t xml:space="preserve">Blauert, Jens, and Ute Jekosch. 1997.</w:t>
      </w:r>
      <w:r>
        <w:t xml:space="preserve"> </w:t>
      </w:r>
      <w:r>
        <w:t xml:space="preserve">“Sound-Quality Evaluation a Multi-Layered Problem.”</w:t>
      </w:r>
      <w:r>
        <w:t xml:space="preserve"> </w:t>
      </w:r>
      <w:r>
        <w:rPr>
          <w:iCs/>
          <w:i/>
        </w:rPr>
        <w:t xml:space="preserve">Acta Acustica United with Acustica</w:t>
      </w:r>
      <w:r>
        <w:t xml:space="preserve"> </w:t>
      </w:r>
      <w:r>
        <w:t xml:space="preserve">83 (5): 747–53.</w:t>
      </w:r>
      <w:r>
        <w:t xml:space="preserve"> </w:t>
      </w:r>
      <w:hyperlink r:id="rId93">
        <w:r>
          <w:rPr>
            <w:rStyle w:val="Hyperlink"/>
          </w:rPr>
          <w:t xml:space="preserve">https://www.ingentaconnect.com/content/dav/aaua/1997/00000083/00000005/art00005</w:t>
        </w:r>
      </w:hyperlink>
      <w:r>
        <w:t xml:space="preserve">.</w:t>
      </w:r>
    </w:p>
    <w:bookmarkEnd w:id="94"/>
    <w:bookmarkStart w:id="95"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Cs/>
          <w:i/>
        </w:rPr>
        <w:t xml:space="preserve">INTER-NOISE and NOISE-CON Congress and Conference Proceedings</w:t>
      </w:r>
      <w:r>
        <w:t xml:space="preserve">, 261:3527–39. 3. Institute of Noise Control Engineering.</w:t>
      </w:r>
    </w:p>
    <w:bookmarkEnd w:id="95"/>
    <w:bookmarkStart w:id="96" w:name="ref-Chakravati1967Handbook"/>
    <w:p>
      <w:pPr>
        <w:pStyle w:val="Bibliography"/>
      </w:pPr>
      <w:r>
        <w:t xml:space="preserve">Chakravati, Laha, and Roy. 1967.</w:t>
      </w:r>
      <w:r>
        <w:t xml:space="preserve"> </w:t>
      </w:r>
      <w:r>
        <w:rPr>
          <w:iCs/>
          <w:i/>
        </w:rPr>
        <w:t xml:space="preserve">Handbook of Methods of Applied Statistics</w:t>
      </w:r>
      <w:r>
        <w:t xml:space="preserve">. Vol. 1. John Wiley; Sons.</w:t>
      </w:r>
    </w:p>
    <w:bookmarkEnd w:id="96"/>
    <w:bookmarkStart w:id="98"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Cs/>
          <w:i/>
        </w:rPr>
        <w:t xml:space="preserve">Landscape and Urban Planning</w:t>
      </w:r>
      <w:r>
        <w:t xml:space="preserve"> </w:t>
      </w:r>
      <w:r>
        <w:t xml:space="preserve">239 (November): 104870.</w:t>
      </w:r>
      <w:r>
        <w:t xml:space="preserve"> </w:t>
      </w:r>
      <w:hyperlink r:id="rId97">
        <w:r>
          <w:rPr>
            <w:rStyle w:val="Hyperlink"/>
          </w:rPr>
          <w:t xml:space="preserve">https://doi.org/10.1016/j.landurbplan.2023.104870</w:t>
        </w:r>
      </w:hyperlink>
      <w:r>
        <w:t xml:space="preserve">.</w:t>
      </w:r>
    </w:p>
    <w:bookmarkEnd w:id="98"/>
    <w:bookmarkStart w:id="100"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Cs/>
          <w:i/>
        </w:rPr>
        <w:t xml:space="preserve">IEEE Transactions on Evolutionary Computation</w:t>
      </w:r>
      <w:r>
        <w:t xml:space="preserve"> </w:t>
      </w:r>
      <w:r>
        <w:t xml:space="preserve">6 (2): 182–97.</w:t>
      </w:r>
      <w:r>
        <w:t xml:space="preserve"> </w:t>
      </w:r>
      <w:hyperlink r:id="rId99">
        <w:r>
          <w:rPr>
            <w:rStyle w:val="Hyperlink"/>
          </w:rPr>
          <w:t xml:space="preserve">https://doi.org/10.1109/4235.996017</w:t>
        </w:r>
      </w:hyperlink>
      <w:r>
        <w:t xml:space="preserve">.</w:t>
      </w:r>
    </w:p>
    <w:bookmarkEnd w:id="100"/>
    <w:bookmarkStart w:id="101" w:name="ref-EuropeanUnion2002Directive"/>
    <w:p>
      <w:pPr>
        <w:pStyle w:val="Bibliography"/>
      </w:pPr>
      <w:r>
        <w:t xml:space="preserve">European Union. 2002.</w:t>
      </w:r>
      <w:r>
        <w:t xml:space="preserve"> </w:t>
      </w:r>
      <w:r>
        <w:rPr>
          <w:iCs/>
          <w:i/>
        </w:rPr>
        <w:t xml:space="preserve">Directive 2002/49/EC of the European Parliament and of the Council of 25 June 2002 relating to the assessment and management of environmental noise</w:t>
      </w:r>
      <w:r>
        <w:t xml:space="preserve">.</w:t>
      </w:r>
    </w:p>
    <w:bookmarkEnd w:id="101"/>
    <w:bookmarkStart w:id="103"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Cs/>
          <w:i/>
        </w:rPr>
        <w:t xml:space="preserve">Monthly Notices of the Royal Astronomical Society</w:t>
      </w:r>
      <w:r>
        <w:t xml:space="preserve"> </w:t>
      </w:r>
      <w:r>
        <w:t xml:space="preserve">225 (1): 155–70.</w:t>
      </w:r>
      <w:r>
        <w:t xml:space="preserve"> </w:t>
      </w:r>
      <w:hyperlink r:id="rId102">
        <w:r>
          <w:rPr>
            <w:rStyle w:val="Hyperlink"/>
          </w:rPr>
          <w:t xml:space="preserve">https://doi.org/10.1093/mnras/225.1.155</w:t>
        </w:r>
      </w:hyperlink>
      <w:r>
        <w:t xml:space="preserve">.</w:t>
      </w:r>
    </w:p>
    <w:bookmarkEnd w:id="103"/>
    <w:bookmarkStart w:id="104"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Cs/>
          <w:i/>
        </w:rPr>
        <w:t xml:space="preserve">The Thirteenth International Congress on Sound and Vibration</w:t>
      </w:r>
      <w:r>
        <w:t xml:space="preserve">. Vienna.</w:t>
      </w:r>
    </w:p>
    <w:bookmarkEnd w:id="104"/>
    <w:bookmarkStart w:id="106"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Cs/>
          <w:i/>
        </w:rPr>
        <w:t xml:space="preserve">Proceedings - Euronoise 2018</w:t>
      </w:r>
      <w:r>
        <w:t xml:space="preserve">, no. June (June): 6.</w:t>
      </w:r>
      <w:r>
        <w:t xml:space="preserve"> </w:t>
      </w:r>
      <w:hyperlink r:id="rId105">
        <w:r>
          <w:rPr>
            <w:rStyle w:val="Hyperlink"/>
          </w:rPr>
          <w:t xml:space="preserve">https://www.euronoise2018.eu/docs/papers/482_Euronoise2018.pdf</w:t>
        </w:r>
      </w:hyperlink>
      <w:r>
        <w:t xml:space="preserve">.</w:t>
      </w:r>
    </w:p>
    <w:bookmarkEnd w:id="106"/>
    <w:bookmarkStart w:id="108" w:name="ref-Fletcher1933Loudness"/>
    <w:p>
      <w:pPr>
        <w:pStyle w:val="Bibliography"/>
      </w:pPr>
      <w:r>
        <w:t xml:space="preserve">Fletcher, Harvey, and W. A. Munson. 1933.</w:t>
      </w:r>
      <w:r>
        <w:t xml:space="preserve"> </w:t>
      </w:r>
      <w:r>
        <w:t xml:space="preserve">“Loudness, Its Definition, Measurement and Calculation*.”</w:t>
      </w:r>
      <w:r>
        <w:t xml:space="preserve"> </w:t>
      </w:r>
      <w:r>
        <w:rPr>
          <w:iCs/>
          <w:i/>
        </w:rPr>
        <w:t xml:space="preserve">Bell System Technical Journal</w:t>
      </w:r>
      <w:r>
        <w:t xml:space="preserve"> </w:t>
      </w:r>
      <w:r>
        <w:t xml:space="preserve">12 (4): 377–430.</w:t>
      </w:r>
      <w:r>
        <w:t xml:space="preserve"> </w:t>
      </w:r>
      <w:hyperlink r:id="rId107">
        <w:r>
          <w:rPr>
            <w:rStyle w:val="Hyperlink"/>
          </w:rPr>
          <w:t xml:space="preserve">https://doi.org/10.1002/j.1538-7305.1933.tb00403.x</w:t>
        </w:r>
      </w:hyperlink>
      <w:r>
        <w:t xml:space="preserve">.</w:t>
      </w:r>
    </w:p>
    <w:bookmarkEnd w:id="108"/>
    <w:bookmarkStart w:id="110"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Cs/>
          <w:i/>
        </w:rPr>
        <w:t xml:space="preserve">Acta Acustica United with Acustica</w:t>
      </w:r>
      <w:r>
        <w:t xml:space="preserve"> </w:t>
      </w:r>
      <w:r>
        <w:t xml:space="preserve">83 (5): 765–74.</w:t>
      </w:r>
      <w:r>
        <w:t xml:space="preserve"> </w:t>
      </w:r>
      <w:hyperlink r:id="rId109">
        <w:r>
          <w:rPr>
            <w:rStyle w:val="Hyperlink"/>
          </w:rPr>
          <w:t xml:space="preserve">https://www.ingentaconnect.com/content/dav/aaua/1997/00000083/00000005/art00007</w:t>
        </w:r>
      </w:hyperlink>
      <w:r>
        <w:t xml:space="preserve">.</w:t>
      </w:r>
    </w:p>
    <w:bookmarkEnd w:id="110"/>
    <w:bookmarkStart w:id="112"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Cs/>
          <w:i/>
        </w:rPr>
        <w:t xml:space="preserve">The Journal of the Acoustical Society of America</w:t>
      </w:r>
      <w:r>
        <w:t xml:space="preserve"> </w:t>
      </w:r>
      <w:r>
        <w:t xml:space="preserve">82 (5): 1700–1705.</w:t>
      </w:r>
      <w:r>
        <w:t xml:space="preserve"> </w:t>
      </w:r>
      <w:hyperlink r:id="rId111">
        <w:r>
          <w:rPr>
            <w:rStyle w:val="Hyperlink"/>
          </w:rPr>
          <w:t xml:space="preserve">https://doi.org/10.1121/1.395162</w:t>
        </w:r>
      </w:hyperlink>
      <w:r>
        <w:t xml:space="preserve">.</w:t>
      </w:r>
    </w:p>
    <w:bookmarkEnd w:id="112"/>
    <w:bookmarkStart w:id="113"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13"/>
    <w:bookmarkStart w:id="114"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14"/>
    <w:bookmarkStart w:id="116" w:name="ref-Kang2006Urban"/>
    <w:p>
      <w:pPr>
        <w:pStyle w:val="Bibliography"/>
      </w:pPr>
      <w:r>
        <w:t xml:space="preserve">Kang, Jian. 2006.</w:t>
      </w:r>
      <w:r>
        <w:t xml:space="preserve"> </w:t>
      </w:r>
      <w:r>
        <w:rPr>
          <w:iCs/>
          <w:i/>
        </w:rPr>
        <w:t xml:space="preserve">Urban</w:t>
      </w:r>
      <w:r>
        <w:rPr>
          <w:iCs/>
          <w:i/>
        </w:rPr>
        <w:t xml:space="preserve"> </w:t>
      </w:r>
      <w:r>
        <w:rPr>
          <w:iCs/>
          <w:i/>
        </w:rPr>
        <w:t xml:space="preserve">S</w:t>
      </w:r>
      <w:r>
        <w:rPr>
          <w:iCs/>
          <w:i/>
        </w:rPr>
        <w:t xml:space="preserve">ound</w:t>
      </w:r>
      <w:r>
        <w:rPr>
          <w:iCs/>
          <w:i/>
        </w:rPr>
        <w:t xml:space="preserve"> </w:t>
      </w:r>
      <w:r>
        <w:rPr>
          <w:iCs/>
          <w:i/>
        </w:rPr>
        <w:t xml:space="preserve">E</w:t>
      </w:r>
      <w:r>
        <w:rPr>
          <w:iCs/>
          <w:i/>
        </w:rPr>
        <w:t xml:space="preserve">nvironment</w:t>
      </w:r>
      <w:r>
        <w:t xml:space="preserve">.</w:t>
      </w:r>
      <w:r>
        <w:t xml:space="preserve"> </w:t>
      </w:r>
      <w:r>
        <w:t xml:space="preserve">CRC</w:t>
      </w:r>
      <w:r>
        <w:t xml:space="preserve"> </w:t>
      </w:r>
      <w:r>
        <w:t xml:space="preserve">Press.</w:t>
      </w:r>
      <w:r>
        <w:t xml:space="preserve"> </w:t>
      </w:r>
      <w:hyperlink r:id="rId115">
        <w:r>
          <w:rPr>
            <w:rStyle w:val="Hyperlink"/>
          </w:rPr>
          <w:t xml:space="preserve">https://doi.org/10.1201/9781482265613</w:t>
        </w:r>
      </w:hyperlink>
      <w:r>
        <w:t xml:space="preserve">.</w:t>
      </w:r>
    </w:p>
    <w:bookmarkEnd w:id="116"/>
    <w:bookmarkStart w:id="117" w:name="ref-Kang2023Soundscape"/>
    <w:p>
      <w:pPr>
        <w:pStyle w:val="Bibliography"/>
      </w:pPr>
      <w:r>
        <w:t xml:space="preserve">———. 2023.</w:t>
      </w:r>
      <w:r>
        <w:t xml:space="preserve"> </w:t>
      </w:r>
      <w:r>
        <w:t xml:space="preserve">“Soundscape in City and Built Environment: Current Developments and Design Potentials.”</w:t>
      </w:r>
      <w:r>
        <w:t xml:space="preserve"> </w:t>
      </w:r>
      <w:r>
        <w:rPr>
          <w:iCs/>
          <w:i/>
        </w:rPr>
        <w:t xml:space="preserve">City and Built Environment</w:t>
      </w:r>
      <w:r>
        <w:t xml:space="preserve"> </w:t>
      </w:r>
      <w:r>
        <w:t xml:space="preserve">1 (1): 1.</w:t>
      </w:r>
    </w:p>
    <w:bookmarkEnd w:id="117"/>
    <w:bookmarkStart w:id="119"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Cs/>
          <w:i/>
        </w:rPr>
        <w:t xml:space="preserve">Environments</w:t>
      </w:r>
      <w:r>
        <w:t xml:space="preserve"> </w:t>
      </w:r>
      <w:r>
        <w:t xml:space="preserve">5 (5): 58.</w:t>
      </w:r>
      <w:r>
        <w:t xml:space="preserve"> </w:t>
      </w:r>
      <w:hyperlink r:id="rId118">
        <w:r>
          <w:rPr>
            <w:rStyle w:val="Hyperlink"/>
          </w:rPr>
          <w:t xml:space="preserve">https://doi.org/10.3390/environments5050058</w:t>
        </w:r>
      </w:hyperlink>
      <w:r>
        <w:t xml:space="preserve">.</w:t>
      </w:r>
    </w:p>
    <w:bookmarkEnd w:id="119"/>
    <w:bookmarkStart w:id="121"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Cs/>
          <w:i/>
        </w:rPr>
        <w:t xml:space="preserve">Proceedings of the 23rd International Congress on Acoustics</w:t>
      </w:r>
      <w:r>
        <w:t xml:space="preserve">, integrating 4th EAA Euroregio 2019 : 9-13 September 2019:2488–95. Aachen: RWTH Aachen University.</w:t>
      </w:r>
      <w:r>
        <w:t xml:space="preserve"> </w:t>
      </w:r>
      <w:hyperlink r:id="rId120">
        <w:r>
          <w:rPr>
            <w:rStyle w:val="Hyperlink"/>
          </w:rPr>
          <w:t xml:space="preserve">https://doi.org/10.18154/RWTH-CONV-239249</w:t>
        </w:r>
      </w:hyperlink>
      <w:r>
        <w:t xml:space="preserve">.</w:t>
      </w:r>
    </w:p>
    <w:bookmarkEnd w:id="121"/>
    <w:bookmarkStart w:id="123"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Cs/>
          <w:i/>
        </w:rPr>
        <w:t xml:space="preserve">Science of The Total Environment</w:t>
      </w:r>
      <w:r>
        <w:t xml:space="preserve"> </w:t>
      </w:r>
      <w:r>
        <w:t xml:space="preserve">855 (January): 158868.</w:t>
      </w:r>
      <w:r>
        <w:t xml:space="preserve"> </w:t>
      </w:r>
      <w:hyperlink r:id="rId122">
        <w:r>
          <w:rPr>
            <w:rStyle w:val="Hyperlink"/>
          </w:rPr>
          <w:t xml:space="preserve">https://doi.org/10.1016/j.scitotenv.2022.158868</w:t>
        </w:r>
      </w:hyperlink>
      <w:r>
        <w:t xml:space="preserve">.</w:t>
      </w:r>
    </w:p>
    <w:bookmarkEnd w:id="123"/>
    <w:bookmarkStart w:id="124" w:name="ref-Kang2016Soundscape"/>
    <w:p>
      <w:pPr>
        <w:pStyle w:val="Bibliography"/>
      </w:pPr>
      <w:r>
        <w:t xml:space="preserve">Kang, Jian, and Brigitte Schulte-Fortkamp, eds. 2016.</w:t>
      </w:r>
      <w:r>
        <w:t xml:space="preserve"> </w:t>
      </w:r>
      <w:r>
        <w:rPr>
          <w:iCs/>
          <w:i/>
        </w:rPr>
        <w:t xml:space="preserve">Soundscape and the</w:t>
      </w:r>
      <w:r>
        <w:rPr>
          <w:iCs/>
          <w:i/>
        </w:rPr>
        <w:t xml:space="preserve"> </w:t>
      </w:r>
      <w:r>
        <w:rPr>
          <w:iCs/>
          <w:i/>
        </w:rPr>
        <w:t xml:space="preserve">B</w:t>
      </w:r>
      <w:r>
        <w:rPr>
          <w:iCs/>
          <w:i/>
        </w:rPr>
        <w:t xml:space="preserve">uilt</w:t>
      </w:r>
      <w:r>
        <w:rPr>
          <w:iCs/>
          <w:i/>
        </w:rPr>
        <w:t xml:space="preserve"> </w:t>
      </w:r>
      <w:r>
        <w:rPr>
          <w:iCs/>
          <w:i/>
        </w:rPr>
        <w:t xml:space="preserve">E</w:t>
      </w:r>
      <w:r>
        <w:rPr>
          <w:iCs/>
          <w:i/>
        </w:rPr>
        <w:t xml:space="preserve">nvironment</w:t>
      </w:r>
      <w:r>
        <w:t xml:space="preserve">. Boca Raton, FL: CRC Press.</w:t>
      </w:r>
    </w:p>
    <w:bookmarkEnd w:id="124"/>
    <w:bookmarkStart w:id="126"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Cs/>
          <w:i/>
        </w:rPr>
        <w:t xml:space="preserve">Science of The Total Environment</w:t>
      </w:r>
      <w:r>
        <w:t xml:space="preserve"> </w:t>
      </w:r>
      <w:r>
        <w:t xml:space="preserve">642 (November): 463–72.</w:t>
      </w:r>
      <w:r>
        <w:t xml:space="preserve"> </w:t>
      </w:r>
      <w:hyperlink r:id="rId125">
        <w:r>
          <w:rPr>
            <w:rStyle w:val="Hyperlink"/>
          </w:rPr>
          <w:t xml:space="preserve">https://doi.org/10.1016/j.scitotenv.2018.06.023</w:t>
        </w:r>
      </w:hyperlink>
      <w:r>
        <w:t xml:space="preserve">.</w:t>
      </w:r>
    </w:p>
    <w:bookmarkEnd w:id="126"/>
    <w:bookmarkStart w:id="127" w:name="ref-Kryter1970Effects"/>
    <w:p>
      <w:pPr>
        <w:pStyle w:val="Bibliography"/>
      </w:pPr>
      <w:r>
        <w:t xml:space="preserve">Kryter, Karl D. 1970.</w:t>
      </w:r>
      <w:r>
        <w:t xml:space="preserve"> </w:t>
      </w:r>
      <w:r>
        <w:rPr>
          <w:iCs/>
          <w:i/>
        </w:rPr>
        <w:t xml:space="preserve">The Effects of Noise on Man</w:t>
      </w:r>
      <w:r>
        <w:t xml:space="preserve">. Edited by Douglas H. K. Lee, E. Wendell Hewson, and C. Fred Gurnham. Burlington: Elsevier Science.</w:t>
      </w:r>
    </w:p>
    <w:bookmarkEnd w:id="127"/>
    <w:bookmarkStart w:id="129"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Cs/>
          <w:i/>
        </w:rPr>
        <w:t xml:space="preserve">Applied Acoustics</w:t>
      </w:r>
      <w:r>
        <w:t xml:space="preserve"> </w:t>
      </w:r>
      <w:r>
        <w:t xml:space="preserve">170 (June).</w:t>
      </w:r>
      <w:r>
        <w:t xml:space="preserve"> </w:t>
      </w:r>
      <w:hyperlink r:id="rId128">
        <w:r>
          <w:rPr>
            <w:rStyle w:val="Hyperlink"/>
          </w:rPr>
          <w:t xml:space="preserve">https://doi.org/10.1016/j.apacoust.2020.107479</w:t>
        </w:r>
      </w:hyperlink>
      <w:r>
        <w:t xml:space="preserve">.</w:t>
      </w:r>
    </w:p>
    <w:bookmarkEnd w:id="129"/>
    <w:bookmarkStart w:id="131"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30">
        <w:r>
          <w:rPr>
            <w:rStyle w:val="Hyperlink"/>
          </w:rPr>
          <w:t xml:space="preserve">https://doi.org/10.13140/RG.2.2.15590.50245</w:t>
        </w:r>
      </w:hyperlink>
      <w:r>
        <w:t xml:space="preserve">.</w:t>
      </w:r>
    </w:p>
    <w:bookmarkEnd w:id="131"/>
    <w:bookmarkStart w:id="133" w:name="ref-Mitchell2023Testing"/>
    <w:p>
      <w:pPr>
        <w:pStyle w:val="Bibliography"/>
      </w:pPr>
      <w:r>
        <w:t xml:space="preserve">Mitchell, Andrew, and Francesco Aletta. 2023.</w:t>
      </w:r>
      <w:r>
        <w:t xml:space="preserve"> </w:t>
      </w:r>
      <w:r>
        <w:t xml:space="preserve">“Testing and Adjusting Soundscape Circumplex Translations.”</w:t>
      </w:r>
      <w:r>
        <w:t xml:space="preserve"> </w:t>
      </w:r>
      <w:r>
        <w:rPr>
          <w:iCs/>
          <w:i/>
        </w:rPr>
        <w:t xml:space="preserve">OSF Preprints</w:t>
      </w:r>
      <w:r>
        <w:t xml:space="preserve">.</w:t>
      </w:r>
      <w:r>
        <w:t xml:space="preserve"> </w:t>
      </w:r>
      <w:hyperlink r:id="rId132">
        <w:r>
          <w:rPr>
            <w:rStyle w:val="Hyperlink"/>
          </w:rPr>
          <w:t xml:space="preserve">https://doi.org/10.17605/OSF.IO/JVNA2</w:t>
        </w:r>
      </w:hyperlink>
      <w:r>
        <w:t xml:space="preserve">.</w:t>
      </w:r>
    </w:p>
    <w:bookmarkEnd w:id="133"/>
    <w:bookmarkStart w:id="135"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Cs/>
          <w:i/>
        </w:rPr>
        <w:t xml:space="preserve">JASA Express Letters</w:t>
      </w:r>
      <w:r>
        <w:t xml:space="preserve"> </w:t>
      </w:r>
      <w:r>
        <w:t xml:space="preserve">2 (3): 037201.</w:t>
      </w:r>
      <w:r>
        <w:t xml:space="preserve"> </w:t>
      </w:r>
      <w:hyperlink r:id="rId134">
        <w:r>
          <w:rPr>
            <w:rStyle w:val="Hyperlink"/>
          </w:rPr>
          <w:t xml:space="preserve">https://doi.org/10.1121/10.0009794</w:t>
        </w:r>
      </w:hyperlink>
      <w:r>
        <w:t xml:space="preserve">.</w:t>
      </w:r>
    </w:p>
    <w:bookmarkEnd w:id="135"/>
    <w:bookmarkStart w:id="136"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Cs/>
          <w:i/>
        </w:rPr>
        <w:t xml:space="preserve">INTER-NOISE 2023 Conference</w:t>
      </w:r>
      <w:r>
        <w:t xml:space="preserve">. Chiba, Greater Tokyo.</w:t>
      </w:r>
    </w:p>
    <w:bookmarkEnd w:id="136"/>
    <w:bookmarkStart w:id="137"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64">
        <w:r>
          <w:rPr>
            <w:rStyle w:val="Hyperlink"/>
          </w:rPr>
          <w:t xml:space="preserve">https://doi.org/10.5281/zenodo.10672568</w:t>
        </w:r>
      </w:hyperlink>
      <w:r>
        <w:t xml:space="preserve">.</w:t>
      </w:r>
    </w:p>
    <w:bookmarkEnd w:id="137"/>
    <w:bookmarkStart w:id="139"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Cs/>
          <w:i/>
        </w:rPr>
        <w:t xml:space="preserve">Applied Sciences</w:t>
      </w:r>
      <w:r>
        <w:t xml:space="preserve"> </w:t>
      </w:r>
      <w:r>
        <w:t xml:space="preserve">10 (7): 2397.</w:t>
      </w:r>
      <w:r>
        <w:t xml:space="preserve"> </w:t>
      </w:r>
      <w:hyperlink r:id="rId138">
        <w:r>
          <w:rPr>
            <w:rStyle w:val="Hyperlink"/>
          </w:rPr>
          <w:t xml:space="preserve">https://doi.org/10.3390/app10072397</w:t>
        </w:r>
      </w:hyperlink>
      <w:r>
        <w:t xml:space="preserve">.</w:t>
      </w:r>
    </w:p>
    <w:bookmarkEnd w:id="139"/>
    <w:bookmarkStart w:id="141"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Cs/>
          <w:i/>
        </w:rPr>
        <w:t xml:space="preserve">ICASSP</w:t>
      </w:r>
      <w:r>
        <w:rPr>
          <w:iCs/>
          <w:i/>
        </w:rPr>
        <w:t xml:space="preserve"> </w:t>
      </w:r>
      <w:r>
        <w:rPr>
          <w:iCs/>
          <w:i/>
        </w:rPr>
        <w:t xml:space="preserve">2022 - 2022</w:t>
      </w:r>
      <w:r>
        <w:rPr>
          <w:iCs/>
          <w:i/>
        </w:rPr>
        <w:t xml:space="preserve"> </w:t>
      </w:r>
      <w:r>
        <w:rPr>
          <w:iCs/>
          <w:i/>
        </w:rPr>
        <w:t xml:space="preserve">IEEE</w:t>
      </w:r>
      <w:r>
        <w:rPr>
          <w:iCs/>
          <w:i/>
        </w:rPr>
        <w:t xml:space="preserve"> </w:t>
      </w:r>
      <w:r>
        <w:rPr>
          <w:iCs/>
          <w:i/>
        </w:rPr>
        <w:t xml:space="preserve">International Conference on Acoustics, Speech and Signal Processing (</w:t>
      </w:r>
      <w:r>
        <w:rPr>
          <w:iCs/>
          <w:i/>
        </w:rPr>
        <w:t xml:space="preserve">ICASSP</w:t>
      </w:r>
      <w:r>
        <w:rPr>
          <w:iCs/>
          <w:i/>
        </w:rPr>
        <w:t xml:space="preserve">)</w:t>
      </w:r>
      <w:r>
        <w:t xml:space="preserve">.</w:t>
      </w:r>
      <w:r>
        <w:t xml:space="preserve"> </w:t>
      </w:r>
      <w:r>
        <w:t xml:space="preserve">IEEE</w:t>
      </w:r>
      <w:r>
        <w:t xml:space="preserve">.</w:t>
      </w:r>
      <w:r>
        <w:t xml:space="preserve"> </w:t>
      </w:r>
      <w:hyperlink r:id="rId140">
        <w:r>
          <w:rPr>
            <w:rStyle w:val="Hyperlink"/>
          </w:rPr>
          <w:t xml:space="preserve">https://doi.org/10.1109/icassp43922.2022.9746897</w:t>
        </w:r>
      </w:hyperlink>
      <w:r>
        <w:t xml:space="preserve">.</w:t>
      </w:r>
    </w:p>
    <w:bookmarkEnd w:id="141"/>
    <w:bookmarkStart w:id="143"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Cs/>
          <w:i/>
        </w:rPr>
        <w:t xml:space="preserve">Applied Acoustics</w:t>
      </w:r>
      <w:r>
        <w:t xml:space="preserve"> </w:t>
      </w:r>
      <w:r>
        <w:t xml:space="preserve">68 (1): 58–70.</w:t>
      </w:r>
      <w:r>
        <w:t xml:space="preserve"> </w:t>
      </w:r>
      <w:hyperlink r:id="rId142">
        <w:r>
          <w:rPr>
            <w:rStyle w:val="Hyperlink"/>
          </w:rPr>
          <w:t xml:space="preserve">https://doi.org/10.1016/j.apacoust.2006.02.004</w:t>
        </w:r>
      </w:hyperlink>
      <w:r>
        <w:t xml:space="preserve">.</w:t>
      </w:r>
    </w:p>
    <w:bookmarkEnd w:id="143"/>
    <w:bookmarkStart w:id="145" w:name="ref-RCT2018R"/>
    <w:p>
      <w:pPr>
        <w:pStyle w:val="Bibliography"/>
      </w:pPr>
      <w:r>
        <w:t xml:space="preserve">R Core Team. 2018.</w:t>
      </w:r>
      <w:r>
        <w:t xml:space="preserve"> </w:t>
      </w:r>
      <w:r>
        <w:rPr>
          <w:iCs/>
          <w:i/>
        </w:rPr>
        <w:t xml:space="preserve">R</w:t>
      </w:r>
      <w:r>
        <w:rPr>
          <w:iCs/>
          <w:i/>
        </w:rPr>
        <w:t xml:space="preserve">:</w:t>
      </w:r>
      <w:r>
        <w:rPr>
          <w:iCs/>
          <w:i/>
        </w:rPr>
        <w:t xml:space="preserve"> </w:t>
      </w:r>
      <w:r>
        <w:rPr>
          <w:iCs/>
          <w:i/>
        </w:rPr>
        <w:t xml:space="preserve">A</w:t>
      </w:r>
      <w:r>
        <w:rPr>
          <w:iCs/>
          <w:i/>
        </w:rPr>
        <w:t xml:space="preserve"> </w:t>
      </w:r>
      <w:r>
        <w:rPr>
          <w:iCs/>
          <w:i/>
        </w:rPr>
        <w:t xml:space="preserve">L</w:t>
      </w:r>
      <w:r>
        <w:rPr>
          <w:iCs/>
          <w:i/>
        </w:rPr>
        <w:t xml:space="preserve">anguage and</w:t>
      </w:r>
      <w:r>
        <w:rPr>
          <w:iCs/>
          <w:i/>
        </w:rPr>
        <w:t xml:space="preserve"> </w:t>
      </w:r>
      <w:r>
        <w:rPr>
          <w:iCs/>
          <w:i/>
        </w:rPr>
        <w:t xml:space="preserve">E</w:t>
      </w:r>
      <w:r>
        <w:rPr>
          <w:iCs/>
          <w:i/>
        </w:rPr>
        <w:t xml:space="preserve">nvironment for</w:t>
      </w:r>
      <w:r>
        <w:rPr>
          <w:iCs/>
          <w:i/>
        </w:rPr>
        <w:t xml:space="preserve"> </w:t>
      </w:r>
      <w:r>
        <w:rPr>
          <w:iCs/>
          <w:i/>
        </w:rPr>
        <w:t xml:space="preserve">S</w:t>
      </w:r>
      <w:r>
        <w:rPr>
          <w:iCs/>
          <w:i/>
        </w:rPr>
        <w:t xml:space="preserve">tatistical</w:t>
      </w:r>
      <w:r>
        <w:rPr>
          <w:iCs/>
          <w:i/>
        </w:rPr>
        <w:t xml:space="preserve"> </w:t>
      </w:r>
      <w:r>
        <w:rPr>
          <w:iCs/>
          <w:i/>
        </w:rPr>
        <w:t xml:space="preserve">C</w:t>
      </w:r>
      <w:r>
        <w:rPr>
          <w:iCs/>
          <w:i/>
        </w:rPr>
        <w:t xml:space="preserve">omputing</w:t>
      </w:r>
      <w:r>
        <w:t xml:space="preserve">. Vienna, Austria: R Foundation for Statistical Computing.</w:t>
      </w:r>
      <w:r>
        <w:t xml:space="preserve"> </w:t>
      </w:r>
      <w:hyperlink r:id="rId144">
        <w:r>
          <w:rPr>
            <w:rStyle w:val="Hyperlink"/>
          </w:rPr>
          <w:t xml:space="preserve">https://www.R-project.org/</w:t>
        </w:r>
      </w:hyperlink>
      <w:r>
        <w:t xml:space="preserve">.</w:t>
      </w:r>
    </w:p>
    <w:bookmarkEnd w:id="145"/>
    <w:bookmarkStart w:id="147" w:name="ref-Russell1980circumplex"/>
    <w:p>
      <w:pPr>
        <w:pStyle w:val="Bibliography"/>
      </w:pPr>
      <w:r>
        <w:t xml:space="preserve">Russell, James A. 1980.</w:t>
      </w:r>
      <w:r>
        <w:t xml:space="preserve"> </w:t>
      </w:r>
      <w:r>
        <w:t xml:space="preserve">“A Circumplex Model of Affect.”</w:t>
      </w:r>
      <w:r>
        <w:t xml:space="preserve"> </w:t>
      </w:r>
      <w:r>
        <w:rPr>
          <w:iCs/>
          <w:i/>
        </w:rPr>
        <w:t xml:space="preserve">Journal of Personality and Social Psychology</w:t>
      </w:r>
      <w:r>
        <w:t xml:space="preserve"> </w:t>
      </w:r>
      <w:r>
        <w:t xml:space="preserve">39 (6): 1161.</w:t>
      </w:r>
      <w:r>
        <w:t xml:space="preserve"> </w:t>
      </w:r>
      <w:hyperlink r:id="rId146">
        <w:r>
          <w:rPr>
            <w:rStyle w:val="Hyperlink"/>
          </w:rPr>
          <w:t xml:space="preserve">https://doi.org/10.1037/h0077714</w:t>
        </w:r>
      </w:hyperlink>
      <w:r>
        <w:t xml:space="preserve">.</w:t>
      </w:r>
    </w:p>
    <w:bookmarkEnd w:id="147"/>
    <w:bookmarkStart w:id="149" w:name="ref-SchulteFortkamp2023Soundscapes"/>
    <w:p>
      <w:pPr>
        <w:pStyle w:val="Bibliography"/>
      </w:pPr>
      <w:r>
        <w:t xml:space="preserve">Schulte-Fortkamp, Brigitte, André Fiebig, Joseph A. Sisneros, Arthur N. Popper, and Richard R. Fay, eds. 2023.</w:t>
      </w:r>
      <w:r>
        <w:t xml:space="preserve"> </w:t>
      </w:r>
      <w:r>
        <w:rPr>
          <w:iCs/>
          <w:i/>
        </w:rPr>
        <w:t xml:space="preserve">Soundscapes:</w:t>
      </w:r>
      <w:r>
        <w:rPr>
          <w:iCs/>
          <w:i/>
        </w:rPr>
        <w:t xml:space="preserve"> </w:t>
      </w:r>
      <w:r>
        <w:rPr>
          <w:iCs/>
          <w:i/>
        </w:rPr>
        <w:t xml:space="preserve">H</w:t>
      </w:r>
      <w:r>
        <w:rPr>
          <w:iCs/>
          <w:i/>
        </w:rPr>
        <w:t xml:space="preserve">umans and</w:t>
      </w:r>
      <w:r>
        <w:rPr>
          <w:iCs/>
          <w:i/>
        </w:rPr>
        <w:t xml:space="preserve"> </w:t>
      </w:r>
      <w:r>
        <w:rPr>
          <w:iCs/>
          <w:i/>
        </w:rPr>
        <w:t xml:space="preserve">T</w:t>
      </w:r>
      <w:r>
        <w:rPr>
          <w:iCs/>
          <w:i/>
        </w:rPr>
        <w:t xml:space="preserve">heir</w:t>
      </w:r>
      <w:r>
        <w:rPr>
          <w:iCs/>
          <w:i/>
        </w:rPr>
        <w:t xml:space="preserve"> </w:t>
      </w:r>
      <w:r>
        <w:rPr>
          <w:iCs/>
          <w:i/>
        </w:rPr>
        <w:t xml:space="preserve">A</w:t>
      </w:r>
      <w:r>
        <w:rPr>
          <w:iCs/>
          <w:i/>
        </w:rPr>
        <w:t xml:space="preserve">coustic</w:t>
      </w:r>
      <w:r>
        <w:rPr>
          <w:iCs/>
          <w:i/>
        </w:rPr>
        <w:t xml:space="preserve"> </w:t>
      </w:r>
      <w:r>
        <w:rPr>
          <w:iCs/>
          <w:i/>
        </w:rPr>
        <w:t xml:space="preserve">E</w:t>
      </w:r>
      <w:r>
        <w:rPr>
          <w:iCs/>
          <w:i/>
        </w:rPr>
        <w:t xml:space="preserve">nvironment</w:t>
      </w:r>
      <w:r>
        <w:t xml:space="preserve">. Springer International Publishing.</w:t>
      </w:r>
      <w:r>
        <w:t xml:space="preserve"> </w:t>
      </w:r>
      <w:hyperlink r:id="rId148">
        <w:r>
          <w:rPr>
            <w:rStyle w:val="Hyperlink"/>
          </w:rPr>
          <w:t xml:space="preserve">https://doi.org/10.1007/978-3-031-22779-0</w:t>
        </w:r>
      </w:hyperlink>
      <w:r>
        <w:t xml:space="preserve">.</w:t>
      </w:r>
    </w:p>
    <w:bookmarkEnd w:id="149"/>
    <w:bookmarkStart w:id="151"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Cs/>
          <w:i/>
        </w:rPr>
        <w:t xml:space="preserve">The Journal of the Acoustical Society of America</w:t>
      </w:r>
      <w:r>
        <w:t xml:space="preserve"> </w:t>
      </w:r>
      <w:r>
        <w:t xml:space="preserve">134 (1): 765–66.</w:t>
      </w:r>
      <w:r>
        <w:t xml:space="preserve"> </w:t>
      </w:r>
      <w:hyperlink r:id="rId150">
        <w:r>
          <w:rPr>
            <w:rStyle w:val="Hyperlink"/>
          </w:rPr>
          <w:t xml:space="preserve">https://doi.org/10.1121/1.4810760</w:t>
        </w:r>
      </w:hyperlink>
      <w:r>
        <w:t xml:space="preserve">.</w:t>
      </w:r>
    </w:p>
    <w:bookmarkEnd w:id="151"/>
    <w:bookmarkStart w:id="152"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Cs/>
          <w:i/>
        </w:rPr>
        <w:t xml:space="preserve">Ecological Indicators</w:t>
      </w:r>
      <w:r>
        <w:t xml:space="preserve"> </w:t>
      </w:r>
      <w:r>
        <w:t xml:space="preserve">154: 110725.</w:t>
      </w:r>
    </w:p>
    <w:bookmarkEnd w:id="152"/>
    <w:bookmarkStart w:id="154"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Cs/>
          <w:i/>
        </w:rPr>
        <w:t xml:space="preserve">Ecological Indicators</w:t>
      </w:r>
      <w:r>
        <w:t xml:space="preserve"> </w:t>
      </w:r>
      <w:r>
        <w:t xml:space="preserve">155 (November): 110940.</w:t>
      </w:r>
      <w:r>
        <w:t xml:space="preserve"> </w:t>
      </w:r>
      <w:hyperlink r:id="rId153">
        <w:r>
          <w:rPr>
            <w:rStyle w:val="Hyperlink"/>
          </w:rPr>
          <w:t xml:space="preserve">https://doi.org/10.1016/j.ecolind.2023.110940</w:t>
        </w:r>
      </w:hyperlink>
      <w:r>
        <w:t xml:space="preserve">.</w:t>
      </w:r>
    </w:p>
    <w:bookmarkEnd w:id="154"/>
    <w:bookmarkStart w:id="156"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Cs/>
          <w:i/>
        </w:rPr>
        <w:t xml:space="preserve">Science of The Total Environment</w:t>
      </w:r>
      <w:r>
        <w:t xml:space="preserve"> </w:t>
      </w:r>
      <w:r>
        <w:t xml:space="preserve">802 (January): 149869.</w:t>
      </w:r>
      <w:r>
        <w:t xml:space="preserve"> </w:t>
      </w:r>
      <w:hyperlink r:id="rId155">
        <w:r>
          <w:rPr>
            <w:rStyle w:val="Hyperlink"/>
          </w:rPr>
          <w:t xml:space="preserve">https://doi.org/10.1016/j.scitotenv.2021.149869</w:t>
        </w:r>
      </w:hyperlink>
      <w:r>
        <w:t xml:space="preserve">.</w:t>
      </w:r>
    </w:p>
    <w:bookmarkEnd w:id="156"/>
    <w:bookmarkStart w:id="158" w:name="ref-Zwicker2007Psychoacoustics"/>
    <w:p>
      <w:pPr>
        <w:pStyle w:val="Bibliography"/>
      </w:pPr>
      <w:r>
        <w:t xml:space="preserve">Zwicker, Eberhard, and Hugo Fastl. 2007.</w:t>
      </w:r>
      <w:r>
        <w:t xml:space="preserve"> </w:t>
      </w:r>
      <w:r>
        <w:rPr>
          <w:iCs/>
          <w:i/>
        </w:rPr>
        <w:t xml:space="preserve">Psychoacoustics: facts and models</w:t>
      </w:r>
      <w:r>
        <w:t xml:space="preserve">. Third ed. Berlin ; New York: Springer.</w:t>
      </w:r>
      <w:r>
        <w:t xml:space="preserve"> </w:t>
      </w:r>
      <w:hyperlink r:id="rId157">
        <w:r>
          <w:rPr>
            <w:rStyle w:val="Hyperlink"/>
          </w:rPr>
          <w:t xml:space="preserve">https://doi.org/10.1007/978-3-540-68888-4</w:t>
        </w:r>
      </w:hyperlink>
      <w:r>
        <w:t xml:space="preserve">.</w:t>
      </w:r>
    </w:p>
    <w:bookmarkEnd w:id="158"/>
    <w:bookmarkEnd w:id="159"/>
    <w:bookmarkEnd w:id="1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w:t>
      </w:r>
      <w:r>
        <w:t xml:space="preserve">direct parameters</w:t>
      </w:r>
      <w:r>
        <w:t xml:space="preserve">’</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t>
      </w:r>
      <w:r>
        <w:t xml:space="preserve">while any choice of the DP components is admissible, the same is not true for CP</w:t>
      </w:r>
      <w:r>
        <w:t xml:space="preserve">”</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60">
    <w:p>
      <w:pPr>
        <w:pStyle w:val="FootnoteText"/>
      </w:pPr>
      <w:r>
        <w:rPr>
          <w:rStyle w:val="FootnoteReference"/>
        </w:rPr>
        <w:footnoteRef/>
      </w:r>
      <w:r>
        <w:t xml:space="preserve"> </w:t>
      </w:r>
      <w:r>
        <w:t xml:space="preserve">See</w:t>
      </w:r>
      <w:r>
        <w:t xml:space="preserve"> </w:t>
      </w:r>
      <w:hyperlink r:id="rId61">
        <w:r>
          <w:rPr>
            <w:rStyle w:val="Hyperlink"/>
          </w:rPr>
          <w:t xml:space="preserve">https://cordis.europa.eu/project/id/740696/factsheet</w:t>
        </w:r>
      </w:hyperlink>
      <w:r>
        <w:t xml:space="preserve"> </w:t>
      </w:r>
      <w:r>
        <w:t xml:space="preserve">(Last viewed 2024-05-28).</w:t>
      </w:r>
    </w:p>
  </w:footnote>
  <w:footnote w:id="63">
    <w:p>
      <w:pPr>
        <w:pStyle w:val="FootnoteText"/>
      </w:pPr>
      <w:r>
        <w:rPr>
          <w:rStyle w:val="FootnoteReference"/>
        </w:rPr>
        <w:footnoteRef/>
      </w:r>
      <w:r>
        <w:t xml:space="preserve"> </w:t>
      </w:r>
      <w:r>
        <w:t xml:space="preserve">See</w:t>
      </w:r>
      <w:r>
        <w:t xml:space="preserve"> </w:t>
      </w:r>
      <w:hyperlink r:id="rId64">
        <w:r>
          <w:rPr>
            <w:rStyle w:val="Hyperlink"/>
          </w:rPr>
          <w:t xml:space="preserve">https://doi.org/10.5281/zenodo.10672568</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https://github.com/MitchellAcoustics/Soundscapy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88" Target="http://azzalini.stat.unipd.it/SN/how_to_sample.pdf" TargetMode="External" /><Relationship Type="http://schemas.openxmlformats.org/officeDocument/2006/relationships/hyperlink" Id="rId90" Target="http://www.jstor.org/stable/2337278" TargetMode="External" /><Relationship Type="http://schemas.openxmlformats.org/officeDocument/2006/relationships/hyperlink" Id="rId61" Target="https://cordis.europa.eu/project/id/740696/factsheet" TargetMode="External" /><Relationship Type="http://schemas.openxmlformats.org/officeDocument/2006/relationships/hyperlink" Id="rId82" Target="https://cran.r-project.org/package=sn" TargetMode="External" /><Relationship Type="http://schemas.openxmlformats.org/officeDocument/2006/relationships/hyperlink" Id="rId107" Target="https://doi.org/10.1002/j.1538-7305.1933.tb00403.x" TargetMode="External" /><Relationship Type="http://schemas.openxmlformats.org/officeDocument/2006/relationships/hyperlink" Id="rId148" Target="https://doi.org/10.1007/978-3-031-22779-0" TargetMode="External" /><Relationship Type="http://schemas.openxmlformats.org/officeDocument/2006/relationships/hyperlink" Id="rId157" Target="https://doi.org/10.1007/978-3-540-68888-4" TargetMode="External" /><Relationship Type="http://schemas.openxmlformats.org/officeDocument/2006/relationships/hyperlink" Id="rId75" Target="https://doi.org/10.1007/s40726-023-00283-6" TargetMode="External" /><Relationship Type="http://schemas.openxmlformats.org/officeDocument/2006/relationships/hyperlink" Id="rId142" Target="https://doi.org/10.1016/j.apacoust.2006.02.004" TargetMode="External" /><Relationship Type="http://schemas.openxmlformats.org/officeDocument/2006/relationships/hyperlink" Id="rId128" Target="https://doi.org/10.1016/j.apacoust.2020.107479" TargetMode="External" /><Relationship Type="http://schemas.openxmlformats.org/officeDocument/2006/relationships/hyperlink" Id="rId153" Target="https://doi.org/10.1016/j.ecolind.2023.110940" TargetMode="External" /><Relationship Type="http://schemas.openxmlformats.org/officeDocument/2006/relationships/hyperlink" Id="rId71" Target="https://doi.org/10.1016/j.landurbplan.2016.02.001" TargetMode="External" /><Relationship Type="http://schemas.openxmlformats.org/officeDocument/2006/relationships/hyperlink" Id="rId97" Target="https://doi.org/10.1016/j.landurbplan.2023.104870" TargetMode="External" /><Relationship Type="http://schemas.openxmlformats.org/officeDocument/2006/relationships/hyperlink" Id="rId125" Target="https://doi.org/10.1016/j.scitotenv.2018.06.023" TargetMode="External" /><Relationship Type="http://schemas.openxmlformats.org/officeDocument/2006/relationships/hyperlink" Id="rId155" Target="https://doi.org/10.1016/j.scitotenv.2021.149869" TargetMode="External" /><Relationship Type="http://schemas.openxmlformats.org/officeDocument/2006/relationships/hyperlink" Id="rId122" Target="https://doi.org/10.1016/j.scitotenv.2022.158868" TargetMode="External" /><Relationship Type="http://schemas.openxmlformats.org/officeDocument/2006/relationships/hyperlink" Id="rId146" Target="https://doi.org/10.1037/h0077714" TargetMode="External" /><Relationship Type="http://schemas.openxmlformats.org/officeDocument/2006/relationships/hyperlink" Id="rId102" Target="https://doi.org/10.1093/mnras/225.1.155" TargetMode="External" /><Relationship Type="http://schemas.openxmlformats.org/officeDocument/2006/relationships/hyperlink" Id="rId99" Target="https://doi.org/10.1109/4235.996017" TargetMode="External" /><Relationship Type="http://schemas.openxmlformats.org/officeDocument/2006/relationships/hyperlink" Id="rId140" Target="https://doi.org/10.1109/icassp43922.2022.9746897" TargetMode="External" /><Relationship Type="http://schemas.openxmlformats.org/officeDocument/2006/relationships/hyperlink" Id="rId84" Target="https://doi.org/10.1111/1467-9868.00194" TargetMode="External" /><Relationship Type="http://schemas.openxmlformats.org/officeDocument/2006/relationships/hyperlink" Id="rId86" Target="https://doi.org/10.1111/j.1467-9469.2005.00426.x" TargetMode="External" /><Relationship Type="http://schemas.openxmlformats.org/officeDocument/2006/relationships/hyperlink" Id="rId78" Target="https://doi.org/10.1121/1.3493436" TargetMode="External" /><Relationship Type="http://schemas.openxmlformats.org/officeDocument/2006/relationships/hyperlink" Id="rId111" Target="https://doi.org/10.1121/1.395162" TargetMode="External" /><Relationship Type="http://schemas.openxmlformats.org/officeDocument/2006/relationships/hyperlink" Id="rId80" Target="https://doi.org/10.1121/1.4709112" TargetMode="External" /><Relationship Type="http://schemas.openxmlformats.org/officeDocument/2006/relationships/hyperlink" Id="rId150" Target="https://doi.org/10.1121/1.4810760" TargetMode="External" /><Relationship Type="http://schemas.openxmlformats.org/officeDocument/2006/relationships/hyperlink" Id="rId134" Target="https://doi.org/10.1121/10.0009794" TargetMode="External" /><Relationship Type="http://schemas.openxmlformats.org/officeDocument/2006/relationships/hyperlink" Id="rId115" Target="https://doi.org/10.1201/9781482265613" TargetMode="External" /><Relationship Type="http://schemas.openxmlformats.org/officeDocument/2006/relationships/hyperlink" Id="rId130" Target="https://doi.org/10.13140/RG.2.2.15590.50245" TargetMode="External" /><Relationship Type="http://schemas.openxmlformats.org/officeDocument/2006/relationships/hyperlink" Id="rId69" Target="https://doi.org/10.1515/noise-2015-0001" TargetMode="External" /><Relationship Type="http://schemas.openxmlformats.org/officeDocument/2006/relationships/hyperlink" Id="rId132" Target="https://doi.org/10.17605/OSF.IO/JVNA2" TargetMode="External" /><Relationship Type="http://schemas.openxmlformats.org/officeDocument/2006/relationships/hyperlink" Id="rId120" Target="https://doi.org/10.18154/RWTH-CONV-239249" TargetMode="External" /><Relationship Type="http://schemas.openxmlformats.org/officeDocument/2006/relationships/hyperlink" Id="rId138" Target="https://doi.org/10.3390/app10072397" TargetMode="External" /><Relationship Type="http://schemas.openxmlformats.org/officeDocument/2006/relationships/hyperlink" Id="rId118" Target="https://doi.org/10.3390/environments5050058" TargetMode="External" /><Relationship Type="http://schemas.openxmlformats.org/officeDocument/2006/relationships/hyperlink" Id="rId73" Target="https://doi.org/10.3390/ijerph15112392" TargetMode="External" /><Relationship Type="http://schemas.openxmlformats.org/officeDocument/2006/relationships/hyperlink" Id="rId64" Target="https://doi.org/10.5281/zenodo.10672568" TargetMode="External" /><Relationship Type="http://schemas.openxmlformats.org/officeDocument/2006/relationships/hyperlink" Id="rId66" Target="https://github.com/MitchellAcoustics/Soundscapy" TargetMode="External" /><Relationship Type="http://schemas.openxmlformats.org/officeDocument/2006/relationships/hyperlink" Id="rId144" Target="https://www.R-project.org/" TargetMode="External" /><Relationship Type="http://schemas.openxmlformats.org/officeDocument/2006/relationships/hyperlink" Id="rId105" Target="https://www.euronoise2018.eu/docs/papers/482_Euronoise2018.pdf" TargetMode="External" /><Relationship Type="http://schemas.openxmlformats.org/officeDocument/2006/relationships/hyperlink" Id="rId93" Target="https://www.ingentaconnect.com/content/dav/aaua/1997/00000083/00000005/art00005" TargetMode="External" /><Relationship Type="http://schemas.openxmlformats.org/officeDocument/2006/relationships/hyperlink" Id="rId109"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88" Target="http://azzalini.stat.unipd.it/SN/how_to_sample.pdf" TargetMode="External" /><Relationship Type="http://schemas.openxmlformats.org/officeDocument/2006/relationships/hyperlink" Id="rId90" Target="http://www.jstor.org/stable/2337278" TargetMode="External" /><Relationship Type="http://schemas.openxmlformats.org/officeDocument/2006/relationships/hyperlink" Id="rId61" Target="https://cordis.europa.eu/project/id/740696/factsheet" TargetMode="External" /><Relationship Type="http://schemas.openxmlformats.org/officeDocument/2006/relationships/hyperlink" Id="rId82" Target="https://cran.r-project.org/package=sn" TargetMode="External" /><Relationship Type="http://schemas.openxmlformats.org/officeDocument/2006/relationships/hyperlink" Id="rId107" Target="https://doi.org/10.1002/j.1538-7305.1933.tb00403.x" TargetMode="External" /><Relationship Type="http://schemas.openxmlformats.org/officeDocument/2006/relationships/hyperlink" Id="rId148" Target="https://doi.org/10.1007/978-3-031-22779-0" TargetMode="External" /><Relationship Type="http://schemas.openxmlformats.org/officeDocument/2006/relationships/hyperlink" Id="rId157" Target="https://doi.org/10.1007/978-3-540-68888-4" TargetMode="External" /><Relationship Type="http://schemas.openxmlformats.org/officeDocument/2006/relationships/hyperlink" Id="rId75" Target="https://doi.org/10.1007/s40726-023-00283-6" TargetMode="External" /><Relationship Type="http://schemas.openxmlformats.org/officeDocument/2006/relationships/hyperlink" Id="rId142" Target="https://doi.org/10.1016/j.apacoust.2006.02.004" TargetMode="External" /><Relationship Type="http://schemas.openxmlformats.org/officeDocument/2006/relationships/hyperlink" Id="rId128" Target="https://doi.org/10.1016/j.apacoust.2020.107479" TargetMode="External" /><Relationship Type="http://schemas.openxmlformats.org/officeDocument/2006/relationships/hyperlink" Id="rId153" Target="https://doi.org/10.1016/j.ecolind.2023.110940" TargetMode="External" /><Relationship Type="http://schemas.openxmlformats.org/officeDocument/2006/relationships/hyperlink" Id="rId71" Target="https://doi.org/10.1016/j.landurbplan.2016.02.001" TargetMode="External" /><Relationship Type="http://schemas.openxmlformats.org/officeDocument/2006/relationships/hyperlink" Id="rId97" Target="https://doi.org/10.1016/j.landurbplan.2023.104870" TargetMode="External" /><Relationship Type="http://schemas.openxmlformats.org/officeDocument/2006/relationships/hyperlink" Id="rId125" Target="https://doi.org/10.1016/j.scitotenv.2018.06.023" TargetMode="External" /><Relationship Type="http://schemas.openxmlformats.org/officeDocument/2006/relationships/hyperlink" Id="rId155" Target="https://doi.org/10.1016/j.scitotenv.2021.149869" TargetMode="External" /><Relationship Type="http://schemas.openxmlformats.org/officeDocument/2006/relationships/hyperlink" Id="rId122" Target="https://doi.org/10.1016/j.scitotenv.2022.158868" TargetMode="External" /><Relationship Type="http://schemas.openxmlformats.org/officeDocument/2006/relationships/hyperlink" Id="rId146" Target="https://doi.org/10.1037/h0077714" TargetMode="External" /><Relationship Type="http://schemas.openxmlformats.org/officeDocument/2006/relationships/hyperlink" Id="rId102" Target="https://doi.org/10.1093/mnras/225.1.155" TargetMode="External" /><Relationship Type="http://schemas.openxmlformats.org/officeDocument/2006/relationships/hyperlink" Id="rId99" Target="https://doi.org/10.1109/4235.996017" TargetMode="External" /><Relationship Type="http://schemas.openxmlformats.org/officeDocument/2006/relationships/hyperlink" Id="rId140" Target="https://doi.org/10.1109/icassp43922.2022.9746897" TargetMode="External" /><Relationship Type="http://schemas.openxmlformats.org/officeDocument/2006/relationships/hyperlink" Id="rId84" Target="https://doi.org/10.1111/1467-9868.00194" TargetMode="External" /><Relationship Type="http://schemas.openxmlformats.org/officeDocument/2006/relationships/hyperlink" Id="rId86" Target="https://doi.org/10.1111/j.1467-9469.2005.00426.x" TargetMode="External" /><Relationship Type="http://schemas.openxmlformats.org/officeDocument/2006/relationships/hyperlink" Id="rId78" Target="https://doi.org/10.1121/1.3493436" TargetMode="External" /><Relationship Type="http://schemas.openxmlformats.org/officeDocument/2006/relationships/hyperlink" Id="rId111" Target="https://doi.org/10.1121/1.395162" TargetMode="External" /><Relationship Type="http://schemas.openxmlformats.org/officeDocument/2006/relationships/hyperlink" Id="rId80" Target="https://doi.org/10.1121/1.4709112" TargetMode="External" /><Relationship Type="http://schemas.openxmlformats.org/officeDocument/2006/relationships/hyperlink" Id="rId150" Target="https://doi.org/10.1121/1.4810760" TargetMode="External" /><Relationship Type="http://schemas.openxmlformats.org/officeDocument/2006/relationships/hyperlink" Id="rId134" Target="https://doi.org/10.1121/10.0009794" TargetMode="External" /><Relationship Type="http://schemas.openxmlformats.org/officeDocument/2006/relationships/hyperlink" Id="rId115" Target="https://doi.org/10.1201/9781482265613" TargetMode="External" /><Relationship Type="http://schemas.openxmlformats.org/officeDocument/2006/relationships/hyperlink" Id="rId130" Target="https://doi.org/10.13140/RG.2.2.15590.50245" TargetMode="External" /><Relationship Type="http://schemas.openxmlformats.org/officeDocument/2006/relationships/hyperlink" Id="rId69" Target="https://doi.org/10.1515/noise-2015-0001" TargetMode="External" /><Relationship Type="http://schemas.openxmlformats.org/officeDocument/2006/relationships/hyperlink" Id="rId132" Target="https://doi.org/10.17605/OSF.IO/JVNA2" TargetMode="External" /><Relationship Type="http://schemas.openxmlformats.org/officeDocument/2006/relationships/hyperlink" Id="rId120" Target="https://doi.org/10.18154/RWTH-CONV-239249" TargetMode="External" /><Relationship Type="http://schemas.openxmlformats.org/officeDocument/2006/relationships/hyperlink" Id="rId138" Target="https://doi.org/10.3390/app10072397" TargetMode="External" /><Relationship Type="http://schemas.openxmlformats.org/officeDocument/2006/relationships/hyperlink" Id="rId118" Target="https://doi.org/10.3390/environments5050058" TargetMode="External" /><Relationship Type="http://schemas.openxmlformats.org/officeDocument/2006/relationships/hyperlink" Id="rId73" Target="https://doi.org/10.3390/ijerph15112392" TargetMode="External" /><Relationship Type="http://schemas.openxmlformats.org/officeDocument/2006/relationships/hyperlink" Id="rId64" Target="https://doi.org/10.5281/zenodo.10672568" TargetMode="External" /><Relationship Type="http://schemas.openxmlformats.org/officeDocument/2006/relationships/hyperlink" Id="rId66" Target="https://github.com/MitchellAcoustics/Soundscapy" TargetMode="External" /><Relationship Type="http://schemas.openxmlformats.org/officeDocument/2006/relationships/hyperlink" Id="rId144" Target="https://www.R-project.org/" TargetMode="External" /><Relationship Type="http://schemas.openxmlformats.org/officeDocument/2006/relationships/hyperlink" Id="rId105" Target="https://www.euronoise2018.eu/docs/papers/482_Euronoise2018.pdf" TargetMode="External" /><Relationship Type="http://schemas.openxmlformats.org/officeDocument/2006/relationships/hyperlink" Id="rId93" Target="https://www.ingentaconnect.com/content/dav/aaua/1997/00000083/00000005/art00005" TargetMode="External" /><Relationship Type="http://schemas.openxmlformats.org/officeDocument/2006/relationships/hyperlink" Id="rId109"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cp:keywords>Soundscape, Sound perception, index, urban design</cp:keywords>
  <dcterms:created xsi:type="dcterms:W3CDTF">2024-06-25T13:12:50Z</dcterms:created>
  <dcterms:modified xsi:type="dcterms:W3CDTF">2024-06-25T13:12:50Z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model and a distance metric is used to test an assessed soundscape against this target. Applications and implications of this framework are discussed and a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2024-06-25</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