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32.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Soundscape</w:t>
      </w:r>
      <w:r>
        <w:t xml:space="preserve"> </w:t>
      </w:r>
      <w:r>
        <w:t xml:space="preserve">Perception</w:t>
      </w:r>
      <w:r>
        <w:t xml:space="preserve"> </w:t>
      </w:r>
      <w:r>
        <w:t xml:space="preserve">Indices</w:t>
      </w:r>
      <w:r>
        <w:t xml:space="preserve"> </w:t>
      </w:r>
      <w:r>
        <w:t xml:space="preserve">(SPI):</w:t>
      </w:r>
      <w:r>
        <w:t xml:space="preserve"> </w:t>
      </w:r>
      <w:r>
        <w:t xml:space="preserve">Developing</w:t>
      </w:r>
      <w:r>
        <w:t xml:space="preserve"> </w:t>
      </w:r>
      <w:r>
        <w:t xml:space="preserve">context-dependent</w:t>
      </w:r>
      <w:r>
        <w:t xml:space="preserve"> </w:t>
      </w:r>
      <w:r>
        <w:t xml:space="preserve">single</w:t>
      </w:r>
      <w:r>
        <w:t xml:space="preserve"> </w:t>
      </w:r>
      <w:r>
        <w:t xml:space="preserve">value</w:t>
      </w:r>
      <w:r>
        <w:t xml:space="preserve"> </w:t>
      </w:r>
      <w:r>
        <w:t xml:space="preserve">scores</w:t>
      </w:r>
      <w:r>
        <w:t xml:space="preserve"> </w:t>
      </w:r>
      <w:r>
        <w:t xml:space="preserve">of</w:t>
      </w:r>
      <w:r>
        <w:t xml:space="preserve"> </w:t>
      </w:r>
      <w:r>
        <w:t xml:space="preserve">multidimensional</w:t>
      </w:r>
      <w:r>
        <w:t xml:space="preserve"> </w:t>
      </w:r>
      <w:r>
        <w:t xml:space="preserve">soundscape</w:t>
      </w:r>
      <w:r>
        <w:t xml:space="preserve"> </w:t>
      </w:r>
      <w:r>
        <w:t xml:space="preserve">perceptual</w:t>
      </w:r>
      <w:r>
        <w:t xml:space="preserve"> </w:t>
      </w:r>
      <w:r>
        <w:t xml:space="preserve">quality</w:t>
      </w:r>
    </w:p>
    <w:p>
      <w:pPr>
        <w:pStyle w:val="Author"/>
      </w:pPr>
      <w:r>
        <w:t xml:space="preserve">Andrew</w:t>
      </w:r>
      <w:r>
        <w:t xml:space="preserve"> </w:t>
      </w:r>
      <w:r>
        <w:t xml:space="preserve">Mitchell</w:t>
      </w:r>
    </w:p>
    <w:p>
      <w:pPr>
        <w:pStyle w:val="Author"/>
      </w:pPr>
      <w:r>
        <w:t xml:space="preserve">Francesco</w:t>
      </w:r>
      <w:r>
        <w:t xml:space="preserve"> </w:t>
      </w:r>
      <w:r>
        <w:t xml:space="preserve">Aletta</w:t>
      </w:r>
    </w:p>
    <w:p>
      <w:pPr>
        <w:pStyle w:val="Author"/>
      </w:pPr>
      <w:r>
        <w:t xml:space="preserve">Tin</w:t>
      </w:r>
      <w:r>
        <w:t xml:space="preserve"> </w:t>
      </w:r>
      <w:r>
        <w:t xml:space="preserve">Oberman</w:t>
      </w:r>
    </w:p>
    <w:p>
      <w:pPr>
        <w:pStyle w:val="Author"/>
      </w:pPr>
      <w:r>
        <w:t xml:space="preserve">Jian</w:t>
      </w:r>
      <w:r>
        <w:t xml:space="preserve"> </w:t>
      </w:r>
      <w:r>
        <w:t xml:space="preserve">Kang</w:t>
      </w:r>
    </w:p>
    <w:p>
      <w:pPr>
        <w:pStyle w:val="Date"/>
      </w:pPr>
      <w:r>
        <w:t xml:space="preserve">2024-06-06</w:t>
      </w:r>
    </w:p>
    <w:p>
      <w:pPr>
        <w:pStyle w:val="AbstractTitle"/>
      </w:pPr>
      <w:r>
        <w:t xml:space="preserve">Abstract</w:t>
      </w:r>
    </w:p>
    <w:p>
      <w:pPr>
        <w:pStyle w:val="Abstract"/>
      </w:pPr>
      <w:r>
        <w:t xml:space="preserve">The</w:t>
      </w:r>
      <w:r>
        <w:t xml:space="preserve"> </w:t>
      </w:r>
      <w:r>
        <w:t xml:space="preserve">soundscape</w:t>
      </w:r>
      <w:r>
        <w:t xml:space="preserve"> </w:t>
      </w:r>
      <w:r>
        <w:t xml:space="preserve">approach</w:t>
      </w:r>
      <w:r>
        <w:t xml:space="preserve"> </w:t>
      </w:r>
      <w:r>
        <w:t xml:space="preserve">provides</w:t>
      </w:r>
      <w:r>
        <w:t xml:space="preserve"> </w:t>
      </w:r>
      <w:r>
        <w:t xml:space="preserve">a</w:t>
      </w:r>
      <w:r>
        <w:t xml:space="preserve"> </w:t>
      </w:r>
      <w:r>
        <w:t xml:space="preserve">basis</w:t>
      </w:r>
      <w:r>
        <w:t xml:space="preserve"> </w:t>
      </w:r>
      <w:r>
        <w:t xml:space="preserve">for</w:t>
      </w:r>
      <w:r>
        <w:t xml:space="preserve"> </w:t>
      </w:r>
      <w:r>
        <w:t xml:space="preserve">considering</w:t>
      </w:r>
      <w:r>
        <w:t xml:space="preserve"> </w:t>
      </w:r>
      <w:r>
        <w:t xml:space="preserve">the</w:t>
      </w:r>
      <w:r>
        <w:t xml:space="preserve"> </w:t>
      </w:r>
      <w:r>
        <w:t xml:space="preserve">holistic</w:t>
      </w:r>
      <w:r>
        <w:t xml:space="preserve"> </w:t>
      </w:r>
      <w:r>
        <w:t xml:space="preserve">perception</w:t>
      </w:r>
      <w:r>
        <w:t xml:space="preserve"> </w:t>
      </w:r>
      <w:r>
        <w:t xml:space="preserve">of</w:t>
      </w:r>
      <w:r>
        <w:t xml:space="preserve"> </w:t>
      </w:r>
      <w:r>
        <w:t xml:space="preserve">sound</w:t>
      </w:r>
      <w:r>
        <w:t xml:space="preserve"> </w:t>
      </w:r>
      <w:r>
        <w:t xml:space="preserve">environments,</w:t>
      </w:r>
      <w:r>
        <w:t xml:space="preserve"> </w:t>
      </w:r>
      <w:r>
        <w:t xml:space="preserve">in</w:t>
      </w:r>
      <w:r>
        <w:t xml:space="preserve"> </w:t>
      </w:r>
      <w:r>
        <w:t xml:space="preserve">context.</w:t>
      </w:r>
      <w:r>
        <w:t xml:space="preserve"> </w:t>
      </w:r>
      <w:r>
        <w:t xml:space="preserve">While</w:t>
      </w:r>
      <w:r>
        <w:t xml:space="preserve"> </w:t>
      </w:r>
      <w:r>
        <w:t xml:space="preserve">steady</w:t>
      </w:r>
      <w:r>
        <w:t xml:space="preserve"> </w:t>
      </w:r>
      <w:r>
        <w:t xml:space="preserve">advancements</w:t>
      </w:r>
      <w:r>
        <w:t xml:space="preserve"> </w:t>
      </w:r>
      <w:r>
        <w:t xml:space="preserve">have</w:t>
      </w:r>
      <w:r>
        <w:t xml:space="preserve"> </w:t>
      </w:r>
      <w:r>
        <w:t xml:space="preserve">been</w:t>
      </w:r>
      <w:r>
        <w:t xml:space="preserve"> </w:t>
      </w:r>
      <w:r>
        <w:t xml:space="preserve">made</w:t>
      </w:r>
      <w:r>
        <w:t xml:space="preserve"> </w:t>
      </w:r>
      <w:r>
        <w:t xml:space="preserve">in</w:t>
      </w:r>
      <w:r>
        <w:t xml:space="preserve"> </w:t>
      </w:r>
      <w:r>
        <w:t xml:space="preserve">methods</w:t>
      </w:r>
      <w:r>
        <w:t xml:space="preserve"> </w:t>
      </w:r>
      <w:r>
        <w:t xml:space="preserve">for</w:t>
      </w:r>
      <w:r>
        <w:t xml:space="preserve"> </w:t>
      </w:r>
      <w:r>
        <w:t xml:space="preserve">assessment</w:t>
      </w:r>
      <w:r>
        <w:t xml:space="preserve"> </w:t>
      </w:r>
      <w:r>
        <w:t xml:space="preserve">and</w:t>
      </w:r>
      <w:r>
        <w:t xml:space="preserve"> </w:t>
      </w:r>
      <w:r>
        <w:t xml:space="preserve">analysis,</w:t>
      </w:r>
      <w:r>
        <w:t xml:space="preserve"> </w:t>
      </w:r>
      <w:r>
        <w:t xml:space="preserve">a</w:t>
      </w:r>
      <w:r>
        <w:t xml:space="preserve"> </w:t>
      </w:r>
      <w:r>
        <w:t xml:space="preserve">gap</w:t>
      </w:r>
      <w:r>
        <w:t xml:space="preserve"> </w:t>
      </w:r>
      <w:r>
        <w:t xml:space="preserve">exists</w:t>
      </w:r>
      <w:r>
        <w:t xml:space="preserve"> </w:t>
      </w:r>
      <w:r>
        <w:t xml:space="preserve">for</w:t>
      </w:r>
      <w:r>
        <w:t xml:space="preserve"> </w:t>
      </w:r>
      <w:r>
        <w:t xml:space="preserve">comparing</w:t>
      </w:r>
      <w:r>
        <w:t xml:space="preserve"> </w:t>
      </w:r>
      <w:r>
        <w:t xml:space="preserve">soundscapes</w:t>
      </w:r>
      <w:r>
        <w:t xml:space="preserve"> </w:t>
      </w:r>
      <w:r>
        <w:t xml:space="preserve">and</w:t>
      </w:r>
      <w:r>
        <w:t xml:space="preserve"> </w:t>
      </w:r>
      <w:r>
        <w:t xml:space="preserve">quantifying</w:t>
      </w:r>
      <w:r>
        <w:t xml:space="preserve"> </w:t>
      </w:r>
      <w:r>
        <w:t xml:space="preserve">improvements</w:t>
      </w:r>
      <w:r>
        <w:t xml:space="preserve"> </w:t>
      </w:r>
      <w:r>
        <w:t xml:space="preserve">in</w:t>
      </w:r>
      <w:r>
        <w:t xml:space="preserve"> </w:t>
      </w:r>
      <w:r>
        <w:t xml:space="preserve">the</w:t>
      </w:r>
      <w:r>
        <w:t xml:space="preserve"> </w:t>
      </w:r>
      <w:r>
        <w:t xml:space="preserve">multi-dimensional</w:t>
      </w:r>
      <w:r>
        <w:t xml:space="preserve"> </w:t>
      </w:r>
      <w:r>
        <w:t xml:space="preserve">perception</w:t>
      </w:r>
      <w:r>
        <w:t xml:space="preserve"> </w:t>
      </w:r>
      <w:r>
        <w:t xml:space="preserve">of</w:t>
      </w:r>
      <w:r>
        <w:t xml:space="preserve"> </w:t>
      </w:r>
      <w:r>
        <w:t xml:space="preserve">a</w:t>
      </w:r>
      <w:r>
        <w:t xml:space="preserve"> </w:t>
      </w:r>
      <w:r>
        <w:t xml:space="preserve">soundscape.</w:t>
      </w:r>
      <w:r>
        <w:t xml:space="preserve"> </w:t>
      </w:r>
      <w:r>
        <w:t xml:space="preserve">To</w:t>
      </w:r>
      <w:r>
        <w:t xml:space="preserve"> </w:t>
      </w:r>
      <w:r>
        <w:t xml:space="preserve">this</w:t>
      </w:r>
      <w:r>
        <w:t xml:space="preserve"> </w:t>
      </w:r>
      <w:r>
        <w:t xml:space="preserve">end,</w:t>
      </w:r>
      <w:r>
        <w:t xml:space="preserve"> </w:t>
      </w:r>
      <w:r>
        <w:t xml:space="preserve">there</w:t>
      </w:r>
      <w:r>
        <w:t xml:space="preserve"> </w:t>
      </w:r>
      <w:r>
        <w:t xml:space="preserve">is</w:t>
      </w:r>
      <w:r>
        <w:t xml:space="preserve"> </w:t>
      </w:r>
      <w:r>
        <w:t xml:space="preserve">a</w:t>
      </w:r>
      <w:r>
        <w:t xml:space="preserve"> </w:t>
      </w:r>
      <w:r>
        <w:t xml:space="preserve">need</w:t>
      </w:r>
      <w:r>
        <w:t xml:space="preserve"> </w:t>
      </w:r>
      <w:r>
        <w:t xml:space="preserve">for</w:t>
      </w:r>
      <w:r>
        <w:t xml:space="preserve"> </w:t>
      </w:r>
      <w:r>
        <w:t xml:space="preserve">the</w:t>
      </w:r>
      <w:r>
        <w:t xml:space="preserve"> </w:t>
      </w:r>
      <w:r>
        <w:t xml:space="preserve">creation</w:t>
      </w:r>
      <w:r>
        <w:t xml:space="preserve"> </w:t>
      </w:r>
      <w:r>
        <w:t xml:space="preserve">of</w:t>
      </w:r>
      <w:r>
        <w:t xml:space="preserve"> </w:t>
      </w:r>
      <w:r>
        <w:t xml:space="preserve">single</w:t>
      </w:r>
      <w:r>
        <w:t xml:space="preserve"> </w:t>
      </w:r>
      <w:r>
        <w:t xml:space="preserve">value</w:t>
      </w:r>
      <w:r>
        <w:t xml:space="preserve"> </w:t>
      </w:r>
      <w:r>
        <w:t xml:space="preserve">indices</w:t>
      </w:r>
      <w:r>
        <w:t xml:space="preserve"> </w:t>
      </w:r>
      <w:r>
        <w:t xml:space="preserve">to</w:t>
      </w:r>
      <w:r>
        <w:t xml:space="preserve"> </w:t>
      </w:r>
      <w:r>
        <w:t xml:space="preserve">compare</w:t>
      </w:r>
      <w:r>
        <w:t xml:space="preserve"> </w:t>
      </w:r>
      <w:r>
        <w:t xml:space="preserve">soundscape</w:t>
      </w:r>
      <w:r>
        <w:t xml:space="preserve"> </w:t>
      </w:r>
      <w:r>
        <w:t xml:space="preserve">quality</w:t>
      </w:r>
      <w:r>
        <w:t xml:space="preserve"> </w:t>
      </w:r>
      <w:r>
        <w:t xml:space="preserve">which</w:t>
      </w:r>
      <w:r>
        <w:t xml:space="preserve"> </w:t>
      </w:r>
      <w:r>
        <w:t xml:space="preserve">incorporate</w:t>
      </w:r>
      <w:r>
        <w:t xml:space="preserve"> </w:t>
      </w:r>
      <w:r>
        <w:t xml:space="preserve">context,</w:t>
      </w:r>
      <w:r>
        <w:t xml:space="preserve"> </w:t>
      </w:r>
      <w:r>
        <w:t xml:space="preserve">aural</w:t>
      </w:r>
      <w:r>
        <w:t xml:space="preserve"> </w:t>
      </w:r>
      <w:r>
        <w:t xml:space="preserve">diversity,</w:t>
      </w:r>
      <w:r>
        <w:t xml:space="preserve"> </w:t>
      </w:r>
      <w:r>
        <w:t xml:space="preserve">and</w:t>
      </w:r>
      <w:r>
        <w:t xml:space="preserve"> </w:t>
      </w:r>
      <w:r>
        <w:t xml:space="preserve">specific</w:t>
      </w:r>
      <w:r>
        <w:t xml:space="preserve"> </w:t>
      </w:r>
      <w:r>
        <w:t xml:space="preserve">design</w:t>
      </w:r>
      <w:r>
        <w:t xml:space="preserve"> </w:t>
      </w:r>
      <w:r>
        <w:t xml:space="preserve">goals</w:t>
      </w:r>
      <w:r>
        <w:t xml:space="preserve"> </w:t>
      </w:r>
      <w:r>
        <w:t xml:space="preserve">for</w:t>
      </w:r>
      <w:r>
        <w:t xml:space="preserve"> </w:t>
      </w:r>
      <w:r>
        <w:t xml:space="preserve">a</w:t>
      </w:r>
      <w:r>
        <w:t xml:space="preserve"> </w:t>
      </w:r>
      <w:r>
        <w:t xml:space="preserve">given</w:t>
      </w:r>
      <w:r>
        <w:t xml:space="preserve"> </w:t>
      </w:r>
      <w:r>
        <w:t xml:space="preserve">application.</w:t>
      </w:r>
      <w:r>
        <w:t xml:space="preserve"> </w:t>
      </w:r>
      <w:r>
        <w:t xml:space="preserve">Just</w:t>
      </w:r>
      <w:r>
        <w:t xml:space="preserve"> </w:t>
      </w:r>
      <w:r>
        <w:t xml:space="preserve">as</w:t>
      </w:r>
      <w:r>
        <w:t xml:space="preserve"> </w:t>
      </w:r>
      <w:r>
        <w:t xml:space="preserve">a</w:t>
      </w:r>
      <w:r>
        <w:t xml:space="preserve"> </w:t>
      </w:r>
      <w:r>
        <w:t xml:space="preserve">variety</w:t>
      </w:r>
      <w:r>
        <w:t xml:space="preserve"> </w:t>
      </w:r>
      <w:r>
        <w:t xml:space="preserve">of</w:t>
      </w:r>
      <w:r>
        <w:t xml:space="preserve"> </w:t>
      </w:r>
      <w:r>
        <w:t xml:space="preserve">decibel-based</w:t>
      </w:r>
      <w:r>
        <w:t xml:space="preserve"> </w:t>
      </w:r>
      <w:r>
        <w:t xml:space="preserve">indices</w:t>
      </w:r>
      <w:r>
        <w:t xml:space="preserve"> </w:t>
      </w:r>
      <w:r>
        <w:t xml:space="preserve">have</w:t>
      </w:r>
      <w:r>
        <w:t xml:space="preserve"> </w:t>
      </w:r>
      <w:r>
        <w:t xml:space="preserve">been</w:t>
      </w:r>
      <w:r>
        <w:t xml:space="preserve"> </w:t>
      </w:r>
      <w:r>
        <w:t xml:space="preserve">developed</w:t>
      </w:r>
      <w:r>
        <w:t xml:space="preserve"> </w:t>
      </w:r>
      <w:r>
        <w:t xml:space="preserve">for</w:t>
      </w:r>
      <w:r>
        <w:t xml:space="preserve"> </w:t>
      </w:r>
      <w:r>
        <w:t xml:space="preserve">various</w:t>
      </w:r>
      <w:r>
        <w:t xml:space="preserve"> </w:t>
      </w:r>
      <w:r>
        <w:t xml:space="preserve">purposes</w:t>
      </w:r>
      <w:r>
        <w:t xml:space="preserve"> </w:t>
      </w:r>
      <w:r>
        <w:t xml:space="preserve">(e.g.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r>
          <m:t>L</m:t>
        </m:r>
        <m:r>
          <m:t>d</m:t>
        </m:r>
        <m:r>
          <m:t>e</m:t>
        </m:r>
        <m:r>
          <m:t>n</m:t>
        </m:r>
      </m:oMath>
      <w:r>
        <w:t xml:space="preserve">,</w:t>
      </w:r>
      <w:r>
        <w:t xml:space="preserve"> </w:t>
      </w:r>
      <w:r>
        <w:t xml:space="preserve">etc.),</w:t>
      </w:r>
      <w:r>
        <w:t xml:space="preserve"> </w:t>
      </w:r>
      <w:r>
        <w:t xml:space="preserve">the</w:t>
      </w:r>
      <w:r>
        <w:t xml:space="preserve"> </w:t>
      </w:r>
      <w:r>
        <w:t xml:space="preserve">soundscape</w:t>
      </w:r>
      <w:r>
        <w:t xml:space="preserve"> </w:t>
      </w:r>
      <w:r>
        <w:t xml:space="preserve">approach</w:t>
      </w:r>
      <w:r>
        <w:t xml:space="preserve"> </w:t>
      </w:r>
      <w:r>
        <w:t xml:space="preserve">requires</w:t>
      </w:r>
      <w:r>
        <w:t xml:space="preserve"> </w:t>
      </w:r>
      <w:r>
        <w:t xml:space="preserve">the</w:t>
      </w:r>
      <w:r>
        <w:t xml:space="preserve"> </w:t>
      </w:r>
      <w:r>
        <w:t xml:space="preserve">ability</w:t>
      </w:r>
      <w:r>
        <w:t xml:space="preserve"> </w:t>
      </w:r>
      <w:r>
        <w:t xml:space="preserve">to</w:t>
      </w:r>
      <w:r>
        <w:t xml:space="preserve"> </w:t>
      </w:r>
      <w:r>
        <w:t xml:space="preserve">create</w:t>
      </w:r>
      <w:r>
        <w:t xml:space="preserve"> </w:t>
      </w:r>
      <w:r>
        <w:t xml:space="preserve">novel</w:t>
      </w:r>
      <w:r>
        <w:t xml:space="preserve"> </w:t>
      </w:r>
      <w:r>
        <w:t xml:space="preserve">indices</w:t>
      </w:r>
      <w:r>
        <w:t xml:space="preserve"> </w:t>
      </w:r>
      <w:r>
        <w:t xml:space="preserve">for</w:t>
      </w:r>
      <w:r>
        <w:t xml:space="preserve"> </w:t>
      </w:r>
      <w:r>
        <w:t xml:space="preserve">different</w:t>
      </w:r>
      <w:r>
        <w:t xml:space="preserve"> </w:t>
      </w:r>
      <w:r>
        <w:t xml:space="preserve">uses,</w:t>
      </w:r>
      <w:r>
        <w:t xml:space="preserve"> </w:t>
      </w:r>
      <w:r>
        <w:t xml:space="preserve">but</w:t>
      </w:r>
      <w:r>
        <w:t xml:space="preserve"> </w:t>
      </w:r>
      <w:r>
        <w:t xml:space="preserve">which</w:t>
      </w:r>
      <w:r>
        <w:t xml:space="preserve"> </w:t>
      </w:r>
      <w:r>
        <w:t xml:space="preserve">share</w:t>
      </w:r>
      <w:r>
        <w:t xml:space="preserve"> </w:t>
      </w:r>
      <w:r>
        <w:t xml:space="preserve">a</w:t>
      </w:r>
      <w:r>
        <w:t xml:space="preserve"> </w:t>
      </w:r>
      <w:r>
        <w:t xml:space="preserve">common</w:t>
      </w:r>
      <w:r>
        <w:t xml:space="preserve"> </w:t>
      </w:r>
      <w:r>
        <w:t xml:space="preserve">language</w:t>
      </w:r>
      <w:r>
        <w:t xml:space="preserve"> </w:t>
      </w:r>
      <w:r>
        <w:t xml:space="preserve">and</w:t>
      </w:r>
      <w:r>
        <w:t xml:space="preserve"> </w:t>
      </w:r>
      <w:r>
        <w:t xml:space="preserve">understanding.</w:t>
      </w:r>
      <w:r>
        <w:t xml:space="preserve"> </w:t>
      </w:r>
      <w:r>
        <w:t xml:space="preserve">We</w:t>
      </w:r>
      <w:r>
        <w:t xml:space="preserve"> </w:t>
      </w:r>
      <w:r>
        <w:t xml:space="preserve">therefore</w:t>
      </w:r>
      <w:r>
        <w:t xml:space="preserve"> </w:t>
      </w:r>
      <w:r>
        <w:t xml:space="preserve">propose</w:t>
      </w:r>
      <w:r>
        <w:t xml:space="preserve"> </w:t>
      </w:r>
      <w:r>
        <w:t xml:space="preserve">a</w:t>
      </w:r>
      <w:r>
        <w:t xml:space="preserve"> </w:t>
      </w:r>
      <w:r>
        <w:t xml:space="preserve">unified</w:t>
      </w:r>
      <w:r>
        <w:t xml:space="preserve"> </w:t>
      </w:r>
      <w:r>
        <w:t xml:space="preserve">framework</w:t>
      </w:r>
      <w:r>
        <w:t xml:space="preserve"> </w:t>
      </w:r>
      <w:r>
        <w:t xml:space="preserve">for</w:t>
      </w:r>
      <w:r>
        <w:t xml:space="preserve"> </w:t>
      </w:r>
      <w:r>
        <w:t xml:space="preserve">creating</w:t>
      </w:r>
      <w:r>
        <w:t xml:space="preserve"> </w:t>
      </w:r>
      <w:r>
        <w:t xml:space="preserve">both</w:t>
      </w:r>
      <w:r>
        <w:t xml:space="preserve"> </w:t>
      </w:r>
      <w:r>
        <w:t xml:space="preserve">bespoke</w:t>
      </w:r>
      <w:r>
        <w:t xml:space="preserve"> </w:t>
      </w:r>
      <w:r>
        <w:t xml:space="preserve">and</w:t>
      </w:r>
      <w:r>
        <w:t xml:space="preserve"> </w:t>
      </w:r>
      <w:r>
        <w:t xml:space="preserve">reference</w:t>
      </w:r>
      <w:r>
        <w:t xml:space="preserve"> </w:t>
      </w:r>
      <w:r>
        <w:t xml:space="preserve">single</w:t>
      </w:r>
      <w:r>
        <w:t xml:space="preserve"> </w:t>
      </w:r>
      <w:r>
        <w:t xml:space="preserve">index</w:t>
      </w:r>
      <w:r>
        <w:t xml:space="preserve"> </w:t>
      </w:r>
      <w:r>
        <w:t xml:space="preserve">measures</w:t>
      </w:r>
      <w:r>
        <w:t xml:space="preserve"> </w:t>
      </w:r>
      <w:r>
        <w:t xml:space="preserve">of</w:t>
      </w:r>
      <w:r>
        <w:t xml:space="preserve"> </w:t>
      </w:r>
      <w:r>
        <w:t xml:space="preserve">soundscape</w:t>
      </w:r>
      <w:r>
        <w:t xml:space="preserve"> </w:t>
      </w:r>
      <w:r>
        <w:t xml:space="preserve">perception</w:t>
      </w:r>
      <w:r>
        <w:t xml:space="preserve"> </w:t>
      </w:r>
      <w:r>
        <w:t xml:space="preserve">based</w:t>
      </w:r>
      <w:r>
        <w:t xml:space="preserve"> </w:t>
      </w:r>
      <w:r>
        <w:t xml:space="preserve">on</w:t>
      </w:r>
      <w:r>
        <w:t xml:space="preserve"> </w:t>
      </w:r>
      <w:r>
        <w:t xml:space="preserve">the</w:t>
      </w:r>
      <w:r>
        <w:t xml:space="preserve"> </w:t>
      </w:r>
      <w:r>
        <w:t xml:space="preserve">soundscape</w:t>
      </w:r>
      <w:r>
        <w:t xml:space="preserve"> </w:t>
      </w:r>
      <w:r>
        <w:t xml:space="preserve">circumplex</w:t>
      </w:r>
      <w:r>
        <w:t xml:space="preserve"> </w:t>
      </w:r>
      <w:r>
        <w:t xml:space="preserve">model,</w:t>
      </w:r>
      <w:r>
        <w:t xml:space="preserve"> </w:t>
      </w:r>
      <w:r>
        <w:t xml:space="preserve">allowing</w:t>
      </w:r>
      <w:r>
        <w:t xml:space="preserve"> </w:t>
      </w:r>
      <w:r>
        <w:t xml:space="preserve">for</w:t>
      </w:r>
      <w:r>
        <w:t xml:space="preserve"> </w:t>
      </w:r>
      <w:r>
        <w:t xml:space="preserve">new</w:t>
      </w:r>
      <w:r>
        <w:t xml:space="preserve"> </w:t>
      </w:r>
      <w:r>
        <w:t xml:space="preserve">metrics</w:t>
      </w:r>
      <w:r>
        <w:t xml:space="preserve"> </w:t>
      </w:r>
      <w:r>
        <w:t xml:space="preserve">to</w:t>
      </w:r>
      <w:r>
        <w:t xml:space="preserve"> </w:t>
      </w:r>
      <w:r>
        <w:t xml:space="preserve">be</w:t>
      </w:r>
      <w:r>
        <w:t xml:space="preserve"> </w:t>
      </w:r>
      <w:r>
        <w:t xml:space="preserve">defined</w:t>
      </w:r>
      <w:r>
        <w:t xml:space="preserve"> </w:t>
      </w:r>
      <w:r>
        <w:t xml:space="preserve">in</w:t>
      </w:r>
      <w:r>
        <w:t xml:space="preserve"> </w:t>
      </w:r>
      <w:r>
        <w:t xml:space="preserve">the</w:t>
      </w:r>
      <w:r>
        <w:t xml:space="preserve"> </w:t>
      </w:r>
      <w:r>
        <w:t xml:space="preserve">future.</w:t>
      </w:r>
      <w:r>
        <w:t xml:space="preserve"> </w:t>
      </w:r>
      <w:r>
        <w:t xml:space="preserve">Applications</w:t>
      </w:r>
      <w:r>
        <w:t xml:space="preserve"> </w:t>
      </w:r>
      <w:r>
        <w:t xml:space="preserve">and</w:t>
      </w:r>
      <w:r>
        <w:t xml:space="preserve"> </w:t>
      </w:r>
      <w:r>
        <w:t xml:space="preserve">implications</w:t>
      </w:r>
      <w:r>
        <w:t xml:space="preserve"> </w:t>
      </w:r>
      <w:r>
        <w:t xml:space="preserve">of</w:t>
      </w:r>
      <w:r>
        <w:t xml:space="preserve"> </w:t>
      </w:r>
      <w:r>
        <w:t xml:space="preserve">this</w:t>
      </w:r>
      <w:r>
        <w:t xml:space="preserve"> </w:t>
      </w:r>
      <w:r>
        <w:t xml:space="preserve">framework</w:t>
      </w:r>
      <w:r>
        <w:t xml:space="preserve"> </w:t>
      </w:r>
      <w:r>
        <w:t xml:space="preserve">are</w:t>
      </w:r>
      <w:r>
        <w:t xml:space="preserve"> </w:t>
      </w:r>
      <w:r>
        <w:t xml:space="preserve">discussed</w:t>
      </w:r>
      <w:r>
        <w:t xml:space="preserve"> </w:t>
      </w:r>
      <w:r>
        <w:t xml:space="preserve">and</w:t>
      </w:r>
      <w:r>
        <w:t xml:space="preserve"> </w:t>
      </w:r>
      <w:r>
        <w:t xml:space="preserve">a</w:t>
      </w:r>
      <w:r>
        <w:t xml:space="preserve"> </w:t>
      </w:r>
      <w:r>
        <w:t xml:space="preserve">method</w:t>
      </w:r>
      <w:r>
        <w:t xml:space="preserve"> </w:t>
      </w:r>
      <w:r>
        <w:t xml:space="preserve">for</w:t>
      </w:r>
      <w:r>
        <w:t xml:space="preserve"> </w:t>
      </w:r>
      <w:r>
        <w:t xml:space="preserve">empirically</w:t>
      </w:r>
      <w:r>
        <w:t xml:space="preserve"> </w:t>
      </w:r>
      <w:r>
        <w:t xml:space="preserve">defining</w:t>
      </w:r>
      <w:r>
        <w:t xml:space="preserve"> </w:t>
      </w:r>
      <w:r>
        <w:t xml:space="preserve">perception</w:t>
      </w:r>
      <w:r>
        <w:t xml:space="preserve"> </w:t>
      </w:r>
      <w:r>
        <w:t xml:space="preserve">indices</w:t>
      </w:r>
      <w:r>
        <w:t xml:space="preserve"> </w:t>
      </w:r>
      <w:r>
        <w:t xml:space="preserve">is</w:t>
      </w:r>
      <w:r>
        <w:t xml:space="preserve"> </w:t>
      </w:r>
      <w:r>
        <w:t xml:space="preserve">proposed.</w:t>
      </w:r>
      <w:r>
        <w:t xml:space="preserve"> </w:t>
      </w:r>
      <w:r>
        <w:t xml:space="preserve">Indices</w:t>
      </w:r>
      <w:r>
        <w:t xml:space="preserve"> </w:t>
      </w:r>
      <w:r>
        <w:t xml:space="preserve">developed</w:t>
      </w:r>
      <w:r>
        <w:t xml:space="preserve"> </w:t>
      </w:r>
      <w:r>
        <w:t xml:space="preserve">under</w:t>
      </w:r>
      <w:r>
        <w:t xml:space="preserve"> </w:t>
      </w:r>
      <w:r>
        <w:t xml:space="preserve">this</w:t>
      </w:r>
      <w:r>
        <w:t xml:space="preserve"> </w:t>
      </w:r>
      <w:r>
        <w:t xml:space="preserve">framework</w:t>
      </w:r>
      <w:r>
        <w:t xml:space="preserve"> </w:t>
      </w:r>
      <w:r>
        <w:t xml:space="preserve">can</w:t>
      </w:r>
      <w:r>
        <w:t xml:space="preserve"> </w:t>
      </w:r>
      <w:r>
        <w:t xml:space="preserve">enable</w:t>
      </w:r>
      <w:r>
        <w:t xml:space="preserve"> </w:t>
      </w:r>
      <w:r>
        <w:t xml:space="preserve">a</w:t>
      </w:r>
      <w:r>
        <w:t xml:space="preserve"> </w:t>
      </w:r>
      <w:r>
        <w:t xml:space="preserve">broader</w:t>
      </w:r>
      <w:r>
        <w:t xml:space="preserve"> </w:t>
      </w:r>
      <w:r>
        <w:t xml:space="preserve">and</w:t>
      </w:r>
      <w:r>
        <w:t xml:space="preserve"> </w:t>
      </w:r>
      <w:r>
        <w:t xml:space="preserve">more</w:t>
      </w:r>
      <w:r>
        <w:t xml:space="preserve"> </w:t>
      </w:r>
      <w:r>
        <w:t xml:space="preserve">efficient</w:t>
      </w:r>
      <w:r>
        <w:t xml:space="preserve"> </w:t>
      </w:r>
      <w:r>
        <w:t xml:space="preserve">application</w:t>
      </w:r>
      <w:r>
        <w:t xml:space="preserve"> </w:t>
      </w:r>
      <w:r>
        <w:t xml:space="preserve">of</w:t>
      </w:r>
      <w:r>
        <w:t xml:space="preserve"> </w:t>
      </w:r>
      <w:r>
        <w:t xml:space="preserve">the</w:t>
      </w:r>
      <w:r>
        <w:t xml:space="preserve"> </w:t>
      </w:r>
      <w:r>
        <w:t xml:space="preserve">soundscape</w:t>
      </w:r>
      <w:r>
        <w:t xml:space="preserve"> </w:t>
      </w:r>
      <w:r>
        <w:t xml:space="preserve">approach.</w:t>
      </w:r>
    </w:p>
    <w:bookmarkStart w:id="20" w:name="introduction"/>
    <w:p>
      <w:pPr>
        <w:pStyle w:val="Heading1"/>
      </w:pPr>
      <w:r>
        <w:t xml:space="preserve">1. 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 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 However, it is widely recognised that solely reducing sound level in people’s living environments is not always feasible or cost-effective and, more importantly, with only ~30% of environmental noise annoyance depending on facets of parameters such as acoustic energy</w:t>
      </w:r>
      <w:r>
        <w:t xml:space="preserve"> </w:t>
      </w:r>
      <w:r>
        <w:t xml:space="preserve">(Guski 1997)</w:t>
      </w:r>
      <w:r>
        <w:t xml:space="preserve">,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noise control engineering, is about the relationships between human physiology, perception, the sound environment, and its socio-cultural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w:t>
      </w:r>
      <w:r>
        <w:t xml:space="preserve">resource</w:t>
      </w:r>
      <w:r>
        <w:t xml:space="preserve">’</w:t>
      </w:r>
      <w:r>
        <w:t xml:space="preserve"> </w:t>
      </w:r>
      <w:r>
        <w:t xml:space="preserve">rather than</w:t>
      </w:r>
      <w:r>
        <w:t xml:space="preserve"> </w:t>
      </w:r>
      <w:r>
        <w:t xml:space="preserve">‘</w:t>
      </w:r>
      <w:r>
        <w:t xml:space="preserve">waste</w:t>
      </w:r>
      <w:r>
        <w:t xml:space="preserv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 subjective evaluations of soundscapes for residential areas</w:t>
      </w:r>
      <w:r>
        <w:t xml:space="preserve"> </w:t>
      </w:r>
      <w:r>
        <w:t xml:space="preserve">(Schulte-Fortkamp and Kang 2013)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w:t>
      </w:r>
      <w:r>
        <w:t xml:space="preserve">good</w:t>
      </w:r>
      <w:r>
        <w:t xml:space="preserve">’</w:t>
      </w:r>
      <w:r>
        <w:t xml:space="preserve"> </w:t>
      </w:r>
      <w:r>
        <w:t xml:space="preserve">soundscape compared to a</w:t>
      </w:r>
      <w:r>
        <w:t xml:space="preserve"> </w:t>
      </w:r>
      <w:r>
        <w:t xml:space="preserve">‘</w:t>
      </w:r>
      <w:r>
        <w:t xml:space="preserve">bad</w:t>
      </w:r>
      <w:r>
        <w:t xml:space="preserve">’</w:t>
      </w:r>
      <w:r>
        <w:t xml:space="preserve"> </w:t>
      </w:r>
      <w:r>
        <w:t xml:space="preserve">soundscape. However, this presents several challenges:</w:t>
      </w:r>
    </w:p>
    <w:p>
      <w:pPr>
        <w:numPr>
          <w:ilvl w:val="0"/>
          <w:numId w:val="1001"/>
        </w:numPr>
        <w:pStyle w:val="Compact"/>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numPr>
          <w:ilvl w:val="0"/>
          <w:numId w:val="1001"/>
        </w:numPr>
        <w:pStyle w:val="Compact"/>
      </w:pPr>
      <w:r>
        <w:t xml:space="preserve">On what metric should the quality rating be based? Previous attempts at defining objective metrics of</w:t>
      </w:r>
      <w:r>
        <w:t xml:space="preserve"> </w:t>
      </w:r>
      <w:r>
        <w:t xml:space="preserve">“</w:t>
      </w:r>
      <w:r>
        <w:t xml:space="preserve">soundscape quality</w:t>
      </w:r>
      <w:r>
        <w:t xml:space="preserve">”</w:t>
      </w:r>
      <w:r>
        <w:t xml:space="preserve"> </w:t>
      </w:r>
      <w:r>
        <w:t xml:space="preserve">assessment have fallen short of capturing the multidimensionality of people’s perception of surrounding acoustic environments.</w:t>
      </w:r>
    </w:p>
    <w:p>
      <w:pPr>
        <w:numPr>
          <w:ilvl w:val="0"/>
          <w:numId w:val="1001"/>
        </w:numPr>
        <w:pStyle w:val="Compact"/>
      </w:pPr>
      <w:r>
        <w:t xml:space="preserve">How can we deal with different requirements and definitions of how a soundscape should be perceived? Soundscape constructs are normally seen as highly individualised, while designing the soundscapes of public spaces should look at accomodating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w:t>
      </w:r>
      <w:r>
        <w:t xml:space="preserve"> </w:t>
      </w:r>
      <w:r>
        <w:t xml:space="preserve">‘</w:t>
      </w:r>
      <w:r>
        <w:t xml:space="preserve">good</w:t>
      </w:r>
      <w:r>
        <w:t xml:space="preserve">’</w:t>
      </w:r>
      <w:r>
        <w:t xml:space="preserve"> </w:t>
      </w:r>
      <w:r>
        <w:t xml:space="preserve">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Mitchell, Aletta, and Kang (2022)</w:t>
      </w:r>
      <w:r>
        <w:t xml:space="preserve">. As previously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facilitate a broader and more efficient application of the soundscape approach in various domains, such as urban planning, environmental management, acoustic design, and policy development.</w:t>
      </w:r>
    </w:p>
    <w:p>
      <w:pPr>
        <w:pStyle w:val="BodyText"/>
      </w:pPr>
      <w:r>
        <w:t xml:space="preserve">The overarching aim of this framework is to empower stakeholders, decision-makers, and researchers with the ability to create tailored indices that align with their specific objectives and design goals, while simultaneously enabling cross-comparisons and benchmarking against empirically-defined reference soundscapes.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theoretical-background"/>
    <w:p>
      <w:pPr>
        <w:pStyle w:val="Heading1"/>
      </w:pPr>
      <w:r>
        <w:t xml:space="preserve">2. Theoretical 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w:t>
      </w:r>
      <w:r>
        <w:t xml:space="preserve">measures of how people perceive the acoustic environment</w:t>
      </w:r>
      <w:r>
        <w:t xml:space="preserve">’</w:t>
      </w:r>
      <w:r>
        <w:t xml:space="preserve"> </w:t>
      </w:r>
      <w:r>
        <w:t xml:space="preserve">and soundscape indicators as</w:t>
      </w:r>
      <w:r>
        <w:t xml:space="preserve"> </w:t>
      </w:r>
      <w:r>
        <w:t xml:space="preserve">‘</w:t>
      </w:r>
      <w:r>
        <w:t xml:space="preserve">measures used to predict the value of a soundscape descriptor</w:t>
      </w:r>
      <w:r>
        <w:t xml:space="preserve">’</w:t>
      </w:r>
      <w:r>
        <w:t xml:space="preserve">. The relationship between soundscape indicator(s) and a soundscape descriptor effectively defines what has been previously referred to as a</w:t>
      </w:r>
      <w:r>
        <w:t xml:space="preserve"> </w:t>
      </w:r>
      <w:r>
        <w:t xml:space="preserve">“</w:t>
      </w:r>
      <w:r>
        <w:t xml:space="preserve">predictive soundscape model</w:t>
      </w:r>
      <w:r>
        <w:t xml:space="preserve">”</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 Lionello and colleagues</w:t>
      </w:r>
      <w:r>
        <w:t xml:space="preserve"> </w:t>
      </w:r>
      <w:r>
        <w:t xml:space="preserve">(Lionello, Aletta, and Kang 2020)</w:t>
      </w:r>
      <w:r>
        <w:t xml:space="preserve"> </w:t>
      </w:r>
      <w:r>
        <w:t xml:space="preserve">provided a review of such models and concluded contextual features play an important role in increasing the quality of the model.</w:t>
      </w:r>
    </w:p>
    <w:p>
      <w:pPr>
        <w:pStyle w:val="BodyText"/>
      </w:pPr>
      <w:r>
        <w:t xml:space="preserve">Indices on the other hand, the primary focus of this article, are single numerical values that combine multiple indicators or descriptors to provide a comprehensive representation of the overall soundscape perception and allow for comparison between soundscapes. These indices serve as powerful tools for quantifying and comparing soundscapes, enabling decision-makers and stakeholders to assess the impact of interventions, monitor changes over time, and prioritize areas for improvement</w:t>
      </w:r>
      <w:r>
        <w:t xml:space="preserve">(Kang et al. 2019)</w:t>
      </w:r>
      <w:r>
        <w:t xml:space="preserve">.</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1970)</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 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development with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numPr>
          <w:ilvl w:val="0"/>
          <w:numId w:val="1002"/>
        </w:numPr>
        <w:pStyle w:val="Compact"/>
      </w:pPr>
      <w:r>
        <w:t xml:space="preserve">considering all aspects of the environment which may influence perception, not just the sound level and spectral content (e.g., visual setting, odour environment, spatial layout, etc.);</w:t>
      </w:r>
    </w:p>
    <w:p>
      <w:pPr>
        <w:numPr>
          <w:ilvl w:val="0"/>
          <w:numId w:val="1002"/>
        </w:numPr>
        <w:pStyle w:val="Compact"/>
      </w:pPr>
      <w:r>
        <w:t xml:space="preserve">an increased and integrated consideration of the varying impacts which different sound sources and sonic characteristics have on perception; and</w:t>
      </w:r>
    </w:p>
    <w:p>
      <w:pPr>
        <w:numPr>
          <w:ilvl w:val="0"/>
          <w:numId w:val="1002"/>
        </w:numPr>
        <w:pStyle w:val="Compact"/>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w:t>
      </w:r>
      <w:r>
        <w:t xml:space="preserve"> </w:t>
      </w:r>
      <w:r>
        <w:t xml:space="preserve">“</w:t>
      </w:r>
      <w:r>
        <w:t xml:space="preserve">preserve environmental noise quality where it is good</w:t>
      </w:r>
      <w:r>
        <w:t xml:space="preserve">”</w:t>
      </w:r>
      <w:r>
        <w:t xml:space="preserve"> </w:t>
      </w:r>
      <w:r>
        <w:t xml:space="preserve">(European Union 2002)</w:t>
      </w:r>
      <w:r>
        <w:t xml:space="preserve">), better identifying specific sources of noise which impact soundscape quality and pinpointing the characteristics which may need to be decreased, and illuminating alternative methods which could be introduced to improve a soundscape where a reduction of noise is impractical</w:t>
      </w:r>
      <w:r>
        <w:t xml:space="preserve"> </w:t>
      </w:r>
      <w:r>
        <w:t xml:space="preserve">(Fiebig 2018; Kang and Aletta 2018)</w:t>
      </w:r>
      <w:r>
        <w:t xml:space="preserve">.</w:t>
      </w:r>
    </w:p>
    <w:p>
      <w:pPr>
        <w:pStyle w:val="BodyText"/>
      </w:pPr>
      <w:r>
        <w:t xml:space="preserve">Factors such as the presence of natural or human-made sounds, their temporal patterns, and the overall contextual meaning ascribed to these sounds all contribute to the holistic perception of a soundscape. Consequently, there is a pressing need for the development of robust indices that can encapsulate this multi-dimensional nature of soundscape perception, enabling comparative evaluations and informing targeted interventions to enhance the overall quality of acoustic environments</w:t>
      </w:r>
      <w:r>
        <w:t xml:space="preserve"> </w:t>
      </w:r>
      <w:r>
        <w:t xml:space="preserve">(Chen et al. 2023)</w:t>
      </w:r>
      <w:r>
        <w:t xml:space="preserve">.</w:t>
      </w:r>
    </w:p>
    <w:bookmarkStart w:id="23" w:name="existing-soundscape-indices"/>
    <w:p>
      <w:pPr>
        <w:pStyle w:val="Heading2"/>
      </w:pPr>
      <w:r>
        <w:t xml:space="preserve">2.1 Existing</w:t>
      </w:r>
      <w:r>
        <w:t xml:space="preserve"> </w:t>
      </w:r>
      <w:r>
        <w:t xml:space="preserve">‘</w:t>
      </w:r>
      <w:r>
        <w:t xml:space="preserve">Soundscape Indices</w:t>
      </w:r>
      <w:r>
        <w:t xml:space="preserve">’</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oundscape-ecology-and-bioacoustics"/>
    <w:p>
      <w:pPr>
        <w:pStyle w:val="Heading3"/>
      </w:pPr>
      <w:r>
        <w:t xml:space="preserve">2.1.1 Soundscape Ecology and Bioacoustics</w:t>
      </w:r>
    </w:p>
    <w:p>
      <w:pPr>
        <w:pStyle w:val="FirstParagraph"/>
      </w:pPr>
      <w:r>
        <w:t xml:space="preserve">Within the realm of soundscape ecology, indices such as the Acoustic Diversity Index (ADI) and Frequency-dependenty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oundscape-human-perception"/>
    <w:p>
      <w:pPr>
        <w:pStyle w:val="Heading3"/>
      </w:pPr>
      <w:r>
        <w:t xml:space="preserve">2.1.2 Soundscape Human Perception</w:t>
      </w:r>
    </w:p>
    <w:p>
      <w:pPr>
        <w:pStyle w:val="FirstParagraph"/>
      </w:pPr>
      <w:r>
        <w:t xml:space="preserve">In the domain of soundscape perception, the Green Soundscape Index (GSI)</w:t>
      </w:r>
      <w:r>
        <w:t xml:space="preserve"> </w:t>
      </w:r>
      <w:r>
        <w:t xml:space="preserve">(Kogan et al. 2018)</w:t>
      </w:r>
      <w:r>
        <w:t xml:space="preserve"> </w:t>
      </w:r>
      <w:r>
        <w:t xml:space="preserve">has emerged as a notable attempt to quantify the perceived quality of soundscapes, particularly in urban environments. This index incorporates factors such as the presence and levels of natural sounds, human-made sounds, and their respective contributions to the overall soundscape perception.</w:t>
      </w:r>
    </w:p>
    <w:p>
      <w:pPr>
        <w:pStyle w:val="BodyText"/>
      </w:pPr>
      <w:r>
        <w:t xml:space="preserve">The GSI is the ratio of the perceived extent of natural sounds (PNS) to the perceived extent of traffic noise (PTN). The GSI is noted to range between 1/5 and 5, with several ranges of values given which correspond to general categories of the perceived dominance of traffic noise. Subsequently, Cao and colleagues</w:t>
      </w:r>
      <w:r>
        <w:t xml:space="preserve"> </w:t>
      </w:r>
      <w:r>
        <w:t xml:space="preserve">(Cao, Meng, and Kang 2020; Yang, Cao, and Meng 2022)</w:t>
      </w:r>
      <w:r>
        <w:t xml:space="preserve"> </w:t>
      </w:r>
      <w:r>
        <w:t xml:space="preserve">argued that for urban soundscape design the GSI would not be suitable for all applications and should be complemented by a Red Soundscape Index (RSI), defined as the ratio of natural sounds (PNS) to human sounds (PHS).</w:t>
      </w:r>
      <w:r>
        <w:t xml:space="preserve"> </w:t>
      </w:r>
      <w:r>
        <w:t xml:space="preserve">Xiang et al. (2023)</w:t>
      </w:r>
      <w:r>
        <w:t xml:space="preserve"> </w:t>
      </w:r>
      <w:r>
        <w:t xml:space="preserve">defined a pool of soundscape indices; namely: the soundscape diversity index (SDI), the soundscape richness index (SRI), the soundscape dominance index (SDO), and soundscape evenness index (SEI), and showed that some of them could be explained by existing acoustic indicators.</w:t>
      </w:r>
    </w:p>
    <w:p>
      <w:pPr>
        <w:pStyle w:val="BodyText"/>
      </w:pPr>
      <w:r>
        <w:t xml:space="preserve">While all these indices represent a commendable effort to bridge the gap between objective measurements and subjective perceptions, they remain limited in their ability to capture the full complexity of soundscape perception across diverse contexts. The Soundscape Perception Index framework presented in this paper differs from these existing indices in two key ways. Firstly, it is not an analysis of an acoustic signal but rather is an index of perception based on soundscape descriptors. Secondly, it does not represent a single target in a particular context, but is a generalisable, extensible, and adaptable framework for scoring soundscapes against any goal defined by the user. The remainder of the paper will introduce and demonstrate this framework, providing a case study of defining an appropriate target.</w:t>
      </w:r>
    </w:p>
    <w:bookmarkEnd w:id="22"/>
    <w:bookmarkEnd w:id="23"/>
    <w:bookmarkEnd w:id="24"/>
    <w:bookmarkStart w:id="56" w:name="sec-method"/>
    <w:p>
      <w:pPr>
        <w:pStyle w:val="Heading1"/>
      </w:pPr>
      <w:r>
        <w:t xml:space="preserve">3. Methodology</w:t>
      </w:r>
    </w:p>
    <w:p>
      <w:pPr>
        <w:pStyle w:val="FirstParagraph"/>
      </w:pPr>
      <w:r>
        <w:t xml:space="preserve">The index framework,</w:t>
      </w:r>
      <w:r>
        <w:t xml:space="preserve"> </w:t>
      </w:r>
      <w:r>
        <w:t xml:space="preserve">‘</w:t>
      </w:r>
      <w:r>
        <w:t xml:space="preserve">Soundscape Perception Indices (SPI)</w:t>
      </w:r>
      <w:r>
        <w:t xml:space="preserve">’</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(or reference) perception of that soundscape. This is achieved by first defining the target distribution, which could represent what is considered to be the</w:t>
      </w:r>
      <w:r>
        <w:t xml:space="preserve"> </w:t>
      </w:r>
      <w:r>
        <w:t xml:space="preserve">‘</w:t>
      </w:r>
      <w:r>
        <w:t xml:space="preserve">ideal</w:t>
      </w:r>
      <w:r>
        <w:t xml:space="preserve">’</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reference soundscapes.</w:t>
      </w:r>
    </w:p>
    <w:p>
      <w:pPr>
        <w:pStyle w:val="BodyText"/>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to become the most prevalent assessment model in soundscape literature</w:t>
      </w:r>
      <w:r>
        <w:t xml:space="preserve"> </w:t>
      </w:r>
      <w:r>
        <w:t xml:space="preserve">(Aletta and Torresin 2023)</w:t>
      </w:r>
      <w:r>
        <w:t xml:space="preserve">. The SCM is built on a series of descriptors referred to as the Perceived Affective Quality (PAQ), proposed by</w:t>
      </w:r>
      <w:r>
        <w:t xml:space="preserve"> </w:t>
      </w:r>
      <w:r>
        <w:t xml:space="preserve">(Ö. Axelsson, Nilsson, and Berglund 2010)</w:t>
      </w:r>
      <w:r>
        <w:t xml:space="preserve">. These PAQs are based on the pleasantness-eventfulness paradigm adopted in research on emotions and environmental psychology (and its original version, conceptualized as valence-arousal paradigm), in particular Russell’s circumplex model of affect</w:t>
      </w:r>
      <w:r>
        <w:t xml:space="preserve"> </w:t>
      </w:r>
      <w:r>
        <w:t xml:space="preserve">(Russell 1980)</w:t>
      </w:r>
      <w:r>
        <w:t xml:space="preserve">. As summarised by</w:t>
      </w:r>
      <w:r>
        <w:t xml:space="preserve"> </w:t>
      </w:r>
      <w:r>
        <w:t xml:space="preserve">Ö. Axelsson, Nilsson, and Berglund (2010)</w:t>
      </w:r>
      <w:r>
        <w:t xml:space="preserve">:</w:t>
      </w:r>
      <w:r>
        <w:t xml:space="preserve"> </w:t>
      </w:r>
      <w:r>
        <w:t xml:space="preserve">“</w:t>
      </w:r>
      <w:r>
        <w:t xml:space="preserve">Russell’s model identifies two dimensions related to the perceived pleasantness of environments and how activating or arousing the environment is.</w:t>
      </w:r>
      <w:r>
        <w:t xml:space="preserve">”</w:t>
      </w:r>
    </w:p>
    <w:p>
      <w:pPr>
        <w:pStyle w:val="BodyText"/>
      </w:pPr>
      <w:r>
        <w:t xml:space="preserve">One benefit of the circumplex model is that, as a whole, it encapsulates several of the other proposed soundscape descriptors - in particular, annoyance, pleasantness, tranquility,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 in-situ 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numPr>
          <w:ilvl w:val="0"/>
          <w:numId w:val="1003"/>
        </w:numPr>
        <w:pStyle w:val="Compact"/>
      </w:pPr>
      <w:r>
        <w:t xml:space="preserve">Define and parameterise the target circumplex distribution;</w:t>
      </w:r>
    </w:p>
    <w:p>
      <w:pPr>
        <w:numPr>
          <w:ilvl w:val="0"/>
          <w:numId w:val="1003"/>
        </w:numPr>
        <w:pStyle w:val="Compact"/>
      </w:pPr>
      <w:r>
        <w:t xml:space="preserve">Sample the target distribution and prepare the test distribution;</w:t>
      </w:r>
    </w:p>
    <w:p>
      <w:pPr>
        <w:numPr>
          <w:ilvl w:val="0"/>
          <w:numId w:val="1003"/>
        </w:numPr>
        <w:pStyle w:val="Compact"/>
      </w:pPr>
      <w:r>
        <w:t xml:space="preserve">Compare test and target distributions using the distance metric (two-dimensional Kolmogorov-Smirnov distance);</w:t>
      </w:r>
    </w:p>
    <w:p>
      <w:pPr>
        <w:numPr>
          <w:ilvl w:val="0"/>
          <w:numId w:val="1003"/>
        </w:numPr>
        <w:pStyle w:val="Compact"/>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r>
              <m:t>K</m:t>
            </m:r>
            <m:r>
              <m:t>S</m:t>
            </m:r>
          </m:e>
        </m:d>
      </m:oMath>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fig-bespoke-spi"/>
          <w:p>
            <w:pPr>
              <w:pStyle w:val="Compact"/>
              <w:jc w:val="center"/>
            </w:pPr>
            <w:r>
              <w:drawing>
                <wp:inline>
                  <wp:extent cx="5943600" cy="1837453"/>
                  <wp:effectExtent b="0" l="0" r="0" t="0"/>
                  <wp:docPr descr="" title="" id="26" name="Picture"/>
                  <a:graphic>
                    <a:graphicData uri="http://schemas.openxmlformats.org/drawingml/2006/picture">
                      <pic:pic>
                        <pic:nvPicPr>
                          <pic:cNvPr descr="SPI-framework.drawio.png" id="27" name="Picture"/>
                          <pic:cNvPicPr>
                            <a:picLocks noChangeArrowheads="1" noChangeAspect="1"/>
                          </pic:cNvPicPr>
                        </pic:nvPicPr>
                        <pic:blipFill>
                          <a:blip r:embed="rId25"/>
                          <a:stretch>
                            <a:fillRect/>
                          </a:stretch>
                        </pic:blipFill>
                        <pic:spPr bwMode="auto">
                          <a:xfrm>
                            <a:off x="0" y="0"/>
                            <a:ext cx="5943600" cy="183745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3.5</w:t>
        </w:r>
      </w:hyperlink>
      <w:r>
        <w:t xml:space="preserve"> </w:t>
      </w:r>
      <w:r>
        <w:t xml:space="preserve">will then present strategies for defining targets and their applications. 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Start w:id="31" w:name="sec-circumplex-distribution"/>
    <w:p>
      <w:pPr>
        <w:pStyle w:val="Heading2"/>
      </w:pPr>
      <w:r>
        <w:t xml:space="preserve">3.1 Define and Parameterise a Soundscape Circumplex Distribution</w:t>
      </w:r>
    </w:p>
    <w:p>
      <w:pPr>
        <w:pStyle w:val="FirstParagraph"/>
      </w:pPr>
      <w:r>
        <w:t xml:space="preserve">To move the eight-item PAQ responses into the two-dimensional circumplex space, we use the projection method first presented in ISO/TS 12913-3:2018</w:t>
      </w:r>
      <w:r>
        <w:t xml:space="preserve"> </w:t>
      </w:r>
      <w:r>
        <w:t xml:space="preserve">(ISO/TS 12913-3:2019 2019)</w:t>
      </w:r>
      <w:r>
        <w:t xml:space="preserve">. This projection method and its associated formulae were recently updated further in</w:t>
      </w:r>
      <w:r>
        <w:t xml:space="preserve"> </w:t>
      </w:r>
      <w:r>
        <w:t xml:space="preserve">Mitchell and Aletta (2023)</w:t>
      </w:r>
      <w:r>
        <w:t xml:space="preserve"> </w:t>
      </w:r>
      <w:r>
        <w:t xml:space="preserve">to include a correction for the language in which the survey was conducted.</w:t>
      </w:r>
      <w:r>
        <w:t xml:space="preserve"> </w:t>
      </w:r>
      <w:r>
        <w:t xml:space="preserve">Mitchell and Aletta (2023)</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 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numPr>
          <w:ilvl w:val="0"/>
          <w:numId w:val="1004"/>
        </w:numPr>
        <w:pStyle w:val="Compact"/>
      </w:pPr>
      <w:r>
        <w:t xml:space="preserve">The two axes are normally distributed.</w:t>
      </w:r>
    </w:p>
    <w:p>
      <w:pPr>
        <w:numPr>
          <w:ilvl w:val="0"/>
          <w:numId w:val="1004"/>
        </w:numPr>
        <w:pStyle w:val="Compact"/>
      </w:pPr>
      <w:r>
        <w:t xml:space="preserve">The two axes are independent of each other.</w:t>
      </w:r>
    </w:p>
    <w:p>
      <w:pPr>
        <w:numPr>
          <w:ilvl w:val="0"/>
          <w:numId w:val="1004"/>
        </w:numPr>
        <w:pStyle w:val="Compact"/>
      </w:pPr>
      <w:r>
        <w:t xml:space="preserve">The two axes are symmetrically distributed.</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Cs/>
          <w:i/>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Cs/>
          <w:i/>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29"/>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p>
          <w:tbl>
            <w:tblPr>
              <w:tblStyle w:val="Table"/>
              <w:tblW w:type="pct" w:w="5000"/>
              <w:tblLook w:firstRow="1" w:lastRow="0" w:firstColumn="0" w:lastColumn="0" w:noHBand="0" w:noVBand="0" w:val="0020"/>
              <w:jc w:val="start"/>
              <w:tblLayout w:type="fixed"/>
            </w:tblPr>
            <w:tblGrid>
              <w:gridCol w:w="1819"/>
              <w:gridCol w:w="1819"/>
              <w:gridCol w:w="2461"/>
              <w:gridCol w:w="1819"/>
            </w:tblGrid>
            <w:tr>
              <w:trPr>
                <w:tblHeader w:val="true"/>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0"/>
          <w:p/>
        </w:tc>
      </w:tr>
    </w:tbl>
    <w:bookmarkEnd w:id="31"/>
    <w:bookmarkStart w:id="37" w:name="sample-a-target-distribution"/>
    <w:p>
      <w:pPr>
        <w:pStyle w:val="Heading2"/>
      </w:pPr>
      <w:r>
        <w:t xml:space="preserve">3.2 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arge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ook w:firstRow="0" w:lastRow="0" w:firstColumn="0" w:lastColumn="0" w:noHBand="0" w:noVBand="0" w:val="0000"/>
        <w:jc w:val="start"/>
        <w:tblLayout w:type="fixed"/>
      </w:tblPr>
      <w:tblGrid>
        <w:gridCol w:w="7920"/>
      </w:tblGrid>
      <w:tr>
        <w:tc>
          <w:tcPr/>
          <w:bookmarkStart w:id="35" w:name="fig-targets"/>
          <w:p>
            <w:pPr>
              <w:pStyle w:val="Compact"/>
              <w:jc w:val="center"/>
            </w:pPr>
            <w:r>
              <w:drawing>
                <wp:inline>
                  <wp:extent cx="5943600" cy="2151924"/>
                  <wp:effectExtent b="0" l="0" r="0" t="0"/>
                  <wp:docPr descr="" title="" id="33" name="Picture"/>
                  <a:graphic>
                    <a:graphicData uri="http://schemas.openxmlformats.org/drawingml/2006/picture">
                      <pic:pic>
                        <pic:nvPicPr>
                          <pic:cNvPr descr="index_files/figure-docx/notebooks-SingleIndex-Code-fig-targets-output-1.png" id="34" name="Picture"/>
                          <pic:cNvPicPr>
                            <a:picLocks noChangeArrowheads="1" noChangeAspect="1"/>
                          </pic:cNvPicPr>
                        </pic:nvPicPr>
                        <pic:blipFill>
                          <a:blip r:embed="rId32"/>
                          <a:stretch>
                            <a:fillRect/>
                          </a:stretch>
                        </pic:blipFill>
                        <pic:spPr bwMode="auto">
                          <a:xfrm>
                            <a:off x="0" y="0"/>
                            <a:ext cx="5943600" cy="21519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SPI - Defining bespoke and archetypal context-dependent Soundscape Perception Indices</w:t>
        </w:r>
      </w:hyperlink>
    </w:p>
    <w:bookmarkEnd w:id="37"/>
    <w:bookmarkStart w:id="40" w:name="X4bd62f84f4ef149142be639a542e3bace5a1be8"/>
    <w:p>
      <w:pPr>
        <w:pStyle w:val="Heading2"/>
      </w:pPr>
      <w:r>
        <w:t xml:space="preserve">3.3 Compare the target and test soundscape assessment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(KS) test</w:t>
      </w:r>
      <w:r>
        <w:t xml:space="preserve"> </w:t>
      </w:r>
      <w:r>
        <w:t xml:space="preserve">(Fasano and Franceschini 1987)</w:t>
      </w:r>
      <w:r>
        <w:t xml:space="preserve">. The KS test is a non-parametric test of the equality of continuous distributions which is sensitive to both the location and shape of the distributions</w:t>
      </w:r>
      <w:r>
        <w:t xml:space="preserve"> </w:t>
      </w:r>
      <w:r>
        <w:t xml:space="preserve">(Chakravati, Laha, and Roy 1967)</w:t>
      </w:r>
    </w:p>
    <w:p>
      <w:pPr>
        <w:pStyle w:val="BodyText"/>
      </w:pPr>
      <w:r>
        <w:t xml:space="preserve">Essentially, we approach this as a problem of (dis)similarity between soundscapes. The 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 KS statistic and p-value is calculated for each of the target distributions defined above, shown in</w:t>
      </w:r>
      <w:r>
        <w:t xml:space="preserve"> </w:t>
      </w:r>
      <w:hyperlink w:anchor="tbl-ks-test">
        <w:r>
          <w:rPr>
            <w:rStyle w:val="Hyperlink"/>
          </w:rPr>
          <w:t xml:space="preserve">Table 2</w:t>
        </w:r>
      </w:hyperlink>
      <w:r>
        <w:t xml:space="preserve"> </w:t>
      </w:r>
      <w:r>
        <w:t xml:space="preserve">and</w:t>
      </w:r>
      <w:r>
        <w:t xml:space="preserve"> </w:t>
      </w:r>
      <w:r>
        <w:t xml:space="preserve">(</w:t>
      </w:r>
      <w:r>
        <w:rPr>
          <w:bCs/>
          <w:b/>
        </w:rPr>
        <w:t xml:space="preserve">fig?</w:t>
      </w:r>
      <w:r>
        <w:t xml:space="preserve">)</w:t>
      </w:r>
      <w:r>
        <w:t xml:space="preserve">–targets.</w:t>
      </w:r>
    </w:p>
    <w:tbl>
      <w:tblPr>
        <w:tblStyle w:val="Table"/>
        <w:tblW w:type="pct" w:w="5000"/>
        <w:tblLook w:firstRow="0" w:lastRow="0" w:firstColumn="0" w:lastColumn="0" w:noHBand="0" w:noVBand="0" w:val="0000"/>
        <w:jc w:val="start"/>
        <w:tblLayout w:type="fixed"/>
      </w:tblPr>
      <w:tblGrid>
        <w:gridCol w:w="7920"/>
      </w:tblGrid>
      <w:tr>
        <w:tc>
          <w:tcPr/>
          <w:bookmarkStart w:id="38"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ook w:firstRow="1" w:lastRow="0" w:firstColumn="0" w:lastColumn="0" w:noHBand="0" w:noVBand="0" w:val="0020"/>
              <w:jc w:val="start"/>
              <w:tblLayout w:type="fixed"/>
            </w:tblPr>
            <w:tblGrid>
              <w:gridCol w:w="1210"/>
              <w:gridCol w:w="770"/>
              <w:gridCol w:w="1540"/>
            </w:tblGrid>
            <w:tr>
              <w:trPr>
                <w:tblHeader w:val="true"/>
              </w:trPr>
              <w:tc>
                <w:tcPr/>
                <w:p>
                  <w:pPr>
                    <w:pStyle w:val="Compact"/>
                    <w:jc w:val="left"/>
                    <w:jc w:val="center"/>
                  </w:pPr>
                  <w:r>
                    <w:t xml:space="preserve">Target</w:t>
                  </w:r>
                </w:p>
              </w:tc>
              <w:tc>
                <w:tcPr/>
                <w:p>
                  <w:pPr>
                    <w:pStyle w:val="Compact"/>
                    <w:jc w:val="left"/>
                    <w:jc w:val="center"/>
                  </w:pPr>
                  <w:r>
                    <w:t xml:space="preserve">D</w:t>
                  </w:r>
                </w:p>
              </w:tc>
              <w:tc>
                <w:tcPr/>
                <w:p>
                  <w:pPr>
                    <w:pStyle w:val="SourceCode"/>
                    <w:jc w:val="left"/>
                    <w:jc w:val="center"/>
                  </w:pPr>
                  <w:r>
                    <w:rPr>
                      <w:rStyle w:val="VerbatimChar"/>
                    </w:rPr>
                    <w:t xml:space="preserve">      p</w:t>
                  </w:r>
                </w:p>
              </w:tc>
            </w:tr>
            <w:tr>
              <w:tc>
                <w:tcPr/>
                <w:p>
                  <w:pPr>
                    <w:pStyle w:val="Compact"/>
                    <w:jc w:val="left"/>
                    <w:jc w:val="center"/>
                  </w:pPr>
                  <w:r>
                    <w:t xml:space="preserve">tgt_1</w:t>
                  </w:r>
                </w:p>
              </w:tc>
              <w:tc>
                <w:tcPr/>
                <w:p>
                  <w:pPr>
                    <w:pStyle w:val="Compact"/>
                    <w:jc w:val="left"/>
                    <w:jc w:val="center"/>
                  </w:pPr>
                  <w:r>
                    <w:t xml:space="preserve">0.64</w:t>
                  </w:r>
                </w:p>
              </w:tc>
              <w:tc>
                <w:tcPr/>
                <w:p>
                  <w:pPr>
                    <w:pStyle w:val="Compact"/>
                    <w:jc w:val="left"/>
                    <w:jc w:val="center"/>
                  </w:pPr>
                  <w:r>
                    <w:t xml:space="preserve">2.48761e-23</w:t>
                  </w:r>
                </w:p>
              </w:tc>
            </w:tr>
            <w:tr>
              <w:tc>
                <w:tcPr/>
                <w:p>
                  <w:pPr>
                    <w:pStyle w:val="Compact"/>
                    <w:jc w:val="left"/>
                    <w:jc w:val="center"/>
                  </w:pPr>
                  <w:r>
                    <w:t xml:space="preserve">tgt_2</w:t>
                  </w:r>
                </w:p>
              </w:tc>
              <w:tc>
                <w:tcPr/>
                <w:p>
                  <w:pPr>
                    <w:pStyle w:val="Compact"/>
                    <w:jc w:val="left"/>
                    <w:jc w:val="center"/>
                  </w:pPr>
                  <w:r>
                    <w:t xml:space="preserve">0.82</w:t>
                  </w:r>
                </w:p>
              </w:tc>
              <w:tc>
                <w:tcPr/>
                <w:p>
                  <w:pPr>
                    <w:pStyle w:val="Compact"/>
                    <w:jc w:val="left"/>
                    <w:jc w:val="center"/>
                  </w:pPr>
                  <w:r>
                    <w:t xml:space="preserve">5.87603e-38</w:t>
                  </w:r>
                </w:p>
              </w:tc>
            </w:tr>
            <w:tr>
              <w:tc>
                <w:tcPr/>
                <w:p>
                  <w:pPr>
                    <w:pStyle w:val="Compact"/>
                    <w:jc w:val="left"/>
                    <w:jc w:val="center"/>
                  </w:pPr>
                  <w:r>
                    <w:t xml:space="preserve">tgt_3</w:t>
                  </w:r>
                </w:p>
              </w:tc>
              <w:tc>
                <w:tcPr/>
                <w:p>
                  <w:pPr>
                    <w:pStyle w:val="Compact"/>
                    <w:jc w:val="left"/>
                    <w:jc w:val="center"/>
                  </w:pPr>
                  <w:r>
                    <w:t xml:space="preserve">0.28</w:t>
                  </w:r>
                </w:p>
              </w:tc>
              <w:tc>
                <w:tcPr/>
                <w:p>
                  <w:pPr>
                    <w:pStyle w:val="Compact"/>
                    <w:jc w:val="left"/>
                    <w:jc w:val="center"/>
                  </w:pPr>
                  <w:r>
                    <w:t xml:space="preserve">5.87603e-38</w:t>
                  </w:r>
                </w:p>
              </w:tc>
            </w:tr>
          </w:tbl>
          <w:bookmarkEnd w:id="38"/>
          <w:p/>
        </w:tc>
      </w:tr>
    </w:tbl>
    <w:p>
      <w:pPr>
        <w:pStyle w:val="BodyText"/>
      </w:pPr>
      <w:r>
        <w:rPr>
          <w:vertAlign w:val="subscript"/>
        </w:rPr>
        <w:t xml:space="preserve">Source:</w:t>
      </w:r>
      <w:r>
        <w:rPr>
          <w:vertAlign w:val="subscript"/>
        </w:rPr>
        <w:t xml:space="preserve"> </w:t>
      </w:r>
      <w:hyperlink r:id="rId39">
        <w:r>
          <w:rPr>
            <w:rStyle w:val="Hyperlink"/>
            <w:vertAlign w:val="subscript"/>
          </w:rPr>
          <w:t xml:space="preserve">SPI - Defining bespoke and archetypal context-dependent Soundscape Perception Indices</w:t>
        </w:r>
      </w:hyperlink>
    </w:p>
    <w:p>
      <w:pPr>
        <w:pStyle w:val="BodyText"/>
      </w:pPr>
      <w:r>
        <w:t xml:space="preserve">For the 2D KS test, a p-value less than 0.05 indicates that the empirical distributions are not drawn from the same distribution function. In this use case, where we never expect the distributions to be identical and instead only wish to characterize their degree of (dis)similarity, we discard the p-value and focus only on the test statistic.</w:t>
      </w:r>
    </w:p>
    <w:bookmarkEnd w:id="40"/>
    <w:bookmarkStart w:id="43" w:name="calculate-the-spi-score"/>
    <w:p>
      <w:pPr>
        <w:pStyle w:val="Heading2"/>
      </w:pPr>
      <w:r>
        <w:t xml:space="preserve">3.4 Calculate the SPI score</w:t>
      </w:r>
    </w:p>
    <w:p>
      <w:pPr>
        <w:pStyle w:val="FirstParagraph"/>
      </w:pPr>
      <w:r>
        <w:t xml:space="preserve">The final step is to convert the KS test statistic into a more interpretable form to use as a comparison across soundscapes. Since the KS test statistic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r>
                <m:t>K</m:t>
              </m:r>
              <m:r>
                <m:t>S</m:t>
              </m:r>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To show the usefulness of the test-target paradigm, we calculated the SPIs for each of the three target distributions for all the locations included in the ISD, beyond San Marco, as shown in</w:t>
      </w:r>
      <w:r>
        <w:t xml:space="preserve"> </w:t>
      </w:r>
      <w:hyperlink w:anchor="tbl-ex-spis">
        <w:r>
          <w:rPr>
            <w:rStyle w:val="Hyperlink"/>
          </w:rPr>
          <w:t xml:space="preserve">Table 3</w:t>
        </w:r>
      </w:hyperlink>
      <w:r>
        <w:t xml:space="preserve">. Since each location is now assigned an SPI, this makes it possible to effectively produce three separate rankings of soundscape quality for these locations, depending on which target is considered the goal.</w:t>
      </w:r>
    </w:p>
    <w:tbl>
      <w:tblPr>
        <w:tblStyle w:val="Table"/>
        <w:tblW w:type="pct" w:w="5000"/>
        <w:tblLook w:firstRow="0" w:lastRow="0" w:firstColumn="0" w:lastColumn="0" w:noHBand="0" w:noVBand="0" w:val="0000"/>
        <w:jc w:val="start"/>
        <w:tblLayout w:type="fixed"/>
      </w:tblPr>
      <w:tblGrid>
        <w:gridCol w:w="7920"/>
      </w:tblGrid>
      <w:tr>
        <w:tc>
          <w:tcPr/>
          <w:bookmarkStart w:id="41"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ook w:firstRow="1" w:lastRow="0" w:firstColumn="0" w:lastColumn="0" w:noHBand="0" w:noVBand="0" w:val="0020"/>
              <w:jc w:val="start"/>
              <w:tblLayout w:type="fixed"/>
            </w:tblPr>
            <w:tblGrid>
              <w:gridCol w:w="1013"/>
              <w:gridCol w:w="2302"/>
              <w:gridCol w:w="2302"/>
              <w:gridCol w:w="2302"/>
            </w:tblGrid>
            <w:tr>
              <w:trPr>
                <w:tblHeader w:val="true"/>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r>
                    <w:t xml:space="preserve"> </w:t>
                  </w:r>
                  <w:r>
                    <w:t xml:space="preserve">(pleasant)</w:t>
                  </w:r>
                </w:p>
              </w:tc>
              <w:tc>
                <w:tcPr/>
                <w:p>
                  <w:pPr>
                    <w:pStyle w:val="Compact"/>
                    <w:jc w:val="left"/>
                    <w:jc w:val="center"/>
                  </w:pPr>
                  <m:oMath>
                    <m:r>
                      <m:t>S</m:t>
                    </m:r>
                    <m:r>
                      <m:t>P</m:t>
                    </m:r>
                    <m:sSub>
                      <m:e>
                        <m:r>
                          <m:t>I</m:t>
                        </m:r>
                      </m:e>
                      <m:sub>
                        <m:r>
                          <m:t>2</m:t>
                        </m:r>
                      </m:sub>
                    </m:sSub>
                  </m:oMath>
                  <w:r>
                    <w:t xml:space="preserve"> </w:t>
                  </w:r>
                  <w:r>
                    <w:t xml:space="preserve">(calm)</w:t>
                  </w:r>
                </w:p>
              </w:tc>
              <w:tc>
                <w:tcPr/>
                <w:p>
                  <w:pPr>
                    <w:pStyle w:val="Compact"/>
                    <w:jc w:val="left"/>
                    <w:jc w:val="center"/>
                  </w:pPr>
                  <m:oMath>
                    <m:r>
                      <m:t>S</m:t>
                    </m:r>
                    <m:r>
                      <m:t>P</m:t>
                    </m:r>
                    <m:sSub>
                      <m:e>
                        <m:r>
                          <m:t>I</m:t>
                        </m:r>
                      </m:e>
                      <m:sub>
                        <m:r>
                          <m:t>3</m:t>
                        </m:r>
                      </m:sub>
                    </m:sSub>
                  </m:oMath>
                  <w:r>
                    <w:t xml:space="preserve"> </w:t>
                  </w:r>
                  <w:r>
                    <w:t xml:space="preserve">(vibrant)</w:t>
                  </w:r>
                </w:p>
              </w:tc>
            </w:tr>
            <w:tr>
              <w:tc>
                <w:tcPr/>
                <w:p>
                  <w:pPr>
                    <w:pStyle w:val="Compact"/>
                    <w:jc w:val="right"/>
                    <w:jc w:val="center"/>
                  </w:pPr>
                  <w:r>
                    <w:t xml:space="preserve">1</w:t>
                  </w:r>
                </w:p>
              </w:tc>
              <w:tc>
                <w:tcPr/>
                <w:p>
                  <w:pPr>
                    <w:pStyle w:val="Compact"/>
                    <w:jc w:val="left"/>
                    <w:jc w:val="center"/>
                  </w:pPr>
                  <w:r>
                    <w:t xml:space="preserve">72 CarloV</w:t>
                  </w:r>
                </w:p>
              </w:tc>
              <w:tc>
                <w:tcPr/>
                <w:p>
                  <w:pPr>
                    <w:pStyle w:val="Compact"/>
                    <w:jc w:val="left"/>
                    <w:jc w:val="center"/>
                  </w:pPr>
                  <w:r>
                    <w:t xml:space="preserve">64 CampoPrincipe</w:t>
                  </w:r>
                </w:p>
              </w:tc>
              <w:tc>
                <w:tcPr/>
                <w:p>
                  <w:pPr>
                    <w:pStyle w:val="Compact"/>
                    <w:jc w:val="left"/>
                    <w:jc w:val="center"/>
                  </w:pPr>
                  <w:r>
                    <w:t xml:space="preserve">72 SanMarco</w:t>
                  </w:r>
                </w:p>
              </w:tc>
            </w:tr>
            <w:tr>
              <w:tc>
                <w:tcPr/>
                <w:p>
                  <w:pPr>
                    <w:pStyle w:val="Compact"/>
                    <w:jc w:val="right"/>
                    <w:jc w:val="center"/>
                  </w:pPr>
                  <w:r>
                    <w:t xml:space="preserve">2</w:t>
                  </w:r>
                </w:p>
              </w:tc>
              <w:tc>
                <w:tcPr/>
                <w:p>
                  <w:pPr>
                    <w:pStyle w:val="Compact"/>
                    <w:jc w:val="left"/>
                    <w:jc w:val="center"/>
                  </w:pPr>
                  <w:r>
                    <w:t xml:space="preserve">70 RegentsParkFields</w:t>
                  </w:r>
                </w:p>
              </w:tc>
              <w:tc>
                <w:tcPr/>
                <w:p>
                  <w:pPr>
                    <w:pStyle w:val="Compact"/>
                    <w:jc w:val="left"/>
                    <w:jc w:val="center"/>
                  </w:pPr>
                  <w:r>
                    <w:t xml:space="preserve">54 CarloV</w:t>
                  </w:r>
                </w:p>
              </w:tc>
              <w:tc>
                <w:tcPr/>
                <w:p>
                  <w:pPr>
                    <w:pStyle w:val="Compact"/>
                    <w:jc w:val="left"/>
                    <w:jc w:val="center"/>
                  </w:pPr>
                  <w:r>
                    <w:t xml:space="preserve">62 TateModern</w:t>
                  </w:r>
                </w:p>
              </w:tc>
            </w:tr>
            <w:tr>
              <w:tc>
                <w:tcPr/>
                <w:p>
                  <w:pPr>
                    <w:pStyle w:val="Compact"/>
                    <w:jc w:val="right"/>
                    <w:jc w:val="center"/>
                  </w:pPr>
                  <w:r>
                    <w:t xml:space="preserve">3</w:t>
                  </w:r>
                </w:p>
              </w:tc>
              <w:tc>
                <w:tcPr/>
                <w:p>
                  <w:pPr>
                    <w:pStyle w:val="Compact"/>
                    <w:jc w:val="left"/>
                    <w:jc w:val="center"/>
                  </w:pPr>
                  <w:r>
                    <w:t xml:space="preserve">64 CampoPrincipe</w:t>
                  </w:r>
                </w:p>
              </w:tc>
              <w:tc>
                <w:tcPr/>
                <w:p>
                  <w:pPr>
                    <w:pStyle w:val="Compact"/>
                    <w:jc w:val="left"/>
                    <w:jc w:val="center"/>
                  </w:pPr>
                  <w:r>
                    <w:t xml:space="preserve">51 RegentsParkFields</w:t>
                  </w:r>
                </w:p>
              </w:tc>
              <w:tc>
                <w:tcPr/>
                <w:p>
                  <w:pPr>
                    <w:pStyle w:val="Compact"/>
                    <w:jc w:val="left"/>
                    <w:jc w:val="center"/>
                  </w:pPr>
                  <w:r>
                    <w:t xml:space="preserve">60 StPaulsCross</w:t>
                  </w:r>
                </w:p>
              </w:tc>
            </w:tr>
            <w:tr>
              <w:tc>
                <w:tcPr/>
                <w:p>
                  <w:pPr>
                    <w:pStyle w:val="Compact"/>
                    <w:jc w:val="right"/>
                    <w:jc w:val="center"/>
                  </w:pPr>
                  <w:r>
                    <w:t xml:space="preserve">4</w:t>
                  </w:r>
                </w:p>
              </w:tc>
              <w:tc>
                <w:tcPr/>
                <w:p>
                  <w:pPr>
                    <w:pStyle w:val="Compact"/>
                    <w:jc w:val="left"/>
                    <w:jc w:val="center"/>
                  </w:pPr>
                  <w:r>
                    <w:t xml:space="preserve">64 RegentsParkJapan</w:t>
                  </w:r>
                </w:p>
              </w:tc>
              <w:tc>
                <w:tcPr/>
                <w:p>
                  <w:pPr>
                    <w:pStyle w:val="Compact"/>
                    <w:jc w:val="left"/>
                    <w:jc w:val="center"/>
                  </w:pPr>
                  <w:r>
                    <w:t xml:space="preserve">50 PlazaBibRambla</w:t>
                  </w:r>
                </w:p>
              </w:tc>
              <w:tc>
                <w:tcPr/>
                <w:p>
                  <w:pPr>
                    <w:pStyle w:val="Compact"/>
                    <w:jc w:val="left"/>
                    <w:jc w:val="center"/>
                  </w:pPr>
                  <w:r>
                    <w:t xml:space="preserve">59 Noorderplantsoen</w:t>
                  </w:r>
                </w:p>
              </w:tc>
            </w:tr>
            <w:tr>
              <w:tc>
                <w:tcPr/>
                <w:p>
                  <w:pPr>
                    <w:pStyle w:val="Compact"/>
                    <w:jc w:val="right"/>
                    <w:jc w:val="center"/>
                  </w:pPr>
                  <w:r>
                    <w:t xml:space="preserve">5</w:t>
                  </w:r>
                </w:p>
              </w:tc>
              <w:tc>
                <w:tcPr/>
                <w:p>
                  <w:pPr>
                    <w:pStyle w:val="Compact"/>
                    <w:jc w:val="left"/>
                    <w:jc w:val="center"/>
                  </w:pPr>
                  <w:r>
                    <w:t xml:space="preserve">63 PlazaBibRambla</w:t>
                  </w:r>
                </w:p>
              </w:tc>
              <w:tc>
                <w:tcPr/>
                <w:p>
                  <w:pPr>
                    <w:pStyle w:val="Compact"/>
                    <w:jc w:val="left"/>
                    <w:jc w:val="center"/>
                  </w:pPr>
                  <w:r>
                    <w:t xml:space="preserve">46 MarchmontGarden</w:t>
                  </w:r>
                </w:p>
              </w:tc>
              <w:tc>
                <w:tcPr/>
                <w:p>
                  <w:pPr>
                    <w:pStyle w:val="Compact"/>
                    <w:jc w:val="left"/>
                    <w:jc w:val="center"/>
                  </w:pPr>
                  <w:r>
                    <w:t xml:space="preserve">54 PancrasLock</w:t>
                  </w:r>
                </w:p>
              </w:tc>
            </w:tr>
            <w:tr>
              <w:tc>
                <w:tcPr/>
                <w:p>
                  <w:pPr>
                    <w:pStyle w:val="Compact"/>
                    <w:jc w:val="right"/>
                    <w:jc w:val="center"/>
                  </w:pPr>
                  <w:r>
                    <w:t xml:space="preserve">6</w:t>
                  </w:r>
                </w:p>
              </w:tc>
              <w:tc>
                <w:tcPr/>
                <w:p>
                  <w:pPr>
                    <w:pStyle w:val="Compact"/>
                    <w:jc w:val="left"/>
                    <w:jc w:val="center"/>
                  </w:pPr>
                  <w:r>
                    <w:t xml:space="preserve">62 RussellSq</w:t>
                  </w:r>
                </w:p>
              </w:tc>
              <w:tc>
                <w:tcPr/>
                <w:p>
                  <w:pPr>
                    <w:pStyle w:val="Compact"/>
                    <w:jc w:val="left"/>
                    <w:jc w:val="center"/>
                  </w:pPr>
                  <w:r>
                    <w:t xml:space="preserve">44 MonumentoGaribaldi</w:t>
                  </w:r>
                </w:p>
              </w:tc>
              <w:tc>
                <w:tcPr/>
                <w:p>
                  <w:pPr>
                    <w:pStyle w:val="Compact"/>
                    <w:jc w:val="left"/>
                    <w:jc w:val="center"/>
                  </w:pPr>
                  <w:r>
                    <w:t xml:space="preserve">54 TorringtonSq</w:t>
                  </w:r>
                </w:p>
              </w:tc>
            </w:tr>
            <w:tr>
              <w:tc>
                <w:tcPr/>
                <w:p>
                  <w:pPr>
                    <w:pStyle w:val="Compact"/>
                    <w:jc w:val="right"/>
                    <w:jc w:val="center"/>
                  </w:pPr>
                  <w:r>
                    <w:t xml:space="preserve">7</w:t>
                  </w:r>
                </w:p>
              </w:tc>
              <w:tc>
                <w:tcPr/>
                <w:p>
                  <w:pPr>
                    <w:pStyle w:val="Compact"/>
                    <w:jc w:val="left"/>
                    <w:jc w:val="center"/>
                  </w:pPr>
                  <w:r>
                    <w:t xml:space="preserve">62 MarchmontGarden</w:t>
                  </w:r>
                </w:p>
              </w:tc>
              <w:tc>
                <w:tcPr/>
                <w:p>
                  <w:pPr>
                    <w:pStyle w:val="Compact"/>
                    <w:jc w:val="left"/>
                    <w:jc w:val="center"/>
                  </w:pPr>
                  <w:r>
                    <w:t xml:space="preserve">41 RussellSq</w:t>
                  </w:r>
                </w:p>
              </w:tc>
              <w:tc>
                <w:tcPr/>
                <w:p>
                  <w:pPr>
                    <w:pStyle w:val="Compact"/>
                    <w:jc w:val="left"/>
                    <w:jc w:val="center"/>
                  </w:pPr>
                  <w:r>
                    <w:t xml:space="preserve">47 StPaulsRow</w:t>
                  </w:r>
                </w:p>
              </w:tc>
            </w:tr>
            <w:tr>
              <w:tc>
                <w:tcPr/>
                <w:p>
                  <w:pPr>
                    <w:pStyle w:val="Compact"/>
                    <w:jc w:val="right"/>
                    <w:jc w:val="center"/>
                  </w:pPr>
                  <w:r>
                    <w:t xml:space="preserve">8</w:t>
                  </w:r>
                </w:p>
              </w:tc>
              <w:tc>
                <w:tcPr/>
                <w:p>
                  <w:pPr>
                    <w:pStyle w:val="Compact"/>
                    <w:jc w:val="left"/>
                    <w:jc w:val="center"/>
                  </w:pPr>
                  <w:r>
                    <w:t xml:space="preserve">61 PancrasLock</w:t>
                  </w:r>
                </w:p>
              </w:tc>
              <w:tc>
                <w:tcPr/>
                <w:p>
                  <w:pPr>
                    <w:pStyle w:val="Compact"/>
                    <w:jc w:val="left"/>
                    <w:jc w:val="center"/>
                  </w:pPr>
                  <w:r>
                    <w:t xml:space="preserve">40 PancrasLock</w:t>
                  </w:r>
                </w:p>
              </w:tc>
              <w:tc>
                <w:tcPr/>
                <w:p>
                  <w:pPr>
                    <w:pStyle w:val="Compact"/>
                    <w:jc w:val="left"/>
                    <w:jc w:val="center"/>
                  </w:pPr>
                  <w:r>
                    <w:t xml:space="preserve">47 RussellSq</w:t>
                  </w:r>
                </w:p>
              </w:tc>
            </w:tr>
            <w:tr>
              <w:tc>
                <w:tcPr/>
                <w:p>
                  <w:pPr>
                    <w:pStyle w:val="Compact"/>
                    <w:jc w:val="right"/>
                    <w:jc w:val="center"/>
                  </w:pPr>
                  <w:r>
                    <w:t xml:space="preserve">9</w:t>
                  </w:r>
                </w:p>
              </w:tc>
              <w:tc>
                <w:tcPr/>
                <w:p>
                  <w:pPr>
                    <w:pStyle w:val="Compact"/>
                    <w:jc w:val="left"/>
                    <w:jc w:val="center"/>
                  </w:pPr>
                  <w:r>
                    <w:t xml:space="preserve">61 MonumentoGaribaldi</w:t>
                  </w:r>
                </w:p>
              </w:tc>
              <w:tc>
                <w:tcPr/>
                <w:p>
                  <w:pPr>
                    <w:pStyle w:val="Compact"/>
                    <w:jc w:val="left"/>
                    <w:jc w:val="center"/>
                  </w:pPr>
                  <w:r>
                    <w:t xml:space="preserve">39 RegentsParkJapan</w:t>
                  </w:r>
                </w:p>
              </w:tc>
              <w:tc>
                <w:tcPr/>
                <w:p>
                  <w:pPr>
                    <w:pStyle w:val="Compact"/>
                    <w:jc w:val="left"/>
                    <w:jc w:val="center"/>
                  </w:pPr>
                  <w:r>
                    <w:t xml:space="preserve">46 MiradorSanNicolas</w:t>
                  </w:r>
                </w:p>
              </w:tc>
            </w:tr>
            <w:tr>
              <w:tc>
                <w:tcPr/>
                <w:p>
                  <w:pPr>
                    <w:pStyle w:val="Compact"/>
                    <w:jc w:val="right"/>
                    <w:jc w:val="center"/>
                  </w:pPr>
                  <w:r>
                    <w:t xml:space="preserve">10</w:t>
                  </w:r>
                </w:p>
              </w:tc>
              <w:tc>
                <w:tcPr/>
                <w:p>
                  <w:pPr>
                    <w:pStyle w:val="Compact"/>
                    <w:jc w:val="left"/>
                    <w:jc w:val="center"/>
                  </w:pPr>
                  <w:r>
                    <w:t xml:space="preserve">55 StPaulsCross</w:t>
                  </w:r>
                </w:p>
              </w:tc>
              <w:tc>
                <w:tcPr/>
                <w:p>
                  <w:pPr>
                    <w:pStyle w:val="Compact"/>
                    <w:jc w:val="left"/>
                    <w:jc w:val="center"/>
                  </w:pPr>
                  <w:r>
                    <w:t xml:space="preserve">32 StPaulsCross</w:t>
                  </w:r>
                </w:p>
              </w:tc>
              <w:tc>
                <w:tcPr/>
                <w:p>
                  <w:pPr>
                    <w:pStyle w:val="Compact"/>
                    <w:jc w:val="left"/>
                    <w:jc w:val="center"/>
                  </w:pPr>
                  <w:r>
                    <w:t xml:space="preserve">42 CamdenTown</w:t>
                  </w:r>
                </w:p>
              </w:tc>
            </w:tr>
            <w:tr>
              <w:tc>
                <w:tcPr/>
                <w:p>
                  <w:pPr>
                    <w:pStyle w:val="Compact"/>
                    <w:jc w:val="right"/>
                    <w:jc w:val="center"/>
                  </w:pPr>
                  <w:r>
                    <w:t xml:space="preserve">11</w:t>
                  </w:r>
                </w:p>
              </w:tc>
              <w:tc>
                <w:tcPr/>
                <w:p>
                  <w:pPr>
                    <w:pStyle w:val="Compact"/>
                    <w:jc w:val="left"/>
                    <w:jc w:val="center"/>
                  </w:pPr>
                  <w:r>
                    <w:t xml:space="preserve">50 TateModern</w:t>
                  </w:r>
                </w:p>
              </w:tc>
              <w:tc>
                <w:tcPr/>
                <w:p>
                  <w:pPr>
                    <w:pStyle w:val="Compact"/>
                    <w:jc w:val="left"/>
                    <w:jc w:val="center"/>
                  </w:pPr>
                  <w:r>
                    <w:t xml:space="preserve">32 MiradorSanNicolas</w:t>
                  </w:r>
                </w:p>
              </w:tc>
              <w:tc>
                <w:tcPr/>
                <w:p>
                  <w:pPr>
                    <w:pStyle w:val="Compact"/>
                    <w:jc w:val="left"/>
                    <w:jc w:val="center"/>
                  </w:pPr>
                  <w:r>
                    <w:t xml:space="preserve">40 CarloV</w:t>
                  </w:r>
                </w:p>
              </w:tc>
            </w:tr>
            <w:tr>
              <w:tc>
                <w:tcPr/>
                <w:p>
                  <w:pPr>
                    <w:pStyle w:val="Compact"/>
                    <w:jc w:val="right"/>
                    <w:jc w:val="center"/>
                  </w:pPr>
                  <w:r>
                    <w:t xml:space="preserve">12</w:t>
                  </w:r>
                </w:p>
              </w:tc>
              <w:tc>
                <w:tcPr/>
                <w:p>
                  <w:pPr>
                    <w:pStyle w:val="Compact"/>
                    <w:jc w:val="left"/>
                    <w:jc w:val="center"/>
                  </w:pPr>
                  <w:r>
                    <w:t xml:space="preserve">50 StPaulsRow</w:t>
                  </w:r>
                </w:p>
              </w:tc>
              <w:tc>
                <w:tcPr/>
                <w:p>
                  <w:pPr>
                    <w:pStyle w:val="Compact"/>
                    <w:jc w:val="left"/>
                    <w:jc w:val="center"/>
                  </w:pPr>
                  <w:r>
                    <w:t xml:space="preserve">31 TateModern</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46 MiradorSanNicolas</w:t>
                  </w:r>
                </w:p>
              </w:tc>
              <w:tc>
                <w:tcPr/>
                <w:p>
                  <w:pPr>
                    <w:pStyle w:val="Compact"/>
                    <w:jc w:val="left"/>
                    <w:jc w:val="center"/>
                  </w:pPr>
                  <w:r>
                    <w:t xml:space="preserve">30 TorringtonSq</w:t>
                  </w:r>
                </w:p>
              </w:tc>
              <w:tc>
                <w:tcPr/>
                <w:p>
                  <w:pPr>
                    <w:pStyle w:val="Compact"/>
                    <w:jc w:val="left"/>
                    <w:jc w:val="center"/>
                  </w:pPr>
                  <w:r>
                    <w:t xml:space="preserve">34 MarchmontGarden</w:t>
                  </w:r>
                </w:p>
              </w:tc>
            </w:tr>
            <w:tr>
              <w:tc>
                <w:tcPr/>
                <w:p>
                  <w:pPr>
                    <w:pStyle w:val="Compact"/>
                    <w:jc w:val="right"/>
                    <w:jc w:val="center"/>
                  </w:pPr>
                  <w:r>
                    <w:t xml:space="preserve">14</w:t>
                  </w:r>
                </w:p>
              </w:tc>
              <w:tc>
                <w:tcPr/>
                <w:p>
                  <w:pPr>
                    <w:pStyle w:val="Compact"/>
                    <w:jc w:val="left"/>
                    <w:jc w:val="center"/>
                  </w:pPr>
                  <w:r>
                    <w:t xml:space="preserve">41 Noorderplantsoen</w:t>
                  </w:r>
                </w:p>
              </w:tc>
              <w:tc>
                <w:tcPr/>
                <w:p>
                  <w:pPr>
                    <w:pStyle w:val="Compact"/>
                    <w:jc w:val="left"/>
                    <w:jc w:val="center"/>
                  </w:pPr>
                  <w:r>
                    <w:t xml:space="preserve">29 StPaulsRow</w:t>
                  </w:r>
                </w:p>
              </w:tc>
              <w:tc>
                <w:tcPr/>
                <w:p>
                  <w:pPr>
                    <w:pStyle w:val="Compact"/>
                    <w:jc w:val="left"/>
                    <w:jc w:val="center"/>
                  </w:pPr>
                  <w:r>
                    <w:t xml:space="preserve">33 PlazaBibRambla</w:t>
                  </w:r>
                </w:p>
              </w:tc>
            </w:tr>
            <w:tr>
              <w:tc>
                <w:tcPr/>
                <w:p>
                  <w:pPr>
                    <w:pStyle w:val="Compact"/>
                    <w:jc w:val="right"/>
                    <w:jc w:val="center"/>
                  </w:pPr>
                  <w:r>
                    <w:t xml:space="preserve">15</w:t>
                  </w:r>
                </w:p>
              </w:tc>
              <w:tc>
                <w:tcPr/>
                <w:p>
                  <w:pPr>
                    <w:pStyle w:val="Compact"/>
                    <w:jc w:val="left"/>
                    <w:jc w:val="center"/>
                  </w:pPr>
                  <w:r>
                    <w:t xml:space="preserve">39 TorringtonSq</w:t>
                  </w:r>
                </w:p>
              </w:tc>
              <w:tc>
                <w:tcPr/>
                <w:p>
                  <w:pPr>
                    <w:pStyle w:val="Compact"/>
                    <w:jc w:val="left"/>
                    <w:jc w:val="center"/>
                  </w:pPr>
                  <w:r>
                    <w:t xml:space="preserve">17 SanMarco</w:t>
                  </w:r>
                </w:p>
              </w:tc>
              <w:tc>
                <w:tcPr/>
                <w:p>
                  <w:pPr>
                    <w:pStyle w:val="Compact"/>
                    <w:jc w:val="left"/>
                    <w:jc w:val="center"/>
                  </w:pPr>
                  <w:r>
                    <w:t xml:space="preserve">32 CampoPrincipe</w:t>
                  </w:r>
                </w:p>
              </w:tc>
            </w:tr>
            <w:tr>
              <w:tc>
                <w:tcPr/>
                <w:p>
                  <w:pPr>
                    <w:pStyle w:val="Compact"/>
                    <w:jc w:val="right"/>
                    <w:jc w:val="center"/>
                  </w:pPr>
                  <w:r>
                    <w:t xml:space="preserve">16</w:t>
                  </w:r>
                </w:p>
              </w:tc>
              <w:tc>
                <w:tcPr/>
                <w:p>
                  <w:pPr>
                    <w:pStyle w:val="Compact"/>
                    <w:jc w:val="left"/>
                    <w:jc w:val="center"/>
                  </w:pPr>
                  <w:r>
                    <w:t xml:space="preserve">35 SanMarco</w:t>
                  </w:r>
                </w:p>
              </w:tc>
              <w:tc>
                <w:tcPr/>
                <w:p>
                  <w:pPr>
                    <w:pStyle w:val="Compact"/>
                    <w:jc w:val="left"/>
                    <w:jc w:val="center"/>
                  </w:pPr>
                  <w:r>
                    <w:t xml:space="preserve">16 Noorderplantsoen</w:t>
                  </w:r>
                </w:p>
              </w:tc>
              <w:tc>
                <w:tcPr/>
                <w:p>
                  <w:pPr>
                    <w:pStyle w:val="Compact"/>
                    <w:jc w:val="left"/>
                    <w:jc w:val="center"/>
                  </w:pPr>
                  <w:r>
                    <w:t xml:space="preserve">31 EustonTap</w:t>
                  </w:r>
                </w:p>
              </w:tc>
            </w:tr>
            <w:tr>
              <w:tc>
                <w:tcPr/>
                <w:p>
                  <w:pPr>
                    <w:pStyle w:val="Compact"/>
                    <w:jc w:val="right"/>
                    <w:jc w:val="center"/>
                  </w:pPr>
                  <w:r>
                    <w:t xml:space="preserve">17</w:t>
                  </w:r>
                </w:p>
              </w:tc>
              <w:tc>
                <w:tcPr/>
                <w:p>
                  <w:pPr>
                    <w:pStyle w:val="Compact"/>
                    <w:jc w:val="left"/>
                    <w:jc w:val="center"/>
                  </w:pPr>
                  <w:r>
                    <w:t xml:space="preserve">22 CamdenTown</w:t>
                  </w:r>
                </w:p>
              </w:tc>
              <w:tc>
                <w:tcPr/>
                <w:p>
                  <w:pPr>
                    <w:pStyle w:val="Compact"/>
                    <w:jc w:val="left"/>
                    <w:jc w:val="center"/>
                  </w:pPr>
                  <w:r>
                    <w:t xml:space="preserve">14 EustonTap</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17 EustonTap</w:t>
                  </w:r>
                </w:p>
              </w:tc>
              <w:tc>
                <w:tcPr/>
                <w:p>
                  <w:pPr>
                    <w:pStyle w:val="Compact"/>
                    <w:jc w:val="left"/>
                    <w:jc w:val="center"/>
                  </w:pPr>
                  <w:r>
                    <w:t xml:space="preserve">14 CamdenTown</w:t>
                  </w:r>
                </w:p>
              </w:tc>
              <w:tc>
                <w:tcPr/>
                <w:p>
                  <w:pPr>
                    <w:pStyle w:val="Compact"/>
                    <w:jc w:val="left"/>
                    <w:jc w:val="center"/>
                  </w:pPr>
                  <w:r>
                    <w:t xml:space="preserve">27 RegentsParkJapan</w:t>
                  </w:r>
                </w:p>
              </w:tc>
            </w:tr>
          </w:tbl>
          <w:bookmarkEnd w:id="41"/>
          <w:p/>
        </w:tc>
      </w:tr>
    </w:tbl>
    <w:p>
      <w:pPr>
        <w:pStyle w:val="BodyText"/>
      </w:pPr>
      <w:r>
        <w:rPr>
          <w:vertAlign w:val="subscript"/>
        </w:rPr>
        <w:t xml:space="preserve">Source:</w:t>
      </w:r>
      <w:r>
        <w:rPr>
          <w:vertAlign w:val="subscript"/>
        </w:rPr>
        <w:t xml:space="preserve"> </w:t>
      </w:r>
      <w:hyperlink r:id="rId42">
        <w:r>
          <w:rPr>
            <w:rStyle w:val="Hyperlink"/>
            <w:vertAlign w:val="subscript"/>
          </w:rPr>
          <w:t xml:space="preserve">SPI - Defining bespoke and archetypal context-dependent Soundscape Perception Indices</w:t>
        </w:r>
      </w:hyperlink>
    </w:p>
    <w:bookmarkEnd w:id="43"/>
    <w:bookmarkStart w:id="55" w:name="sec-targets"/>
    <w:p>
      <w:pPr>
        <w:pStyle w:val="Heading2"/>
      </w:pPr>
      <w:r>
        <w:t xml:space="preserve">3.5 Deriving a target based on soundscape ranking</w:t>
      </w:r>
    </w:p>
    <w:p>
      <w:pPr>
        <w:pStyle w:val="FirstParagraph"/>
      </w:pPr>
      <w:r>
        <w:rPr>
          <w:iCs/>
          <w:i/>
        </w:rPr>
        <w:t xml:space="preserve">DRAFT SECTION</w:t>
      </w:r>
    </w:p>
    <w:p>
      <w:pPr>
        <w:pStyle w:val="BodyText"/>
      </w:pPr>
      <w:r>
        <w:t xml:space="preserve">Absent from the above methodology has been an exploration of how to actually arrive at a target based on empirical evidence; i.e., not a target specified</w:t>
      </w:r>
      <w:r>
        <w:t xml:space="preserve"> </w:t>
      </w:r>
      <w:r>
        <w:rPr>
          <w:iCs/>
          <w:i/>
        </w:rPr>
        <w:t xml:space="preserve">ad hoc</w:t>
      </w:r>
      <w:r>
        <w:t xml:space="preserve">, but rather an</w:t>
      </w:r>
      <w:r>
        <w:t xml:space="preserve"> </w:t>
      </w:r>
      <w:r>
        <w:t xml:space="preserve">“</w:t>
      </w:r>
      <w:r>
        <w:t xml:space="preserve">absolute</w:t>
      </w:r>
      <w:r>
        <w:t xml:space="preserve">”</w:t>
      </w:r>
      <w:r>
        <w:t xml:space="preserve"> </w:t>
      </w:r>
      <w:r>
        <w:t xml:space="preserve">target, based on type of space, use case, or similar. While arbitrary targets make the SPI framework incredibly flexible, able to score against an effectively infinite set of design goals, often targets should have some sort of systematic foundation.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optimized SPI target.</w:t>
      </w:r>
    </w:p>
    <w:p>
      <w:pPr>
        <w:pStyle w:val="BodyText"/>
      </w:pPr>
      <w:r>
        <w:t xml:space="preserve">In this case study, we will examine a ranking derived from the ISD locations (shown in</w:t>
      </w:r>
      <w:r>
        <w:t xml:space="preserve"> </w:t>
      </w:r>
      <w:hyperlink w:anchor="tbl-isd-ranking">
        <w:r>
          <w:rPr>
            <w:rStyle w:val="Hyperlink"/>
          </w:rPr>
          <w:t xml:space="preserve">Table 4</w:t>
        </w:r>
      </w:hyperlink>
      <w:r>
        <w:t xml:space="preserve">). The goal is then to derive an SPI target distribution which, when applied to the SCM data from each of these locations, (1) results in the same ranking order and (2) results in high SPI scores for the top ranked locations and lower scores for the bottom ranked locations.</w:t>
      </w:r>
    </w:p>
    <w:tbl>
      <w:tblPr>
        <w:tblStyle w:val="Table"/>
        <w:tblW w:type="pct" w:w="5000"/>
        <w:tblLook w:firstRow="0" w:lastRow="0" w:firstColumn="0" w:lastColumn="0" w:noHBand="0" w:noVBand="0" w:val="0000"/>
        <w:jc w:val="start"/>
        <w:tblLayout w:type="fixed"/>
      </w:tblPr>
      <w:tblGrid>
        <w:gridCol w:w="7920"/>
      </w:tblGrid>
      <w:tr>
        <w:tc>
          <w:tcPr/>
          <w:bookmarkStart w:id="44" w:name="tbl-isd-ranking"/>
          <w:p>
            <w:pPr>
              <w:jc w:val="center"/>
            </w:pPr>
            <w:pPr>
              <w:jc w:val="start"/>
              <w:spacing w:before="200"/>
              <w:pStyle w:val="ImageCaption"/>
            </w:pPr>
            <w:r>
              <w:t xml:space="preserve">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jc w:val="center"/>
                  </w:pPr>
                  <w:r>
                    <w:t xml:space="preserve">Rank</w:t>
                  </w:r>
                </w:p>
              </w:tc>
              <w:tc>
                <w:tcPr/>
                <w:p>
                  <w:pPr>
                    <w:pStyle w:val="Compact"/>
                    <w:jc w:val="center"/>
                    <w:jc w:val="center"/>
                  </w:pPr>
                  <w:r>
                    <w:t xml:space="preserve">Location</w:t>
                  </w:r>
                </w:p>
              </w:tc>
            </w:tr>
            <w:tr>
              <w:tc>
                <w:tcPr/>
                <w:p>
                  <w:pPr>
                    <w:pStyle w:val="Compact"/>
                    <w:jc w:val="center"/>
                    <w:jc w:val="center"/>
                  </w:pPr>
                  <w:r>
                    <w:t xml:space="preserve">1</w:t>
                  </w:r>
                </w:p>
              </w:tc>
              <w:tc>
                <w:tcPr/>
                <w:p>
                  <w:pPr>
                    <w:pStyle w:val="Compact"/>
                    <w:jc w:val="center"/>
                    <w:jc w:val="center"/>
                  </w:pPr>
                  <w:r>
                    <w:t xml:space="preserve">RegentsParkJapan</w:t>
                  </w:r>
                </w:p>
              </w:tc>
            </w:tr>
            <w:tr>
              <w:tc>
                <w:tcPr/>
                <w:p>
                  <w:pPr>
                    <w:pStyle w:val="Compact"/>
                    <w:jc w:val="center"/>
                    <w:jc w:val="center"/>
                  </w:pPr>
                  <w:r>
                    <w:t xml:space="preserve">2</w:t>
                  </w:r>
                </w:p>
              </w:tc>
              <w:tc>
                <w:tcPr/>
                <w:p>
                  <w:pPr>
                    <w:pStyle w:val="Compact"/>
                    <w:jc w:val="center"/>
                    <w:jc w:val="center"/>
                  </w:pPr>
                  <w:r>
                    <w:t xml:space="preserve">RegentsParkFields</w:t>
                  </w:r>
                </w:p>
              </w:tc>
            </w:tr>
            <w:tr>
              <w:tc>
                <w:tcPr/>
                <w:p>
                  <w:pPr>
                    <w:pStyle w:val="Compact"/>
                    <w:jc w:val="center"/>
                    <w:jc w:val="center"/>
                  </w:pPr>
                  <w:r>
                    <w:t xml:space="preserve">3</w:t>
                  </w:r>
                </w:p>
              </w:tc>
              <w:tc>
                <w:tcPr/>
                <w:p>
                  <w:pPr>
                    <w:pStyle w:val="Compact"/>
                    <w:jc w:val="center"/>
                    <w:jc w:val="center"/>
                  </w:pPr>
                  <w:r>
                    <w:t xml:space="preserve">CampoPrincipe</w:t>
                  </w:r>
                </w:p>
              </w:tc>
            </w:tr>
            <w:tr>
              <w:tc>
                <w:tcPr/>
                <w:p>
                  <w:pPr>
                    <w:pStyle w:val="Compact"/>
                    <w:jc w:val="center"/>
                    <w:jc w:val="center"/>
                  </w:pPr>
                  <w:r>
                    <w:t xml:space="preserve">4</w:t>
                  </w:r>
                </w:p>
              </w:tc>
              <w:tc>
                <w:tcPr/>
                <w:p>
                  <w:pPr>
                    <w:pStyle w:val="Compact"/>
                    <w:jc w:val="center"/>
                    <w:jc w:val="center"/>
                  </w:pPr>
                  <w:r>
                    <w:t xml:space="preserve">MonumentoGaribaldi</w:t>
                  </w:r>
                </w:p>
              </w:tc>
            </w:tr>
            <w:tr>
              <w:tc>
                <w:tcPr/>
                <w:p>
                  <w:pPr>
                    <w:pStyle w:val="Compact"/>
                    <w:jc w:val="center"/>
                    <w:jc w:val="center"/>
                  </w:pPr>
                  <w:r>
                    <w:t xml:space="preserve">5</w:t>
                  </w:r>
                </w:p>
              </w:tc>
              <w:tc>
                <w:tcPr/>
                <w:p>
                  <w:pPr>
                    <w:pStyle w:val="Compact"/>
                    <w:jc w:val="center"/>
                    <w:jc w:val="center"/>
                  </w:pPr>
                  <w:r>
                    <w:t xml:space="preserve">RussellSq</w:t>
                  </w:r>
                </w:p>
              </w:tc>
            </w:tr>
            <w:tr>
              <w:tc>
                <w:tcPr/>
                <w:p>
                  <w:pPr>
                    <w:pStyle w:val="Compact"/>
                    <w:jc w:val="center"/>
                    <w:jc w:val="center"/>
                  </w:pPr>
                  <w:r>
                    <w:t xml:space="preserve">6</w:t>
                  </w:r>
                </w:p>
              </w:tc>
              <w:tc>
                <w:tcPr/>
                <w:p>
                  <w:pPr>
                    <w:pStyle w:val="Compact"/>
                    <w:jc w:val="center"/>
                    <w:jc w:val="center"/>
                  </w:pPr>
                  <w:r>
                    <w:t xml:space="preserve">MiradorSanNicolas</w:t>
                  </w:r>
                </w:p>
              </w:tc>
            </w:tr>
            <w:tr>
              <w:tc>
                <w:tcPr/>
                <w:p>
                  <w:pPr>
                    <w:pStyle w:val="Compact"/>
                    <w:jc w:val="center"/>
                    <w:jc w:val="center"/>
                  </w:pPr>
                  <w:r>
                    <w:t xml:space="preserve">7</w:t>
                  </w:r>
                </w:p>
              </w:tc>
              <w:tc>
                <w:tcPr/>
                <w:p>
                  <w:pPr>
                    <w:pStyle w:val="Compact"/>
                    <w:jc w:val="center"/>
                    <w:jc w:val="center"/>
                  </w:pPr>
                  <w:r>
                    <w:t xml:space="preserve">StPaulsCross</w:t>
                  </w:r>
                </w:p>
              </w:tc>
            </w:tr>
            <w:tr>
              <w:tc>
                <w:tcPr/>
                <w:p>
                  <w:pPr>
                    <w:pStyle w:val="Compact"/>
                    <w:jc w:val="center"/>
                    <w:jc w:val="center"/>
                  </w:pPr>
                  <w:r>
                    <w:t xml:space="preserve">8</w:t>
                  </w:r>
                </w:p>
              </w:tc>
              <w:tc>
                <w:tcPr/>
                <w:p>
                  <w:pPr>
                    <w:pStyle w:val="Compact"/>
                    <w:jc w:val="center"/>
                    <w:jc w:val="center"/>
                  </w:pPr>
                  <w:r>
                    <w:t xml:space="preserve">Noorderplantsoen</w:t>
                  </w:r>
                </w:p>
              </w:tc>
            </w:tr>
          </w:tbl>
          <w:bookmarkEnd w:id="44"/>
          <w:p/>
        </w:tc>
      </w:tr>
    </w:tbl>
    <w:p>
      <w:pPr>
        <w:pStyle w:val="BodyText"/>
      </w:pPr>
      <w:r>
        <w:t xml:space="preserve">Effectively, this is an optimization task to determine the MSN parameters which best achieve the above goals. Goal (1) is assessed by calculating the Spearman rank correlation between the provided ranking and the SPI ranking. Goal (2) is scored by calculating a weighted sum of the produced SPIs. To prioritise a target which provides high SPI scores for highly ranked soundscapes, we weight according to the ranking position:</w:t>
      </w:r>
    </w:p>
    <w:p>
      <w:pPr>
        <w:pStyle w:val="BodyText"/>
      </w:pPr>
      <m:oMathPara>
        <m:oMathParaPr>
          <m:jc m:val="center"/>
        </m:oMathParaPr>
        <m:oMath>
          <m:r>
            <m:t>s</m:t>
          </m:r>
          <m:r>
            <m:t>c</m:t>
          </m:r>
          <m:r>
            <m:t>o</m:t>
          </m:r>
          <m:r>
            <m:t>r</m:t>
          </m:r>
          <m:sSub>
            <m:e>
              <m:r>
                <m:t>e</m:t>
              </m:r>
            </m:e>
            <m:sub>
              <m:r>
                <m:t>w</m:t>
              </m:r>
            </m:sub>
          </m:sSub>
          <m:r>
            <m:rPr>
              <m:sty m:val="p"/>
            </m:rPr>
            <m:t>=</m:t>
          </m:r>
          <m:nary>
            <m:naryPr>
              <m:chr m:val="∑"/>
              <m:limLoc m:val="undOvr"/>
              <m:subHide m:val="off"/>
              <m:supHide m:val="off"/>
            </m:naryPr>
            <m:sub>
              <m:r>
                <m:t>i</m:t>
              </m:r>
              <m:r>
                <m:rPr>
                  <m:sty m:val="p"/>
                </m:rPr>
                <m:t>=</m:t>
              </m:r>
              <m:r>
                <m:t>1</m:t>
              </m:r>
            </m:sub>
            <m:sup>
              <m:r>
                <m:t>m</m:t>
              </m:r>
            </m:sup>
            <m:e>
              <m:f>
                <m:fPr>
                  <m:type m:val="bar"/>
                </m:fPr>
                <m:num>
                  <m:r>
                    <m:t>1</m:t>
                  </m:r>
                </m:num>
                <m:den>
                  <m:sSub>
                    <m:e>
                      <m:r>
                        <m:rPr>
                          <m:nor/>
                          <m:sty m:val="p"/>
                        </m:rPr>
                        <m:t>rank</m:t>
                      </m:r>
                    </m:e>
                    <m:sub>
                      <m:r>
                        <m:t>i</m:t>
                      </m:r>
                    </m:sub>
                  </m:sSub>
                </m:den>
              </m:f>
            </m:e>
          </m:nary>
          <m:r>
            <m:rPr>
              <m:sty m:val="p"/>
            </m:rPr>
            <m:t>⋅</m:t>
          </m:r>
          <m:r>
            <m:t>S</m:t>
          </m:r>
          <m:r>
            <m:t>P</m:t>
          </m:r>
          <m:sSub>
            <m:e>
              <m:r>
                <m:t>I</m:t>
              </m:r>
            </m:e>
            <m:sub>
              <m:r>
                <m:t>i</m:t>
              </m:r>
            </m:sub>
          </m:sSub>
        </m:oMath>
      </m:oMathPara>
    </w:p>
    <w:p>
      <w:pPr>
        <w:pStyle w:val="FirstParagraph"/>
      </w:pPr>
      <w:r>
        <w:t xml:space="preserve">Through our testing, only optimizing on the rank correlation regularly produced targets which, while they did result in the desired ranking, were in no way representative of the soundscapes in question. We therefore aim to optimize for both a consistent soundscape ranking and for a high SPI score for the top-ranked soundscapes.</w:t>
      </w:r>
    </w:p>
    <w:p>
      <w:pPr>
        <w:pStyle w:val="BodyText"/>
      </w:pPr>
      <w:r>
        <w:t xml:space="preserve">We apply the nondominated sorting genetic algorithm (NSGA-II)</w:t>
      </w:r>
      <w:r>
        <w:t xml:space="preserve"> </w:t>
      </w:r>
      <w:r>
        <w:t xml:space="preserve">(Deb et al. 2002)</w:t>
      </w:r>
      <w:r>
        <w:t xml:space="preserve">.</w:t>
      </w:r>
    </w:p>
    <w:p>
      <w:pPr>
        <w:pStyle w:val="BodyText"/>
      </w:pPr>
      <w:r>
        <w:t xml:space="preserve">Defining the optimization problem:</w:t>
      </w:r>
    </w:p>
    <w:p>
      <w:pPr>
        <w:numPr>
          <w:ilvl w:val="0"/>
          <w:numId w:val="1005"/>
        </w:numPr>
        <w:pStyle w:val="Compact"/>
      </w:pPr>
      <w:r>
        <w:t xml:space="preserve">max</w:t>
      </w:r>
      <w:r>
        <w:t xml:space="preserve"> </w:t>
      </w:r>
      <m:oMath>
        <m:r>
          <m:t>r</m:t>
        </m:r>
        <m:d>
          <m:dPr>
            <m:begChr m:val="("/>
            <m:endChr m:val=")"/>
            <m:sepChr m:val=""/>
            <m:grow/>
          </m:dPr>
          <m:e>
            <m:r>
              <m:t>r</m:t>
            </m:r>
            <m:r>
              <m:t>a</m:t>
            </m:r>
            <m:r>
              <m:t>n</m:t>
            </m:r>
            <m:r>
              <m:t>k</m:t>
            </m:r>
            <m:sSub>
              <m:e>
                <m:r>
                  <m:t>s</m:t>
                </m:r>
              </m:e>
              <m:sub>
                <m:r>
                  <m:t>q</m:t>
                </m:r>
                <m:r>
                  <m:t>u</m:t>
                </m:r>
                <m:r>
                  <m:t>a</m:t>
                </m:r>
                <m:r>
                  <m:t>l</m:t>
                </m:r>
                <m:r>
                  <m:t>i</m:t>
                </m:r>
                <m:r>
                  <m:t>t</m:t>
                </m:r>
                <m:r>
                  <m:t>y</m:t>
                </m:r>
              </m:sub>
            </m:sSub>
            <m:r>
              <m:rPr>
                <m:sty m:val="p"/>
              </m:rPr>
              <m:t>,</m:t>
            </m:r>
            <m:r>
              <m:t>r</m:t>
            </m:r>
            <m:r>
              <m:t>a</m:t>
            </m:r>
            <m:r>
              <m:t>n</m:t>
            </m:r>
            <m:r>
              <m:t>k</m:t>
            </m:r>
            <m:sSub>
              <m:e>
                <m:r>
                  <m:t>s</m:t>
                </m:r>
              </m:e>
              <m:sub>
                <m:r>
                  <m:t>t</m:t>
                </m:r>
                <m:r>
                  <m:t>a</m:t>
                </m:r>
                <m:r>
                  <m:t>r</m:t>
                </m:r>
                <m:r>
                  <m:t>g</m:t>
                </m:r>
                <m:r>
                  <m:t>e</m:t>
                </m:r>
                <m:r>
                  <m:t>t</m:t>
                </m:r>
              </m:sub>
            </m:sSub>
          </m:e>
        </m:d>
      </m:oMath>
    </w:p>
    <w:p>
      <w:pPr>
        <w:numPr>
          <w:ilvl w:val="0"/>
          <w:numId w:val="1005"/>
        </w:numPr>
        <w:pStyle w:val="Compact"/>
      </w:pPr>
      <w:r>
        <w:t xml:space="preserve">max</w:t>
      </w:r>
      <w:r>
        <w:t xml:space="preserve"> </w:t>
      </w:r>
      <m:oMath>
        <m:r>
          <m:t>m</m:t>
        </m:r>
        <m:r>
          <m:t>e</m:t>
        </m:r>
        <m:r>
          <m:t>a</m:t>
        </m:r>
        <m:r>
          <m:t>n</m:t>
        </m:r>
        <m:d>
          <m:dPr>
            <m:begChr m:val="("/>
            <m:endChr m:val=")"/>
            <m:sepChr m:val=""/>
            <m:grow/>
          </m:dPr>
          <m:e>
            <m:r>
              <m:t>S</m:t>
            </m:r>
            <m:r>
              <m:t>P</m:t>
            </m:r>
            <m:sSub>
              <m:e>
                <m:r>
                  <m:t>I</m:t>
                </m:r>
              </m:e>
              <m:sub>
                <m:r>
                  <m:t>t</m:t>
                </m:r>
                <m:r>
                  <m:t>a</m:t>
                </m:r>
                <m:r>
                  <m:t>r</m:t>
                </m:r>
                <m:r>
                  <m:t>g</m:t>
                </m:r>
                <m:r>
                  <m:t>e</m:t>
                </m:r>
                <m:r>
                  <m:t>t</m:t>
                </m:r>
              </m:sub>
            </m:sSub>
            <m:d>
              <m:dPr>
                <m:begChr m:val="("/>
                <m:endChr m:val=")"/>
                <m:sepChr m:val=""/>
                <m:grow/>
              </m:dPr>
              <m:e>
                <m:sSub>
                  <m:e>
                    <m:r>
                      <m:t>X</m:t>
                    </m:r>
                  </m:e>
                  <m:sub>
                    <m:r>
                      <m:t>i</m:t>
                    </m:r>
                  </m:sub>
                </m:sSub>
              </m:e>
            </m:d>
          </m:e>
        </m:d>
      </m:oMath>
    </w:p>
    <w:p>
      <w:pPr>
        <w:pStyle w:val="FirstParagraph"/>
      </w:pPr>
      <w:r>
        <w:t xml:space="preserve">where</w:t>
      </w:r>
      <w:r>
        <w:t xml:space="preserve"> </w:t>
      </w:r>
      <m:oMath>
        <m:r>
          <m:t>r</m:t>
        </m:r>
      </m:oMath>
      <w:r>
        <w:t xml:space="preserve"> </w:t>
      </w:r>
      <w:r>
        <w:t xml:space="preserve">is the rank correlation coefficient,</w:t>
      </w:r>
      <w:r>
        <w:t xml:space="preserve"> </w:t>
      </w:r>
      <m:oMath>
        <m:r>
          <m:t>r</m:t>
        </m:r>
        <m:r>
          <m:t>a</m:t>
        </m:r>
        <m:r>
          <m:t>n</m:t>
        </m:r>
        <m:r>
          <m:t>k</m:t>
        </m:r>
        <m:sSub>
          <m:e>
            <m:r>
              <m:t>s</m:t>
            </m:r>
          </m:e>
          <m:sub>
            <m:r>
              <m:t>q</m:t>
            </m:r>
            <m:r>
              <m:t>u</m:t>
            </m:r>
            <m:r>
              <m:t>a</m:t>
            </m:r>
            <m:r>
              <m:t>l</m:t>
            </m:r>
            <m:r>
              <m:t>i</m:t>
            </m:r>
            <m:r>
              <m:t>t</m:t>
            </m:r>
            <m:r>
              <m:t>y</m:t>
            </m:r>
          </m:sub>
        </m:sSub>
      </m:oMath>
      <w:r>
        <w:t xml:space="preserve"> </w:t>
      </w:r>
      <w:r>
        <w:t xml:space="preserve">and</w:t>
      </w:r>
      <w:r>
        <w:t xml:space="preserve"> </w:t>
      </w:r>
      <m:oMath>
        <m:r>
          <m:t>r</m:t>
        </m:r>
        <m:r>
          <m:t>a</m:t>
        </m:r>
        <m:r>
          <m:t>n</m:t>
        </m:r>
        <m:r>
          <m:t>k</m:t>
        </m:r>
        <m:sSub>
          <m:e>
            <m:r>
              <m:t>s</m:t>
            </m:r>
          </m:e>
          <m:sub>
            <m:r>
              <m:t>t</m:t>
            </m:r>
            <m:r>
              <m:t>a</m:t>
            </m:r>
            <m:r>
              <m:t>r</m:t>
            </m:r>
            <m:r>
              <m:t>g</m:t>
            </m:r>
            <m:r>
              <m:t>e</m:t>
            </m:r>
            <m:r>
              <m:t>t</m:t>
            </m:r>
          </m:sub>
        </m:sSub>
      </m:oMath>
      <w:r>
        <w:t xml:space="preserve"> </w:t>
      </w:r>
      <w:r>
        <w:t xml:space="preserve">are the ranks of the quality and target values, and</w:t>
      </w:r>
      <w:r>
        <w:t xml:space="preserve"> </w:t>
      </w:r>
      <m:oMath>
        <m:r>
          <m:t>S</m:t>
        </m:r>
        <m:r>
          <m:t>P</m:t>
        </m:r>
        <m:sSub>
          <m:e>
            <m:r>
              <m:t>I</m:t>
            </m:r>
          </m:e>
          <m:sub>
            <m:r>
              <m:t>t</m:t>
            </m:r>
            <m:r>
              <m:t>a</m:t>
            </m:r>
            <m:r>
              <m:t>r</m:t>
            </m:r>
            <m:r>
              <m:t>g</m:t>
            </m:r>
            <m:r>
              <m:t>e</m:t>
            </m:r>
            <m:r>
              <m:t>t</m:t>
            </m:r>
          </m:sub>
        </m:sSub>
        <m:d>
          <m:dPr>
            <m:begChr m:val="("/>
            <m:endChr m:val=")"/>
            <m:sepChr m:val=""/>
            <m:grow/>
          </m:dPr>
          <m:e>
            <m:sSub>
              <m:e>
                <m:r>
                  <m:t>X</m:t>
                </m:r>
              </m:e>
              <m:sub>
                <m:r>
                  <m:t>i</m:t>
                </m:r>
              </m:sub>
            </m:sSub>
          </m:e>
        </m:d>
      </m:oMath>
      <w:r>
        <w:t xml:space="preserve"> </w:t>
      </w:r>
      <w:r>
        <w:t xml:space="preserve">is the SPI for a given target on the data for the</w:t>
      </w:r>
      <w:r>
        <w:t xml:space="preserve"> </w:t>
      </w:r>
      <m:oMath>
        <m:r>
          <m:t>i</m:t>
        </m:r>
      </m:oMath>
      <w:r>
        <w:t xml:space="preserve">-th location. Therefore we are trying to achieve the best correlation between the desired ranking and the ranking produced by</w:t>
      </w:r>
      <w:r>
        <w:t xml:space="preserve"> </w:t>
      </w:r>
      <m:oMath>
        <m:r>
          <m:t>S</m:t>
        </m:r>
        <m:r>
          <m:t>P</m:t>
        </m:r>
        <m:sSub>
          <m:e>
            <m:r>
              <m:t>I</m:t>
            </m:r>
          </m:e>
          <m:sub>
            <m:r>
              <m:t>t</m:t>
            </m:r>
            <m:r>
              <m:t>a</m:t>
            </m:r>
            <m:r>
              <m:t>r</m:t>
            </m:r>
            <m:r>
              <m:t>g</m:t>
            </m:r>
            <m:r>
              <m:t>e</m:t>
            </m:r>
            <m:r>
              <m:t>t</m:t>
            </m:r>
          </m:sub>
        </m:sSub>
      </m:oMath>
      <w:r>
        <w:t xml:space="preserve"> </w:t>
      </w:r>
      <w:r>
        <w:rPr>
          <w:iCs/>
          <w:i/>
        </w:rPr>
        <w:t xml:space="preserve">and</w:t>
      </w:r>
      <w:r>
        <w:t xml:space="preserve"> </w:t>
      </w:r>
      <w:r>
        <w:t xml:space="preserve">to achieve the highest mean</w:t>
      </w:r>
      <w:r>
        <w:t xml:space="preserve"> </w:t>
      </w:r>
      <m:oMath>
        <m:r>
          <m:t>S</m:t>
        </m:r>
        <m:r>
          <m:t>P</m:t>
        </m:r>
        <m:sSub>
          <m:e>
            <m:r>
              <m:t>I</m:t>
            </m:r>
          </m:e>
          <m:sub>
            <m:r>
              <m:t>t</m:t>
            </m:r>
            <m:r>
              <m:t>a</m:t>
            </m:r>
            <m:r>
              <m:t>r</m:t>
            </m:r>
            <m:r>
              <m:t>g</m:t>
            </m:r>
            <m:r>
              <m:t>e</m:t>
            </m:r>
            <m:r>
              <m:t>t</m:t>
            </m:r>
          </m:sub>
        </m:sSub>
      </m:oMath>
      <w:r>
        <w:t xml:space="preserve">.</w:t>
      </w:r>
    </w:p>
    <w:p>
      <w:pPr>
        <w:pStyle w:val="BodyText"/>
      </w:pPr>
      <m:oMath>
        <m:r>
          <m:t>r</m:t>
        </m:r>
        <m:r>
          <m:t>a</m:t>
        </m:r>
        <m:r>
          <m:t>n</m:t>
        </m:r>
        <m:r>
          <m:t>k</m:t>
        </m:r>
        <m:sSub>
          <m:e>
            <m:r>
              <m:t>s</m:t>
            </m:r>
          </m:e>
          <m:sub>
            <m:r>
              <m:t>q</m:t>
            </m:r>
            <m:r>
              <m:t>u</m:t>
            </m:r>
            <m:r>
              <m:t>a</m:t>
            </m:r>
            <m:r>
              <m:t>l</m:t>
            </m:r>
            <m:r>
              <m:t>i</m:t>
            </m:r>
            <m:r>
              <m:t>t</m:t>
            </m:r>
            <m:r>
              <m:t>y</m:t>
            </m:r>
          </m:sub>
        </m:sSub>
      </m:oMath>
      <w:r>
        <w:t xml:space="preserve"> </w:t>
      </w:r>
      <w:r>
        <w:t xml:space="preserve">is pre-defined.</w:t>
      </w:r>
      <w:r>
        <w:t xml:space="preserve"> </w:t>
      </w:r>
      <m:oMath>
        <m:r>
          <m:t>r</m:t>
        </m:r>
        <m:r>
          <m:t>a</m:t>
        </m:r>
        <m:r>
          <m:t>n</m:t>
        </m:r>
        <m:r>
          <m:t>k</m:t>
        </m:r>
        <m:sSub>
          <m:e>
            <m:r>
              <m:t>s</m:t>
            </m:r>
          </m:e>
          <m:sub>
            <m:r>
              <m:t>t</m:t>
            </m:r>
            <m:r>
              <m:t>a</m:t>
            </m:r>
            <m:r>
              <m:t>r</m:t>
            </m:r>
            <m:r>
              <m:t>g</m:t>
            </m:r>
            <m:r>
              <m:t>e</m:t>
            </m:r>
            <m:r>
              <m:t>t</m:t>
            </m:r>
          </m:sub>
        </m:sSub>
      </m:oMath>
      <w:r>
        <w:t xml:space="preserve"> </w:t>
      </w:r>
      <w:r>
        <w:t xml:space="preserve">is calculated by sorting the target values and assigning ranks to them.</w:t>
      </w:r>
      <w:r>
        <w:t xml:space="preserve"> </w:t>
      </w:r>
      <m:oMath>
        <m:r>
          <m:t>S</m:t>
        </m:r>
        <m:r>
          <m:t>P</m:t>
        </m:r>
        <m:sSub>
          <m:e>
            <m:r>
              <m:t>I</m:t>
            </m:r>
          </m:e>
          <m:sub>
            <m:r>
              <m:t>t</m:t>
            </m:r>
            <m:r>
              <m:t>a</m:t>
            </m:r>
            <m:r>
              <m:t>r</m:t>
            </m:r>
            <m:r>
              <m:t>g</m:t>
            </m:r>
            <m:r>
              <m:t>e</m:t>
            </m:r>
            <m:r>
              <m:t>t</m:t>
            </m:r>
          </m:sub>
        </m:sSub>
      </m:oMath>
      <w:r>
        <w:t xml:space="preserve"> </w:t>
      </w:r>
      <w:r>
        <w:t xml:space="preserve">is calculated for each location and target.</w:t>
      </w:r>
    </w:p>
    <w:bookmarkStart w:id="53" w:name="fig-pymoo-parks"/>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48" w:name="fig-pymoo-parks-1"/>
                <w:p>
                  <w:pPr>
                    <w:pStyle w:val="Compact"/>
                    <w:jc w:val="center"/>
                    <w:jc w:val="left"/>
                  </w:pPr>
                  <w:r>
                    <w:drawing>
                      <wp:inline>
                        <wp:extent cx="2971800" cy="2189086"/>
                        <wp:effectExtent b="0" l="0" r="0" t="0"/>
                        <wp:docPr descr="" title="" id="46" name="Picture"/>
                        <a:graphic>
                          <a:graphicData uri="http://schemas.openxmlformats.org/drawingml/2006/picture">
                            <pic:pic>
                              <pic:nvPicPr>
                                <pic:cNvPr descr="index_files/figure-docx/notebooks-TargetOptimization-fig-pymoo-parks-output-1.png" id="47" name="Picture"/>
                                <pic:cNvPicPr>
                                  <a:picLocks noChangeArrowheads="1" noChangeAspect="1"/>
                                </pic:cNvPicPr>
                              </pic:nvPicPr>
                              <pic:blipFill>
                                <a:blip r:embed="rId45"/>
                                <a:stretch>
                                  <a:fillRect/>
                                </a:stretch>
                              </pic:blipFill>
                              <pic:spPr bwMode="auto">
                                <a:xfrm>
                                  <a:off x="0" y="0"/>
                                  <a:ext cx="2971800" cy="218908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Multi-objective optimization Pareto front.</w:t>
                  </w:r>
                </w:p>
                <w:bookmarkEnd w:id="48"/>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2" w:name="fig-pymoo-parks-2"/>
                <w:p>
                  <w:pPr>
                    <w:pStyle w:val="Compact"/>
                    <w:jc w:val="center"/>
                    <w:jc w:val="left"/>
                  </w:pPr>
                  <w:r>
                    <w:drawing>
                      <wp:inline>
                        <wp:extent cx="2971800" cy="2976524"/>
                        <wp:effectExtent b="0" l="0" r="0" t="0"/>
                        <wp:docPr descr="" title="" id="50" name="Picture"/>
                        <a:graphic>
                          <a:graphicData uri="http://schemas.openxmlformats.org/drawingml/2006/picture">
                            <pic:pic>
                              <pic:nvPicPr>
                                <pic:cNvPr descr="index_files/figure-docx/notebooks-TargetOptimization-fig-pymoo-parks-output-2.png" id="51" name="Picture"/>
                                <pic:cNvPicPr>
                                  <a:picLocks noChangeArrowheads="1" noChangeAspect="1"/>
                                </pic:cNvPicPr>
                              </pic:nvPicPr>
                              <pic:blipFill>
                                <a:blip r:embed="rId49"/>
                                <a:stretch>
                                  <a:fillRect/>
                                </a:stretch>
                              </pic:blipFill>
                              <pic:spPr bwMode="auto">
                                <a:xfrm>
                                  <a:off x="0" y="0"/>
                                  <a:ext cx="2971800" cy="297652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SCM distribution of the derived target distribution.</w:t>
                  </w:r>
                </w:p>
                <w:bookmarkEnd w:id="52"/>
              </w:tc>
            </w:tr>
          </w:tbl>
          <w:p/>
        </w:tc>
      </w:tr>
    </w:tbl>
    <w:p>
      <w:pPr>
        <w:pStyle w:val="BodyText"/>
      </w:pPr>
      <w:pPr>
        <w:spacing w:before="200"/>
        <w:pStyle w:val="ImageCaption"/>
      </w:pPr>
      <w:r>
        <w:t xml:space="preserve">Figure 3: NSGA-II optimization to learn the MSN parameters which produce the Park ranking.</w:t>
      </w:r>
    </w:p>
    <w:bookmarkEnd w:id="53"/>
    <w:p>
      <w:pPr>
        <w:pStyle w:val="BodyText"/>
      </w:pPr>
      <w:r>
        <w:rPr>
          <w:vertAlign w:val="subscript"/>
        </w:rPr>
        <w:t xml:space="preserve">Source:</w:t>
      </w:r>
      <w:r>
        <w:rPr>
          <w:vertAlign w:val="subscript"/>
        </w:rPr>
        <w:t xml:space="preserve"> </w:t>
      </w:r>
      <w:hyperlink r:id="rId54">
        <w:r>
          <w:rPr>
            <w:rStyle w:val="Hyperlink"/>
            <w:vertAlign w:val="subscript"/>
          </w:rPr>
          <w:t xml:space="preserve">Load latest ISD dataset</w:t>
        </w:r>
      </w:hyperlink>
    </w:p>
    <w:bookmarkEnd w:id="55"/>
    <w:bookmarkEnd w:id="56"/>
    <w:bookmarkStart w:id="59" w:name="expanding-the-spi-framework"/>
    <w:p>
      <w:pPr>
        <w:pStyle w:val="Heading1"/>
      </w:pPr>
      <w:r>
        <w:t xml:space="preserve">4. 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 To expand this methodology into an applicable framework, we define two distinct types of targets: bespoke targets and reference targets, each serving a unique purpose in the index development process.</w:t>
      </w:r>
    </w:p>
    <w:bookmarkStart w:id="57" w:name="bespoke-targets"/>
    <w:p>
      <w:pPr>
        <w:pStyle w:val="Heading2"/>
      </w:pPr>
      <w:r>
        <w:t xml:space="preserve">4.1 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57"/>
    <w:bookmarkStart w:id="58" w:name="reference-targets"/>
    <w:p>
      <w:pPr>
        <w:pStyle w:val="Heading2"/>
      </w:pPr>
      <w:r>
        <w:t xml:space="preserve">4.2 Reference Targets</w:t>
      </w:r>
    </w:p>
    <w:p>
      <w:pPr>
        <w:pStyle w:val="FirstParagraph"/>
      </w:pPr>
      <w:r>
        <w:t xml:space="preserve">In contrast to bespoke targets, reference targets represent generalized, widely recognized soundscape archetypes which transcend specific applications or projects. These archetypes serve as reference points and enable comparisons across different domains and use cases. Essentially a reference target is a target that has been empirically defined to encapsulate the ideal of a particular type of soundscape (e.g. for a park, for an urban square, for a particular group of users, etc.).</w:t>
      </w:r>
    </w:p>
    <w:p>
      <w:pPr>
        <w:pStyle w:val="BodyText"/>
      </w:pPr>
      <w:r>
        <w:t xml:space="preserve">It is these reference targets with an empirical backing which would ideally form agreed upon standards and benchmarks in the field against which new soundscapes would be compared. The best methods for empirically determining the ideal soundscape distribution for a given context will no doubt remain a topic of debate and development in the coming years.</w:t>
      </w:r>
    </w:p>
    <w:bookmarkEnd w:id="58"/>
    <w:bookmarkEnd w:id="59"/>
    <w:bookmarkStart w:id="61" w:name="discussion"/>
    <w:p>
      <w:pPr>
        <w:pStyle w:val="Heading1"/>
      </w:pPr>
      <w:r>
        <w:t xml:space="preserve">5. Discussion</w:t>
      </w:r>
    </w:p>
    <w:p>
      <w:pPr>
        <w:pStyle w:val="FirstParagraph"/>
      </w:pPr>
      <w:r>
        <w:t xml:space="preserve">The development of bespoke and reference context-dependent Soundscape Perception Indices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p>
      <w:pPr>
        <w:pStyle w:val="BodyText"/>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reference targets facilitates cross-comparisons and benchmarking, enabling a common language and understanding of soundscape quality across different domains. By calculating the distance between a given soundscape and these widely recognized references, stakeholders can identify areas for improvement and prioritize interventions accordingly, aligning their efforts with collectively recognized standards of desirable or undesirable soundscapes.</w:t>
      </w:r>
    </w:p>
    <w:p>
      <w:pPr>
        <w:pStyle w:val="BodyText"/>
      </w:pPr>
      <w:r>
        <w:t xml:space="preserve">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In this example, these sets of targets would correspond to different types of places within the city (e.g. a single target for parks, a target for plazas etc.). When applying this</w:t>
      </w:r>
      <w:r>
        <w:t xml:space="preserve"> </w:t>
      </w:r>
      <w:r>
        <w:t xml:space="preserve">“</w:t>
      </w:r>
      <w:r>
        <w:t xml:space="preserve">urban typology</w:t>
      </w:r>
      <w:r>
        <w:t xml:space="preserve">”</w:t>
      </w:r>
      <w:r>
        <w:t xml:space="preserve"> </w:t>
      </w:r>
      <w:r>
        <w:t xml:space="preserve">set of targets, the soundscape of each location being assessed would be scored against its relevant target (i.e how well does a specific park perform in comparison to a reference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 set of targets made up of e.g. parks, plazas etc. is just one example of an application of reference SPIs. Other examples could include a demographics SPI, where different targets are set for respondents from different demographic groups, or a</w:t>
      </w:r>
      <w:r>
        <w:t xml:space="preserve"> </w:t>
      </w:r>
      <w:r>
        <w:t xml:space="preserve">“</w:t>
      </w:r>
      <w:r>
        <w:t xml:space="preserve">use case</w:t>
      </w:r>
      <w:r>
        <w:t xml:space="preserve">”</w:t>
      </w:r>
      <w:r>
        <w:t xml:space="preserve"> </w:t>
      </w:r>
      <w:r>
        <w:t xml:space="preserve">SPI with different targets set for different intended purposes of spaces (e.g. recreation, restoration, socialising). We encourage users of the SPI to define both their own single reference targets that can be added these suites of targets for use by others, and their own new sets of reference.</w:t>
      </w:r>
    </w:p>
    <w:p>
      <w:pPr>
        <w:pStyle w:val="BodyText"/>
      </w:pPr>
      <w:r>
        <w:t xml:space="preserve">(Kogan et al. 2018, fig. 6)</w:t>
      </w:r>
      <w:r>
        <w:t xml:space="preserve">, in fact displays a startlingly similar concept, showing the locations of the three categories of traffic noise dominance (</w:t>
      </w:r>
      <w:r>
        <w:t xml:space="preserve">‘</w:t>
      </w:r>
      <w:r>
        <w:t xml:space="preserve">traffic noise</w:t>
      </w:r>
      <w:r>
        <w:t xml:space="preserve">’</w:t>
      </w:r>
      <w:r>
        <w:t xml:space="preserve">,</w:t>
      </w:r>
      <w:r>
        <w:t xml:space="preserve"> </w:t>
      </w:r>
      <w:r>
        <w:t xml:space="preserve">‘</w:t>
      </w:r>
      <w:r>
        <w:t xml:space="preserve">balanced</w:t>
      </w:r>
      <w:r>
        <w:t xml:space="preserve">’</w:t>
      </w:r>
      <w:r>
        <w:t xml:space="preserve">, and</w:t>
      </w:r>
      <w:r>
        <w:t xml:space="preserve"> </w:t>
      </w:r>
      <w:r>
        <w:t xml:space="preserve">‘</w:t>
      </w:r>
      <w:r>
        <w:t xml:space="preserve">natural</w:t>
      </w:r>
      <w:r>
        <w:t xml:space="preserve">’</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Start w:id="60" w:name="limitations"/>
    <w:p>
      <w:pPr>
        <w:pStyle w:val="Heading2"/>
      </w:pPr>
      <w:r>
        <w:t xml:space="preserve">5.1 Limitations</w:t>
      </w:r>
    </w:p>
    <w:p>
      <w:pPr>
        <w:pStyle w:val="FirstParagraph"/>
      </w:pPr>
      <w:r>
        <w:rPr>
          <w:iCs/>
          <w:i/>
        </w:rPr>
        <w:t xml:space="preserve">Need to add more limitations discussion</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3.1</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An additional method which was considered, was to consider a target as an ellipse (or, indeed any other shape) drawn in the circumplex space (similar to the simplified median decile curves proposed in</w:t>
      </w:r>
      <w:r>
        <w:t xml:space="preserve"> </w:t>
      </w:r>
      <w:r>
        <w:t xml:space="preserve">Mitchell, Aletta, and Kang (2022)</w:t>
      </w:r>
      <w:r>
        <w:t xml:space="preserve">). An SPI score would then be calculated based on the percentage of responses which fall within the space defined by the ellipse. Again, this is conceptually quite simple and defining the ellipse targets is straightforward. However, this method has an important flaw - it is easy to artificially inflate or deflate the scores merely by changing the area of the ellipse. The larger the ellipse, the higher all SPI scores will be, regardless of whether the sample distribution is wide or narrow. This would also limit cross-comparability between targets. By defining the SPI as a true target-test distribution comparison we ensure that the SPI always accurately reflects the similarity between the perception of a soundscape and its target.</w:t>
      </w:r>
    </w:p>
    <w:bookmarkEnd w:id="60"/>
    <w:bookmarkEnd w:id="61"/>
    <w:bookmarkStart w:id="62" w:name="conclusion"/>
    <w:p>
      <w:pPr>
        <w:pStyle w:val="Heading1"/>
      </w:pPr>
      <w:r>
        <w:t xml:space="preserve">6. Conclusion</w:t>
      </w:r>
    </w:p>
    <w:p>
      <w:pPr>
        <w:pStyle w:val="FirstParagraph"/>
      </w:pPr>
      <w:r>
        <w:t xml:space="preserve">The ERC-funded Soundscape Indices (SSID) project was started mostly with the ambition to derive soundscape indices that could serve as numerical/quantifiable tools</w:t>
      </w:r>
      <w:r>
        <w:t xml:space="preserve"> </w:t>
      </w:r>
      <w:r>
        <w:t xml:space="preserve">(Kang et al. 2019)</w:t>
      </w:r>
      <w:r>
        <w:t xml:space="preserve">, to better inform urban sound planning and design decisions. Any soundscape researcher having ever made an attempt at defining</w:t>
      </w:r>
      <w:r>
        <w:t xml:space="preserve"> </w:t>
      </w:r>
      <w:r>
        <w:t xml:space="preserve">“</w:t>
      </w:r>
      <w:r>
        <w:t xml:space="preserve">the</w:t>
      </w:r>
      <w:r>
        <w:t xml:space="preserve">”</w:t>
      </w:r>
      <w:r>
        <w:t xml:space="preserve"> </w:t>
      </w:r>
      <w:r>
        <w:t xml:space="preserve">soundscape quality index will know what a challenging, even impossible, task this is. Some may even argue that trying to reduce soundscape quality to a single-value quantity, and deriving any soundscape index, could be what philosophers would call a</w:t>
      </w:r>
      <w:r>
        <w:t xml:space="preserve"> </w:t>
      </w:r>
      <w:r>
        <w:rPr>
          <w:iCs/>
          <w:i/>
        </w:rPr>
        <w:t xml:space="preserve">reductio in adjecto</w:t>
      </w:r>
      <w:r>
        <w:t xml:space="preserve">, as the soundscape approach intrinsically advocates for a multi-dimensional characterization of the acoustic environments that we experience in our lives. For these reasons, we felt that it was necessary to take a step back and create instead a framework tailored for the field specifically that could easily be adapted to different contexts and capture the multi-faceted aspects of the soundscape of a place.</w:t>
      </w:r>
    </w:p>
    <w:p>
      <w:pPr>
        <w:pStyle w:val="BodyText"/>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reference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 As the SPI framework continues to be explored and refined, future research should focus on validating and expanding the range of reference targets, as well as investigating the potential for incorporating additional dimensions and factors that influence soundscape perception. The integration of emerging technologies, such as virtual and augmented reality, may also provide new avenues for immersive soundscape evaluation and index development. 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w:t>
      </w:r>
    </w:p>
    <w:p>
      <w:pPr>
        <w:pStyle w:val="BodyText"/>
      </w:pPr>
      <w:r>
        <w:t xml:space="preserve">In many ways, the proposed SPI framework is not so conceptually different from the whole idea of decibel-based set of indicators that the Soundscape Indices (SSID) project itself is trying to</w:t>
      </w:r>
      <w:r>
        <w:t xml:space="preserve"> </w:t>
      </w:r>
      <w:r>
        <w:t xml:space="preserve">“</w:t>
      </w:r>
      <w:r>
        <w:t xml:space="preserve">overcome</w:t>
      </w:r>
      <w:r>
        <w:t xml:space="preserve">”</w:t>
      </w:r>
      <w:r>
        <w:t xml:space="preserve">. There is no such thing as a single noise indicator (</w:t>
      </w:r>
      <w:r>
        <w:rPr>
          <w:iCs/>
          <w:i/>
        </w:rPr>
        <w:t xml:space="preserve">L</w:t>
      </w:r>
      <w:r>
        <w:t xml:space="preserve">) to univocally describe sound levels in all circumstances; rather, different noise indicators are defined for different scenarios and temporal or spectral requirements (e.g.,</w:t>
      </w:r>
      <w:r>
        <w:t xml:space="preserve"> </w:t>
      </w:r>
      <m:oMath>
        <m:sSub>
          <m:e>
            <m:r>
              <m:t>L</m:t>
            </m:r>
          </m:e>
          <m:sub>
            <m:r>
              <m:t>d</m:t>
            </m:r>
            <m:r>
              <m:t>e</m:t>
            </m:r>
            <m:r>
              <m:t>n</m:t>
            </m:r>
          </m:sub>
        </m:sSub>
      </m:oMath>
      <w:r>
        <w:t xml:space="preserve">,</w:t>
      </w:r>
      <w:r>
        <w:t xml:space="preserve"> </w:t>
      </w:r>
      <m:oMath>
        <m:sSub>
          <m:e>
            <m:r>
              <m:t>L</m:t>
            </m:r>
          </m:e>
          <m:sub>
            <m:r>
              <m:t>A</m:t>
            </m:r>
            <m:r>
              <m:t>e</m:t>
            </m:r>
            <m:r>
              <m:t>q</m:t>
            </m:r>
            <m:r>
              <m:rPr>
                <m:sty m:val="p"/>
              </m:rPr>
              <m:t>,</m:t>
            </m:r>
            <m:r>
              <m:t>T</m:t>
            </m:r>
          </m:sub>
        </m:sSub>
      </m:oMath>
      <w:r>
        <w:t xml:space="preserve">, etc.), based on testing needs. The decibel (dB) is the unit for all of them, but A-weighted equivalent sound levels for a one-hour interval cannot be directly compared with whole-day indicators with penalties.</w:t>
      </w:r>
    </w:p>
    <w:p>
      <w:pPr>
        <w:pStyle w:val="BodyText"/>
      </w:pPr>
      <w:r>
        <w:t xml:space="preserve">Ultimately, for the SPI approach to succeed, collaboration with stakeholders, end-users, and experts from various domains will be crucial in ensuring the framework’s relevance and applicability across a wide range of contexts.</w:t>
      </w:r>
    </w:p>
    <w:bookmarkEnd w:id="62"/>
    <w:bookmarkStart w:id="65" w:name="acknowledgements"/>
    <w:p>
      <w:pPr>
        <w:pStyle w:val="Heading1"/>
      </w:pPr>
      <w:r>
        <w:t xml:space="preserve">Acknowledgements</w:t>
      </w:r>
    </w:p>
    <w:p>
      <w:pPr>
        <w:pStyle w:val="FirstParagraph"/>
      </w:pPr>
      <w:r>
        <w:t xml:space="preserve">This project has received funding from the European Research Council (ERC) under the European Union’s Horizon 2020 research and innovation program (Grant No. 740696, project title Soundscape Indices - SSID). More information and related publications can be found at the CORDIS webpage of the project</w:t>
      </w:r>
      <w:r>
        <w:rPr>
          <w:rStyle w:val="FootnoteReference"/>
        </w:rPr>
        <w:footnoteReference w:id="63"/>
      </w:r>
    </w:p>
    <w:bookmarkEnd w:id="65"/>
    <w:bookmarkStart w:id="70" w:name="data-and-code-availability"/>
    <w:p>
      <w:pPr>
        <w:pStyle w:val="Heading1"/>
      </w:pPr>
      <w:r>
        <w:t xml:space="preserve">Data and Code Availability</w:t>
      </w:r>
    </w:p>
    <w:p>
      <w:pPr>
        <w:pStyle w:val="FirstParagraph"/>
      </w:pPr>
      <w:r>
        <w:t xml:space="preserve">The data used in this paper are drawn from the publicly available International Soundscape Database (ISD v1.0.1-alpha.1)</w:t>
      </w:r>
      <w:r>
        <w:t xml:space="preserve"> </w:t>
      </w:r>
      <w:r>
        <w:t xml:space="preserve">Mitchell et al. (2024)</w:t>
      </w:r>
      <w:r>
        <w:t xml:space="preserve"> </w:t>
      </w:r>
      <w:r>
        <w:t xml:space="preserve">available on Zenodo</w:t>
      </w:r>
      <w:r>
        <w:rPr>
          <w:rStyle w:val="FootnoteReference"/>
        </w:rPr>
        <w:footnoteReference w:id="66"/>
      </w:r>
      <w:r>
        <w:t xml:space="preserve">. The analysis code developed for this method has been integrated into the open-source Python package Soundscapy, which can be found on Github</w:t>
      </w:r>
      <w:r>
        <w:rPr>
          <w:rStyle w:val="FootnoteReference"/>
        </w:rPr>
        <w:footnoteReference w:id="68"/>
      </w:r>
      <w:r>
        <w:t xml:space="preserve">. The code to recreate the figures in this paper can be found on this paper’s Github page.</w:t>
      </w:r>
    </w:p>
    <w:bookmarkEnd w:id="70"/>
    <w:bookmarkStart w:id="71" w:name="author-contributions"/>
    <w:p>
      <w:pPr>
        <w:pStyle w:val="Heading1"/>
      </w:pPr>
      <w:r>
        <w:t xml:space="preserve">Author contributions</w:t>
      </w:r>
    </w:p>
    <w:p>
      <w:pPr>
        <w:pStyle w:val="FirstParagraph"/>
      </w:pPr>
      <w:r>
        <w:rPr>
          <w:bCs/>
          <w:b/>
        </w:rPr>
        <w:t xml:space="preserve">AM</w:t>
      </w:r>
      <w:r>
        <w:t xml:space="preserve">: Conceptualization, Methodology, Software, Writing-Original Draft, Writing-Review &amp; Editing, Visualization.</w:t>
      </w:r>
      <w:r>
        <w:t xml:space="preserve"> </w:t>
      </w:r>
      <w:r>
        <w:rPr>
          <w:bCs/>
          <w:b/>
        </w:rPr>
        <w:t xml:space="preserve">FA</w:t>
      </w:r>
      <w:r>
        <w:t xml:space="preserve">: Conceptualization, Methodology, Writing-Review &amp; Editing.</w:t>
      </w:r>
      <w:r>
        <w:t xml:space="preserve"> </w:t>
      </w:r>
      <w:r>
        <w:rPr>
          <w:bCs/>
          <w:b/>
        </w:rPr>
        <w:t xml:space="preserve">TO</w:t>
      </w:r>
      <w:r>
        <w:t xml:space="preserve">: Conceptualization, Writing-Review &amp; Editing.</w:t>
      </w:r>
      <w:r>
        <w:t xml:space="preserve"> </w:t>
      </w:r>
      <w:r>
        <w:rPr>
          <w:bCs/>
          <w:b/>
        </w:rPr>
        <w:t xml:space="preserve">JK</w:t>
      </w:r>
      <w:r>
        <w:t xml:space="preserve">: Conceptualization, Supervision, Funding acquisition.</w:t>
      </w:r>
    </w:p>
    <w:bookmarkEnd w:id="71"/>
    <w:bookmarkStart w:id="163" w:name="references"/>
    <w:p>
      <w:pPr>
        <w:pStyle w:val="Heading1"/>
      </w:pPr>
      <w:r>
        <w:t xml:space="preserve">7. References</w:t>
      </w:r>
    </w:p>
    <w:bookmarkStart w:id="162" w:name="refs"/>
    <w:bookmarkStart w:id="73"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Cs/>
          <w:i/>
        </w:rPr>
        <w:t xml:space="preserve">Noise Mapping</w:t>
      </w:r>
      <w:r>
        <w:t xml:space="preserve"> </w:t>
      </w:r>
      <w:r>
        <w:t xml:space="preserve">2 (1): 1–12.</w:t>
      </w:r>
      <w:r>
        <w:t xml:space="preserve"> </w:t>
      </w:r>
      <w:hyperlink r:id="rId72">
        <w:r>
          <w:rPr>
            <w:rStyle w:val="Hyperlink"/>
          </w:rPr>
          <w:t xml:space="preserve">https://doi.org/10.1515/noise-2015-0001</w:t>
        </w:r>
      </w:hyperlink>
      <w:r>
        <w:t xml:space="preserve">.</w:t>
      </w:r>
    </w:p>
    <w:bookmarkEnd w:id="73"/>
    <w:bookmarkStart w:id="75"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Cs/>
          <w:i/>
        </w:rPr>
        <w:t xml:space="preserve">Landscape and Urban Planning</w:t>
      </w:r>
      <w:r>
        <w:t xml:space="preserve"> </w:t>
      </w:r>
      <w:r>
        <w:t xml:space="preserve">149 (July): 65–74.</w:t>
      </w:r>
      <w:r>
        <w:t xml:space="preserve"> </w:t>
      </w:r>
      <w:hyperlink r:id="rId74">
        <w:r>
          <w:rPr>
            <w:rStyle w:val="Hyperlink"/>
          </w:rPr>
          <w:t xml:space="preserve">https://doi.org/10.1016/j.landurbplan.2016.02.001</w:t>
        </w:r>
      </w:hyperlink>
      <w:r>
        <w:t xml:space="preserve">.</w:t>
      </w:r>
    </w:p>
    <w:bookmarkEnd w:id="75"/>
    <w:bookmarkStart w:id="77"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Cs/>
          <w:i/>
        </w:rPr>
        <w:t xml:space="preserve">International Journal of Environmental Research and Public Health</w:t>
      </w:r>
      <w:r>
        <w:t xml:space="preserve"> </w:t>
      </w:r>
      <w:r>
        <w:t xml:space="preserve">15 (October): 1–15.</w:t>
      </w:r>
      <w:r>
        <w:t xml:space="preserve"> </w:t>
      </w:r>
      <w:hyperlink r:id="rId76">
        <w:r>
          <w:rPr>
            <w:rStyle w:val="Hyperlink"/>
          </w:rPr>
          <w:t xml:space="preserve">https://doi.org/10.3390/ijerph15112392</w:t>
        </w:r>
      </w:hyperlink>
      <w:r>
        <w:t xml:space="preserve">.</w:t>
      </w:r>
    </w:p>
    <w:bookmarkEnd w:id="77"/>
    <w:bookmarkStart w:id="79"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Cs/>
          <w:i/>
        </w:rPr>
        <w:t xml:space="preserve">Current Pollution Reports</w:t>
      </w:r>
      <w:r>
        <w:t xml:space="preserve">, October.</w:t>
      </w:r>
      <w:r>
        <w:t xml:space="preserve"> </w:t>
      </w:r>
      <w:hyperlink r:id="rId78">
        <w:r>
          <w:rPr>
            <w:rStyle w:val="Hyperlink"/>
          </w:rPr>
          <w:t xml:space="preserve">https://doi.org/10.1007/s40726-023-00283-6</w:t>
        </w:r>
      </w:hyperlink>
      <w:r>
        <w:t xml:space="preserve">.</w:t>
      </w:r>
    </w:p>
    <w:bookmarkEnd w:id="79"/>
    <w:bookmarkStart w:id="80"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Cs/>
          <w:i/>
        </w:rPr>
        <w:t xml:space="preserve">Proceedings of Euronoise 2015 :</w:t>
      </w:r>
      <w:r>
        <w:t xml:space="preserve">, 1477–81. Stockholm University, Perception; psychophysics; Nederlands Akoestisch Genootschap; ABAV - Belgian Acoustical Society.</w:t>
      </w:r>
    </w:p>
    <w:bookmarkEnd w:id="80"/>
    <w:bookmarkStart w:id="82"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Cs/>
          <w:i/>
        </w:rPr>
        <w:t xml:space="preserve">The Journal of the Acoustical Society of America</w:t>
      </w:r>
      <w:r>
        <w:t xml:space="preserve"> </w:t>
      </w:r>
      <w:r>
        <w:t xml:space="preserve">128 (5): 2836–46.</w:t>
      </w:r>
      <w:r>
        <w:t xml:space="preserve"> </w:t>
      </w:r>
      <w:hyperlink r:id="rId81">
        <w:r>
          <w:rPr>
            <w:rStyle w:val="Hyperlink"/>
          </w:rPr>
          <w:t xml:space="preserve">https://doi.org/10.1121/1.3493436</w:t>
        </w:r>
      </w:hyperlink>
      <w:r>
        <w:t xml:space="preserve">.</w:t>
      </w:r>
    </w:p>
    <w:bookmarkEnd w:id="82"/>
    <w:bookmarkStart w:id="84"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Cs/>
          <w:i/>
        </w:rPr>
        <w:t xml:space="preserve">The Journal of the Acoustical Society of America</w:t>
      </w:r>
      <w:r>
        <w:t xml:space="preserve">, 131:3476–76. 4. Acoustical Society of America (</w:t>
      </w:r>
      <w:r>
        <w:t xml:space="preserve">ASA</w:t>
      </w:r>
      <w:r>
        <w:t xml:space="preserve">).</w:t>
      </w:r>
      <w:r>
        <w:t xml:space="preserve"> </w:t>
      </w:r>
      <w:hyperlink r:id="rId83">
        <w:r>
          <w:rPr>
            <w:rStyle w:val="Hyperlink"/>
          </w:rPr>
          <w:t xml:space="preserve">https://doi.org/10.1121/1.4709112</w:t>
        </w:r>
      </w:hyperlink>
      <w:r>
        <w:t xml:space="preserve">.</w:t>
      </w:r>
    </w:p>
    <w:bookmarkEnd w:id="84"/>
    <w:bookmarkStart w:id="86"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85">
        <w:r>
          <w:rPr>
            <w:rStyle w:val="Hyperlink"/>
          </w:rPr>
          <w:t xml:space="preserve">https://cran.r-project.org/package=sn</w:t>
        </w:r>
      </w:hyperlink>
      <w:r>
        <w:t xml:space="preserve">.</w:t>
      </w:r>
    </w:p>
    <w:bookmarkEnd w:id="86"/>
    <w:bookmarkStart w:id="88"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Cs/>
          <w:i/>
        </w:rPr>
        <w:t xml:space="preserve">Journal of the Royal Statistical Society Series B: Statistical Methodology</w:t>
      </w:r>
      <w:r>
        <w:t xml:space="preserve"> </w:t>
      </w:r>
      <w:r>
        <w:t xml:space="preserve">61 (3): 579–602.</w:t>
      </w:r>
      <w:r>
        <w:t xml:space="preserve"> </w:t>
      </w:r>
      <w:hyperlink r:id="rId87">
        <w:r>
          <w:rPr>
            <w:rStyle w:val="Hyperlink"/>
          </w:rPr>
          <w:t xml:space="preserve">https://doi.org/10.1111/1467-9868.00194</w:t>
        </w:r>
      </w:hyperlink>
      <w:r>
        <w:t xml:space="preserve">.</w:t>
      </w:r>
    </w:p>
    <w:bookmarkEnd w:id="88"/>
    <w:bookmarkStart w:id="90" w:name="ref-Azzalini2005Skew"/>
    <w:p>
      <w:pPr>
        <w:pStyle w:val="Bibliography"/>
      </w:pPr>
      <w:r>
        <w:t xml:space="preserve">Azzalini, Adelchi. 2005.</w:t>
      </w:r>
      <w:r>
        <w:t xml:space="preserve"> </w:t>
      </w:r>
      <w:r>
        <w:t xml:space="preserve">“The Skew-Normal Distribution and Related Multivariate Families.”</w:t>
      </w:r>
      <w:r>
        <w:t xml:space="preserve"> </w:t>
      </w:r>
      <w:r>
        <w:rPr>
          <w:iCs/>
          <w:i/>
        </w:rPr>
        <w:t xml:space="preserve">Scandinavian Journal of Statistics</w:t>
      </w:r>
      <w:r>
        <w:t xml:space="preserve"> </w:t>
      </w:r>
      <w:r>
        <w:t xml:space="preserve">32 (2): 159–88.</w:t>
      </w:r>
      <w:r>
        <w:t xml:space="preserve"> </w:t>
      </w:r>
      <w:hyperlink r:id="rId89">
        <w:r>
          <w:rPr>
            <w:rStyle w:val="Hyperlink"/>
          </w:rPr>
          <w:t xml:space="preserve">https://doi.org/10.1111/j.1467-9469.2005.00426.x</w:t>
        </w:r>
      </w:hyperlink>
      <w:r>
        <w:t xml:space="preserve">.</w:t>
      </w:r>
    </w:p>
    <w:bookmarkEnd w:id="90"/>
    <w:bookmarkStart w:id="92"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hyperlink r:id="rId91">
        <w:r>
          <w:rPr>
            <w:rStyle w:val="Hyperlink"/>
          </w:rPr>
          <w:t xml:space="preserve">http://azzalini.stat.unipd.it/SN/how_to_sample.pdf</w:t>
        </w:r>
      </w:hyperlink>
      <w:r>
        <w:t xml:space="preserve">.</w:t>
      </w:r>
    </w:p>
    <w:bookmarkEnd w:id="92"/>
    <w:bookmarkStart w:id="94" w:name="ref-Azzalini1996Multivariate"/>
    <w:p>
      <w:pPr>
        <w:pStyle w:val="Bibliography"/>
      </w:pPr>
      <w:r>
        <w:t xml:space="preserve">Azzalini, A., and A. Dalla Valle. 1996.</w:t>
      </w:r>
      <w:r>
        <w:t xml:space="preserve"> </w:t>
      </w:r>
      <w:r>
        <w:t xml:space="preserve">“The Multivariate Skew-Normal Distribution.”</w:t>
      </w:r>
      <w:r>
        <w:t xml:space="preserve"> </w:t>
      </w:r>
      <w:r>
        <w:rPr>
          <w:iCs/>
          <w:i/>
        </w:rPr>
        <w:t xml:space="preserve">Biometrika</w:t>
      </w:r>
      <w:r>
        <w:t xml:space="preserve"> </w:t>
      </w:r>
      <w:r>
        <w:t xml:space="preserve">83 (4): 715–26.</w:t>
      </w:r>
      <w:r>
        <w:t xml:space="preserve"> </w:t>
      </w:r>
      <w:hyperlink r:id="rId93">
        <w:r>
          <w:rPr>
            <w:rStyle w:val="Hyperlink"/>
          </w:rPr>
          <w:t xml:space="preserve">http://www.jstor.org/stable/2337278</w:t>
        </w:r>
      </w:hyperlink>
      <w:r>
        <w:t xml:space="preserve">.</w:t>
      </w:r>
    </w:p>
    <w:bookmarkEnd w:id="94"/>
    <w:bookmarkStart w:id="95"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95"/>
    <w:bookmarkStart w:id="97" w:name="ref-Blauert1997Sound"/>
    <w:p>
      <w:pPr>
        <w:pStyle w:val="Bibliography"/>
      </w:pPr>
      <w:r>
        <w:t xml:space="preserve">Blauert, Jens, and Ute Jekosch. 1997.</w:t>
      </w:r>
      <w:r>
        <w:t xml:space="preserve"> </w:t>
      </w:r>
      <w:r>
        <w:t xml:space="preserve">“Sound-Quality Evaluation a Multi-Layered Problem.”</w:t>
      </w:r>
      <w:r>
        <w:t xml:space="preserve"> </w:t>
      </w:r>
      <w:r>
        <w:rPr>
          <w:iCs/>
          <w:i/>
        </w:rPr>
        <w:t xml:space="preserve">Acta Acustica United with Acustica</w:t>
      </w:r>
      <w:r>
        <w:t xml:space="preserve"> </w:t>
      </w:r>
      <w:r>
        <w:t xml:space="preserve">83 (5): 747–53.</w:t>
      </w:r>
      <w:r>
        <w:t xml:space="preserve"> </w:t>
      </w:r>
      <w:hyperlink r:id="rId96">
        <w:r>
          <w:rPr>
            <w:rStyle w:val="Hyperlink"/>
          </w:rPr>
          <w:t xml:space="preserve">https://www.ingentaconnect.com/content/dav/aaua/1997/00000083/00000005/art00005</w:t>
        </w:r>
      </w:hyperlink>
      <w:r>
        <w:t xml:space="preserve">.</w:t>
      </w:r>
    </w:p>
    <w:bookmarkEnd w:id="97"/>
    <w:bookmarkStart w:id="98"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Cs/>
          <w:i/>
        </w:rPr>
        <w:t xml:space="preserve">INTER-NOISE and NOISE-CON Congress and Conference Proceedings</w:t>
      </w:r>
      <w:r>
        <w:t xml:space="preserve">, 261:3527–39. 3. Institute of Noise Control Engineering.</w:t>
      </w:r>
    </w:p>
    <w:bookmarkEnd w:id="98"/>
    <w:bookmarkStart w:id="99" w:name="ref-Chakravati1967Handbook"/>
    <w:p>
      <w:pPr>
        <w:pStyle w:val="Bibliography"/>
      </w:pPr>
      <w:r>
        <w:t xml:space="preserve">Chakravati, Laha, and Roy. 1967.</w:t>
      </w:r>
      <w:r>
        <w:t xml:space="preserve"> </w:t>
      </w:r>
      <w:r>
        <w:rPr>
          <w:iCs/>
          <w:i/>
        </w:rPr>
        <w:t xml:space="preserve">Handbook of Methods of Applied Statistics</w:t>
      </w:r>
      <w:r>
        <w:t xml:space="preserve">. Vol. 1. John Wiley; Sons.</w:t>
      </w:r>
    </w:p>
    <w:bookmarkEnd w:id="99"/>
    <w:bookmarkStart w:id="101" w:name="ref-Chen2023Developing"/>
    <w:p>
      <w:pPr>
        <w:pStyle w:val="Bibliography"/>
      </w:pPr>
      <w:r>
        <w:t xml:space="preserve">Chen, Xiaochao, Francesco Aletta, Cleopatra Moshona, Helen Henze, Andrew Mitchell, Tin Oberman, Huan Tong, Andre Fiebig, Jian Kang, and Brigitte Schulte-Fortkamp. 2023.</w:t>
      </w:r>
      <w:r>
        <w:t xml:space="preserve"> </w:t>
      </w:r>
      <w:r>
        <w:t xml:space="preserve">“Developing a Taxonomy of Soundscape Design from Real-World Examples.”</w:t>
      </w:r>
      <w:r>
        <w:t xml:space="preserve"> </w:t>
      </w:r>
      <w:r>
        <w:t xml:space="preserve">In</w:t>
      </w:r>
      <w:r>
        <w:t xml:space="preserve"> </w:t>
      </w:r>
      <w:r>
        <w:rPr>
          <w:iCs/>
          <w:i/>
        </w:rPr>
        <w:t xml:space="preserve">184th Meeting of the Acoustical Society of America</w:t>
      </w:r>
      <w:r>
        <w:t xml:space="preserve">, 153:A232–32. 3_supplement. Chicago: Acoustical Society of America.</w:t>
      </w:r>
      <w:r>
        <w:t xml:space="preserve"> </w:t>
      </w:r>
      <w:hyperlink r:id="rId100">
        <w:r>
          <w:rPr>
            <w:rStyle w:val="Hyperlink"/>
          </w:rPr>
          <w:t xml:space="preserve">https://doi.org/10.1121/10.0018743</w:t>
        </w:r>
      </w:hyperlink>
      <w:r>
        <w:t xml:space="preserve">.</w:t>
      </w:r>
    </w:p>
    <w:bookmarkEnd w:id="101"/>
    <w:bookmarkStart w:id="103" w:name="ref-Deb2002fast"/>
    <w:p>
      <w:pPr>
        <w:pStyle w:val="Bibliography"/>
      </w:pPr>
      <w:r>
        <w:t xml:space="preserve">Deb, Kalyanmoy, Amrit Pratap, Sameer Agarwal, and T. Meyarivan. 2002.</w:t>
      </w:r>
      <w:r>
        <w:t xml:space="preserve"> </w:t>
      </w:r>
      <w:r>
        <w:t xml:space="preserve">“A Fast and Elitist Multiobjective Genetic Algorithm: NSGA-II.”</w:t>
      </w:r>
      <w:r>
        <w:t xml:space="preserve"> </w:t>
      </w:r>
      <w:r>
        <w:t xml:space="preserve">Article.</w:t>
      </w:r>
      <w:r>
        <w:t xml:space="preserve"> </w:t>
      </w:r>
      <w:r>
        <w:rPr>
          <w:iCs/>
          <w:i/>
        </w:rPr>
        <w:t xml:space="preserve">IEEE Transactions on Evolutionary Computation</w:t>
      </w:r>
      <w:r>
        <w:t xml:space="preserve"> </w:t>
      </w:r>
      <w:r>
        <w:t xml:space="preserve">6 (2): 182–97.</w:t>
      </w:r>
      <w:r>
        <w:t xml:space="preserve"> </w:t>
      </w:r>
      <w:hyperlink r:id="rId102">
        <w:r>
          <w:rPr>
            <w:rStyle w:val="Hyperlink"/>
          </w:rPr>
          <w:t xml:space="preserve">https://doi.org/10.1109/4235.996017</w:t>
        </w:r>
      </w:hyperlink>
      <w:r>
        <w:t xml:space="preserve">.</w:t>
      </w:r>
    </w:p>
    <w:bookmarkEnd w:id="103"/>
    <w:bookmarkStart w:id="104" w:name="ref-EuropeanUnion2002Directive"/>
    <w:p>
      <w:pPr>
        <w:pStyle w:val="Bibliography"/>
      </w:pPr>
      <w:r>
        <w:t xml:space="preserve">European Union. 2002.</w:t>
      </w:r>
      <w:r>
        <w:t xml:space="preserve"> </w:t>
      </w:r>
      <w:r>
        <w:rPr>
          <w:iCs/>
          <w:i/>
        </w:rPr>
        <w:t xml:space="preserve">Directive 2002/49/EC of the European Parliament and of the Council of 25 June 2002 relating to the assessment and management of environmental noise</w:t>
      </w:r>
      <w:r>
        <w:t xml:space="preserve">.</w:t>
      </w:r>
    </w:p>
    <w:bookmarkEnd w:id="104"/>
    <w:bookmarkStart w:id="106"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Cs/>
          <w:i/>
        </w:rPr>
        <w:t xml:space="preserve">Monthly Notices of the Royal Astronomical Society</w:t>
      </w:r>
      <w:r>
        <w:t xml:space="preserve"> </w:t>
      </w:r>
      <w:r>
        <w:t xml:space="preserve">225 (1): 155–70.</w:t>
      </w:r>
      <w:r>
        <w:t xml:space="preserve"> </w:t>
      </w:r>
      <w:hyperlink r:id="rId105">
        <w:r>
          <w:rPr>
            <w:rStyle w:val="Hyperlink"/>
          </w:rPr>
          <w:t xml:space="preserve">https://doi.org/10.1093/mnras/225.1.155</w:t>
        </w:r>
      </w:hyperlink>
      <w:r>
        <w:t xml:space="preserve">.</w:t>
      </w:r>
    </w:p>
    <w:bookmarkEnd w:id="106"/>
    <w:bookmarkStart w:id="107"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Cs/>
          <w:i/>
        </w:rPr>
        <w:t xml:space="preserve">The Thirteenth International Congress on Sound and Vibration</w:t>
      </w:r>
      <w:r>
        <w:t xml:space="preserve">. Vienna.</w:t>
      </w:r>
    </w:p>
    <w:bookmarkEnd w:id="107"/>
    <w:bookmarkStart w:id="109"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Cs/>
          <w:i/>
        </w:rPr>
        <w:t xml:space="preserve">Proceedings - Euronoise 2018</w:t>
      </w:r>
      <w:r>
        <w:t xml:space="preserve">, no. June (June): 6.</w:t>
      </w:r>
      <w:r>
        <w:t xml:space="preserve"> </w:t>
      </w:r>
      <w:hyperlink r:id="rId108">
        <w:r>
          <w:rPr>
            <w:rStyle w:val="Hyperlink"/>
          </w:rPr>
          <w:t xml:space="preserve">https://www.euronoise2018.eu/docs/papers/482_Euronoise2018.pdf</w:t>
        </w:r>
      </w:hyperlink>
      <w:r>
        <w:t xml:space="preserve">.</w:t>
      </w:r>
    </w:p>
    <w:bookmarkEnd w:id="109"/>
    <w:bookmarkStart w:id="111" w:name="ref-Fletcher1933Loudness"/>
    <w:p>
      <w:pPr>
        <w:pStyle w:val="Bibliography"/>
      </w:pPr>
      <w:r>
        <w:t xml:space="preserve">Fletcher, Harvey, and W. A. Munson. 1933.</w:t>
      </w:r>
      <w:r>
        <w:t xml:space="preserve"> </w:t>
      </w:r>
      <w:r>
        <w:t xml:space="preserve">“Loudness, Its Definition, Measurement and Calculation*.”</w:t>
      </w:r>
      <w:r>
        <w:t xml:space="preserve"> </w:t>
      </w:r>
      <w:r>
        <w:rPr>
          <w:iCs/>
          <w:i/>
        </w:rPr>
        <w:t xml:space="preserve">Bell System Technical Journal</w:t>
      </w:r>
      <w:r>
        <w:t xml:space="preserve"> </w:t>
      </w:r>
      <w:r>
        <w:t xml:space="preserve">12 (4): 377–430.</w:t>
      </w:r>
      <w:r>
        <w:t xml:space="preserve"> </w:t>
      </w:r>
      <w:hyperlink r:id="rId110">
        <w:r>
          <w:rPr>
            <w:rStyle w:val="Hyperlink"/>
          </w:rPr>
          <w:t xml:space="preserve">https://doi.org/10.1002/j.1538-7305.1933.tb00403.x</w:t>
        </w:r>
      </w:hyperlink>
      <w:r>
        <w:t xml:space="preserve">.</w:t>
      </w:r>
    </w:p>
    <w:bookmarkEnd w:id="111"/>
    <w:bookmarkStart w:id="113"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Cs/>
          <w:i/>
        </w:rPr>
        <w:t xml:space="preserve">Acta Acustica United with Acustica</w:t>
      </w:r>
      <w:r>
        <w:t xml:space="preserve"> </w:t>
      </w:r>
      <w:r>
        <w:t xml:space="preserve">83 (5): 765–74.</w:t>
      </w:r>
      <w:r>
        <w:t xml:space="preserve"> </w:t>
      </w:r>
      <w:hyperlink r:id="rId112">
        <w:r>
          <w:rPr>
            <w:rStyle w:val="Hyperlink"/>
          </w:rPr>
          <w:t xml:space="preserve">https://www.ingentaconnect.com/content/dav/aaua/1997/00000083/00000005/art00007</w:t>
        </w:r>
      </w:hyperlink>
      <w:r>
        <w:t xml:space="preserve">.</w:t>
      </w:r>
    </w:p>
    <w:bookmarkEnd w:id="113"/>
    <w:bookmarkStart w:id="115"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Cs/>
          <w:i/>
        </w:rPr>
        <w:t xml:space="preserve">The Journal of the Acoustical Society of America</w:t>
      </w:r>
      <w:r>
        <w:t xml:space="preserve"> </w:t>
      </w:r>
      <w:r>
        <w:t xml:space="preserve">82 (5): 1700–1705.</w:t>
      </w:r>
      <w:r>
        <w:t xml:space="preserve"> </w:t>
      </w:r>
      <w:hyperlink r:id="rId114">
        <w:r>
          <w:rPr>
            <w:rStyle w:val="Hyperlink"/>
          </w:rPr>
          <w:t xml:space="preserve">https://doi.org/10.1121/1.395162</w:t>
        </w:r>
      </w:hyperlink>
      <w:r>
        <w:t xml:space="preserve">.</w:t>
      </w:r>
    </w:p>
    <w:bookmarkEnd w:id="115"/>
    <w:bookmarkStart w:id="116"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16"/>
    <w:bookmarkStart w:id="117" w:name="ref-ISO12913Part3"/>
    <w:p>
      <w:pPr>
        <w:pStyle w:val="Bibliography"/>
      </w:pPr>
      <w:r>
        <w:t xml:space="preserve">ISO/TS 12913-3:2019. 2019.</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3:</w:t>
      </w:r>
      <w:r>
        <w:t xml:space="preserve"> </w:t>
      </w:r>
      <w:r>
        <w:t xml:space="preserve">Data</w:t>
      </w:r>
      <w:r>
        <w:t xml:space="preserve"> </w:t>
      </w:r>
      <w:r>
        <w:t xml:space="preserve">Analysis.”</w:t>
      </w:r>
    </w:p>
    <w:bookmarkEnd w:id="117"/>
    <w:bookmarkStart w:id="119" w:name="ref-Kang2006Urban"/>
    <w:p>
      <w:pPr>
        <w:pStyle w:val="Bibliography"/>
      </w:pPr>
      <w:r>
        <w:t xml:space="preserve">Kang, Jian. 2006.</w:t>
      </w:r>
      <w:r>
        <w:t xml:space="preserve"> </w:t>
      </w:r>
      <w:r>
        <w:rPr>
          <w:iCs/>
          <w:i/>
        </w:rPr>
        <w:t xml:space="preserve">Urban</w:t>
      </w:r>
      <w:r>
        <w:rPr>
          <w:iCs/>
          <w:i/>
        </w:rPr>
        <w:t xml:space="preserve"> </w:t>
      </w:r>
      <w:r>
        <w:rPr>
          <w:iCs/>
          <w:i/>
        </w:rPr>
        <w:t xml:space="preserve">S</w:t>
      </w:r>
      <w:r>
        <w:rPr>
          <w:iCs/>
          <w:i/>
        </w:rPr>
        <w:t xml:space="preserve">ound</w:t>
      </w:r>
      <w:r>
        <w:rPr>
          <w:iCs/>
          <w:i/>
        </w:rPr>
        <w:t xml:space="preserve"> </w:t>
      </w:r>
      <w:r>
        <w:rPr>
          <w:iCs/>
          <w:i/>
        </w:rPr>
        <w:t xml:space="preserve">E</w:t>
      </w:r>
      <w:r>
        <w:rPr>
          <w:iCs/>
          <w:i/>
        </w:rPr>
        <w:t xml:space="preserve">nvironment</w:t>
      </w:r>
      <w:r>
        <w:t xml:space="preserve">.</w:t>
      </w:r>
      <w:r>
        <w:t xml:space="preserve"> </w:t>
      </w:r>
      <w:r>
        <w:t xml:space="preserve">CRC</w:t>
      </w:r>
      <w:r>
        <w:t xml:space="preserve"> </w:t>
      </w:r>
      <w:r>
        <w:t xml:space="preserve">Press.</w:t>
      </w:r>
      <w:r>
        <w:t xml:space="preserve"> </w:t>
      </w:r>
      <w:hyperlink r:id="rId118">
        <w:r>
          <w:rPr>
            <w:rStyle w:val="Hyperlink"/>
          </w:rPr>
          <w:t xml:space="preserve">https://doi.org/10.1201/9781482265613</w:t>
        </w:r>
      </w:hyperlink>
      <w:r>
        <w:t xml:space="preserve">.</w:t>
      </w:r>
    </w:p>
    <w:bookmarkEnd w:id="119"/>
    <w:bookmarkStart w:id="120" w:name="ref-Kang2023Soundscape"/>
    <w:p>
      <w:pPr>
        <w:pStyle w:val="Bibliography"/>
      </w:pPr>
      <w:r>
        <w:t xml:space="preserve">———. 2023.</w:t>
      </w:r>
      <w:r>
        <w:t xml:space="preserve"> </w:t>
      </w:r>
      <w:r>
        <w:t xml:space="preserve">“Soundscape in City and Built Environment: Current Developments and Design Potentials.”</w:t>
      </w:r>
      <w:r>
        <w:t xml:space="preserve"> </w:t>
      </w:r>
      <w:r>
        <w:rPr>
          <w:iCs/>
          <w:i/>
        </w:rPr>
        <w:t xml:space="preserve">City and Built Environment</w:t>
      </w:r>
      <w:r>
        <w:t xml:space="preserve"> </w:t>
      </w:r>
      <w:r>
        <w:t xml:space="preserve">1 (1): 1.</w:t>
      </w:r>
    </w:p>
    <w:bookmarkEnd w:id="120"/>
    <w:bookmarkStart w:id="122"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Cs/>
          <w:i/>
        </w:rPr>
        <w:t xml:space="preserve">Environments</w:t>
      </w:r>
      <w:r>
        <w:t xml:space="preserve"> </w:t>
      </w:r>
      <w:r>
        <w:t xml:space="preserve">5 (5): 58.</w:t>
      </w:r>
      <w:r>
        <w:t xml:space="preserve"> </w:t>
      </w:r>
      <w:hyperlink r:id="rId121">
        <w:r>
          <w:rPr>
            <w:rStyle w:val="Hyperlink"/>
          </w:rPr>
          <w:t xml:space="preserve">https://doi.org/10.3390/environments5050058</w:t>
        </w:r>
      </w:hyperlink>
      <w:r>
        <w:t xml:space="preserve">.</w:t>
      </w:r>
    </w:p>
    <w:bookmarkEnd w:id="122"/>
    <w:bookmarkStart w:id="124"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Cs/>
          <w:i/>
        </w:rPr>
        <w:t xml:space="preserve">Proceedings of the 23rd International Congress on Acoustics</w:t>
      </w:r>
      <w:r>
        <w:t xml:space="preserve">, integrating 4th EAA Euroregio 2019 : 9-13 September 2019:2488–95. Aachen: RWTH Aachen University.</w:t>
      </w:r>
      <w:r>
        <w:t xml:space="preserve"> </w:t>
      </w:r>
      <w:hyperlink r:id="rId123">
        <w:r>
          <w:rPr>
            <w:rStyle w:val="Hyperlink"/>
          </w:rPr>
          <w:t xml:space="preserve">https://doi.org/10.18154/RWTH-CONV-239249</w:t>
        </w:r>
      </w:hyperlink>
      <w:r>
        <w:t xml:space="preserve">.</w:t>
      </w:r>
    </w:p>
    <w:bookmarkEnd w:id="124"/>
    <w:bookmarkStart w:id="126"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Cs/>
          <w:i/>
        </w:rPr>
        <w:t xml:space="preserve">Science of The Total Environment</w:t>
      </w:r>
      <w:r>
        <w:t xml:space="preserve"> </w:t>
      </w:r>
      <w:r>
        <w:t xml:space="preserve">855 (January): 158868.</w:t>
      </w:r>
      <w:r>
        <w:t xml:space="preserve"> </w:t>
      </w:r>
      <w:hyperlink r:id="rId125">
        <w:r>
          <w:rPr>
            <w:rStyle w:val="Hyperlink"/>
          </w:rPr>
          <w:t xml:space="preserve">https://doi.org/10.1016/j.scitotenv.2022.158868</w:t>
        </w:r>
      </w:hyperlink>
      <w:r>
        <w:t xml:space="preserve">.</w:t>
      </w:r>
    </w:p>
    <w:bookmarkEnd w:id="126"/>
    <w:bookmarkStart w:id="127" w:name="ref-Kang2016Soundscape"/>
    <w:p>
      <w:pPr>
        <w:pStyle w:val="Bibliography"/>
      </w:pPr>
      <w:r>
        <w:t xml:space="preserve">Kang, Jian, and Brigitte Schulte-Fortkamp, eds. 2016.</w:t>
      </w:r>
      <w:r>
        <w:t xml:space="preserve"> </w:t>
      </w:r>
      <w:r>
        <w:rPr>
          <w:iCs/>
          <w:i/>
        </w:rPr>
        <w:t xml:space="preserve">Soundscape and the</w:t>
      </w:r>
      <w:r>
        <w:rPr>
          <w:iCs/>
          <w:i/>
        </w:rPr>
        <w:t xml:space="preserve"> </w:t>
      </w:r>
      <w:r>
        <w:rPr>
          <w:iCs/>
          <w:i/>
        </w:rPr>
        <w:t xml:space="preserve">B</w:t>
      </w:r>
      <w:r>
        <w:rPr>
          <w:iCs/>
          <w:i/>
        </w:rPr>
        <w:t xml:space="preserve">uilt</w:t>
      </w:r>
      <w:r>
        <w:rPr>
          <w:iCs/>
          <w:i/>
        </w:rPr>
        <w:t xml:space="preserve"> </w:t>
      </w:r>
      <w:r>
        <w:rPr>
          <w:iCs/>
          <w:i/>
        </w:rPr>
        <w:t xml:space="preserve">E</w:t>
      </w:r>
      <w:r>
        <w:rPr>
          <w:iCs/>
          <w:i/>
        </w:rPr>
        <w:t xml:space="preserve">nvironment</w:t>
      </w:r>
      <w:r>
        <w:t xml:space="preserve">. Boca Raton, FL: CRC Press.</w:t>
      </w:r>
    </w:p>
    <w:bookmarkEnd w:id="127"/>
    <w:bookmarkStart w:id="129"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Cs/>
          <w:i/>
        </w:rPr>
        <w:t xml:space="preserve">Science of The Total Environment</w:t>
      </w:r>
      <w:r>
        <w:t xml:space="preserve"> </w:t>
      </w:r>
      <w:r>
        <w:t xml:space="preserve">642 (November): 463–72.</w:t>
      </w:r>
      <w:r>
        <w:t xml:space="preserve"> </w:t>
      </w:r>
      <w:hyperlink r:id="rId128">
        <w:r>
          <w:rPr>
            <w:rStyle w:val="Hyperlink"/>
          </w:rPr>
          <w:t xml:space="preserve">https://doi.org/10.1016/j.scitotenv.2018.06.023</w:t>
        </w:r>
      </w:hyperlink>
      <w:r>
        <w:t xml:space="preserve">.</w:t>
      </w:r>
    </w:p>
    <w:bookmarkEnd w:id="129"/>
    <w:bookmarkStart w:id="130" w:name="ref-Kryter1970Effects"/>
    <w:p>
      <w:pPr>
        <w:pStyle w:val="Bibliography"/>
      </w:pPr>
      <w:r>
        <w:t xml:space="preserve">Kryter, Karl D. 1970.</w:t>
      </w:r>
      <w:r>
        <w:t xml:space="preserve"> </w:t>
      </w:r>
      <w:r>
        <w:rPr>
          <w:iCs/>
          <w:i/>
        </w:rPr>
        <w:t xml:space="preserve">The Effects of Noise on Man</w:t>
      </w:r>
      <w:r>
        <w:t xml:space="preserve">. Edited by Douglas H. K. Lee, E. Wendell Hewson, and C. Fred Gurnham. Burlington: Elsevier Science.</w:t>
      </w:r>
    </w:p>
    <w:bookmarkEnd w:id="130"/>
    <w:bookmarkStart w:id="132"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Cs/>
          <w:i/>
        </w:rPr>
        <w:t xml:space="preserve">Applied Acoustics</w:t>
      </w:r>
      <w:r>
        <w:t xml:space="preserve"> </w:t>
      </w:r>
      <w:r>
        <w:t xml:space="preserve">170 (June).</w:t>
      </w:r>
      <w:r>
        <w:t xml:space="preserve"> </w:t>
      </w:r>
      <w:hyperlink r:id="rId131">
        <w:r>
          <w:rPr>
            <w:rStyle w:val="Hyperlink"/>
          </w:rPr>
          <w:t xml:space="preserve">https://doi.org/10.1016/j.apacoust.2020.107479</w:t>
        </w:r>
      </w:hyperlink>
      <w:r>
        <w:t xml:space="preserve">.</w:t>
      </w:r>
    </w:p>
    <w:bookmarkEnd w:id="132"/>
    <w:bookmarkStart w:id="134"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33">
        <w:r>
          <w:rPr>
            <w:rStyle w:val="Hyperlink"/>
          </w:rPr>
          <w:t xml:space="preserve">https://doi.org/10.13140/RG.2.2.15590.50245</w:t>
        </w:r>
      </w:hyperlink>
      <w:r>
        <w:t xml:space="preserve">.</w:t>
      </w:r>
    </w:p>
    <w:bookmarkEnd w:id="134"/>
    <w:bookmarkStart w:id="136" w:name="ref-Mitchell2023Testing"/>
    <w:p>
      <w:pPr>
        <w:pStyle w:val="Bibliography"/>
      </w:pPr>
      <w:r>
        <w:t xml:space="preserve">Mitchell, Andrew, and Francesco Aletta. 2023.</w:t>
      </w:r>
      <w:r>
        <w:t xml:space="preserve"> </w:t>
      </w:r>
      <w:r>
        <w:t xml:space="preserve">“Testing and Adjusting Soundscape Circumplex Translations.”</w:t>
      </w:r>
      <w:r>
        <w:t xml:space="preserve"> </w:t>
      </w:r>
      <w:r>
        <w:rPr>
          <w:iCs/>
          <w:i/>
        </w:rPr>
        <w:t xml:space="preserve">OSF Preprints</w:t>
      </w:r>
      <w:r>
        <w:t xml:space="preserve">.</w:t>
      </w:r>
      <w:r>
        <w:t xml:space="preserve"> </w:t>
      </w:r>
      <w:hyperlink r:id="rId135">
        <w:r>
          <w:rPr>
            <w:rStyle w:val="Hyperlink"/>
          </w:rPr>
          <w:t xml:space="preserve">https://doi.org/10.17605/OSF.IO/JVNA2</w:t>
        </w:r>
      </w:hyperlink>
      <w:r>
        <w:t xml:space="preserve">.</w:t>
      </w:r>
    </w:p>
    <w:bookmarkEnd w:id="136"/>
    <w:bookmarkStart w:id="138"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Cs/>
          <w:i/>
        </w:rPr>
        <w:t xml:space="preserve">JASA Express Letters</w:t>
      </w:r>
      <w:r>
        <w:t xml:space="preserve"> </w:t>
      </w:r>
      <w:r>
        <w:t xml:space="preserve">2 (3): 037201.</w:t>
      </w:r>
      <w:r>
        <w:t xml:space="preserve"> </w:t>
      </w:r>
      <w:hyperlink r:id="rId137">
        <w:r>
          <w:rPr>
            <w:rStyle w:val="Hyperlink"/>
          </w:rPr>
          <w:t xml:space="preserve">https://doi.org/10.1121/10.0009794</w:t>
        </w:r>
      </w:hyperlink>
      <w:r>
        <w:t xml:space="preserve">.</w:t>
      </w:r>
    </w:p>
    <w:bookmarkEnd w:id="138"/>
    <w:bookmarkStart w:id="139"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Cs/>
          <w:i/>
        </w:rPr>
        <w:t xml:space="preserve">INTER-NOISE 2023 Conference</w:t>
      </w:r>
      <w:r>
        <w:t xml:space="preserve">. Chiba, Greater Tokyo.</w:t>
      </w:r>
    </w:p>
    <w:bookmarkEnd w:id="139"/>
    <w:bookmarkStart w:id="140"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67">
        <w:r>
          <w:rPr>
            <w:rStyle w:val="Hyperlink"/>
          </w:rPr>
          <w:t xml:space="preserve">https://doi.org/10.5281/zenodo.10672568</w:t>
        </w:r>
      </w:hyperlink>
      <w:r>
        <w:t xml:space="preserve">.</w:t>
      </w:r>
    </w:p>
    <w:bookmarkEnd w:id="140"/>
    <w:bookmarkStart w:id="142"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Cs/>
          <w:i/>
        </w:rPr>
        <w:t xml:space="preserve">Applied Sciences</w:t>
      </w:r>
      <w:r>
        <w:t xml:space="preserve"> </w:t>
      </w:r>
      <w:r>
        <w:t xml:space="preserve">10 (7): 2397.</w:t>
      </w:r>
      <w:r>
        <w:t xml:space="preserve"> </w:t>
      </w:r>
      <w:hyperlink r:id="rId141">
        <w:r>
          <w:rPr>
            <w:rStyle w:val="Hyperlink"/>
          </w:rPr>
          <w:t xml:space="preserve">https://doi.org/10.3390/app10072397</w:t>
        </w:r>
      </w:hyperlink>
      <w:r>
        <w:t xml:space="preserve">.</w:t>
      </w:r>
    </w:p>
    <w:bookmarkEnd w:id="142"/>
    <w:bookmarkStart w:id="144"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Cs/>
          <w:i/>
        </w:rPr>
        <w:t xml:space="preserve">ICASSP</w:t>
      </w:r>
      <w:r>
        <w:rPr>
          <w:iCs/>
          <w:i/>
        </w:rPr>
        <w:t xml:space="preserve"> </w:t>
      </w:r>
      <w:r>
        <w:rPr>
          <w:iCs/>
          <w:i/>
        </w:rPr>
        <w:t xml:space="preserve">2022 - 2022</w:t>
      </w:r>
      <w:r>
        <w:rPr>
          <w:iCs/>
          <w:i/>
        </w:rPr>
        <w:t xml:space="preserve"> </w:t>
      </w:r>
      <w:r>
        <w:rPr>
          <w:iCs/>
          <w:i/>
        </w:rPr>
        <w:t xml:space="preserve">IEEE</w:t>
      </w:r>
      <w:r>
        <w:rPr>
          <w:iCs/>
          <w:i/>
        </w:rPr>
        <w:t xml:space="preserve"> </w:t>
      </w:r>
      <w:r>
        <w:rPr>
          <w:iCs/>
          <w:i/>
        </w:rPr>
        <w:t xml:space="preserve">International Conference on Acoustics, Speech and Signal Processing (</w:t>
      </w:r>
      <w:r>
        <w:rPr>
          <w:iCs/>
          <w:i/>
        </w:rPr>
        <w:t xml:space="preserve">ICASSP</w:t>
      </w:r>
      <w:r>
        <w:rPr>
          <w:iCs/>
          <w:i/>
        </w:rPr>
        <w:t xml:space="preserve">)</w:t>
      </w:r>
      <w:r>
        <w:t xml:space="preserve">.</w:t>
      </w:r>
      <w:r>
        <w:t xml:space="preserve"> </w:t>
      </w:r>
      <w:r>
        <w:t xml:space="preserve">IEEE</w:t>
      </w:r>
      <w:r>
        <w:t xml:space="preserve">.</w:t>
      </w:r>
      <w:r>
        <w:t xml:space="preserve"> </w:t>
      </w:r>
      <w:hyperlink r:id="rId143">
        <w:r>
          <w:rPr>
            <w:rStyle w:val="Hyperlink"/>
          </w:rPr>
          <w:t xml:space="preserve">https://doi.org/10.1109/icassp43922.2022.9746897</w:t>
        </w:r>
      </w:hyperlink>
      <w:r>
        <w:t xml:space="preserve">.</w:t>
      </w:r>
    </w:p>
    <w:bookmarkEnd w:id="144"/>
    <w:bookmarkStart w:id="146"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Cs/>
          <w:i/>
        </w:rPr>
        <w:t xml:space="preserve">Applied Acoustics</w:t>
      </w:r>
      <w:r>
        <w:t xml:space="preserve"> </w:t>
      </w:r>
      <w:r>
        <w:t xml:space="preserve">68 (1): 58–70.</w:t>
      </w:r>
      <w:r>
        <w:t xml:space="preserve"> </w:t>
      </w:r>
      <w:hyperlink r:id="rId145">
        <w:r>
          <w:rPr>
            <w:rStyle w:val="Hyperlink"/>
          </w:rPr>
          <w:t xml:space="preserve">https://doi.org/10.1016/j.apacoust.2006.02.004</w:t>
        </w:r>
      </w:hyperlink>
      <w:r>
        <w:t xml:space="preserve">.</w:t>
      </w:r>
    </w:p>
    <w:bookmarkEnd w:id="146"/>
    <w:bookmarkStart w:id="148" w:name="ref-RCT2018R"/>
    <w:p>
      <w:pPr>
        <w:pStyle w:val="Bibliography"/>
      </w:pPr>
      <w:r>
        <w:t xml:space="preserve">R Core Team. 2018.</w:t>
      </w:r>
      <w:r>
        <w:t xml:space="preserve"> </w:t>
      </w:r>
      <w:r>
        <w:rPr>
          <w:iCs/>
          <w:i/>
        </w:rPr>
        <w:t xml:space="preserve">R</w:t>
      </w:r>
      <w:r>
        <w:rPr>
          <w:iCs/>
          <w:i/>
        </w:rPr>
        <w:t xml:space="preserve">:</w:t>
      </w:r>
      <w:r>
        <w:rPr>
          <w:iCs/>
          <w:i/>
        </w:rPr>
        <w:t xml:space="preserve"> </w:t>
      </w:r>
      <w:r>
        <w:rPr>
          <w:iCs/>
          <w:i/>
        </w:rPr>
        <w:t xml:space="preserve">A</w:t>
      </w:r>
      <w:r>
        <w:rPr>
          <w:iCs/>
          <w:i/>
        </w:rPr>
        <w:t xml:space="preserve"> </w:t>
      </w:r>
      <w:r>
        <w:rPr>
          <w:iCs/>
          <w:i/>
        </w:rPr>
        <w:t xml:space="preserve">L</w:t>
      </w:r>
      <w:r>
        <w:rPr>
          <w:iCs/>
          <w:i/>
        </w:rPr>
        <w:t xml:space="preserve">anguage and</w:t>
      </w:r>
      <w:r>
        <w:rPr>
          <w:iCs/>
          <w:i/>
        </w:rPr>
        <w:t xml:space="preserve"> </w:t>
      </w:r>
      <w:r>
        <w:rPr>
          <w:iCs/>
          <w:i/>
        </w:rPr>
        <w:t xml:space="preserve">E</w:t>
      </w:r>
      <w:r>
        <w:rPr>
          <w:iCs/>
          <w:i/>
        </w:rPr>
        <w:t xml:space="preserve">nvironment for</w:t>
      </w:r>
      <w:r>
        <w:rPr>
          <w:iCs/>
          <w:i/>
        </w:rPr>
        <w:t xml:space="preserve"> </w:t>
      </w:r>
      <w:r>
        <w:rPr>
          <w:iCs/>
          <w:i/>
        </w:rPr>
        <w:t xml:space="preserve">S</w:t>
      </w:r>
      <w:r>
        <w:rPr>
          <w:iCs/>
          <w:i/>
        </w:rPr>
        <w:t xml:space="preserve">tatistical</w:t>
      </w:r>
      <w:r>
        <w:rPr>
          <w:iCs/>
          <w:i/>
        </w:rPr>
        <w:t xml:space="preserve"> </w:t>
      </w:r>
      <w:r>
        <w:rPr>
          <w:iCs/>
          <w:i/>
        </w:rPr>
        <w:t xml:space="preserve">C</w:t>
      </w:r>
      <w:r>
        <w:rPr>
          <w:iCs/>
          <w:i/>
        </w:rPr>
        <w:t xml:space="preserve">omputing</w:t>
      </w:r>
      <w:r>
        <w:t xml:space="preserve">. Vienna, Austria: R Foundation for Statistical Computing.</w:t>
      </w:r>
      <w:r>
        <w:t xml:space="preserve"> </w:t>
      </w:r>
      <w:hyperlink r:id="rId147">
        <w:r>
          <w:rPr>
            <w:rStyle w:val="Hyperlink"/>
          </w:rPr>
          <w:t xml:space="preserve">https://www.R-project.org/</w:t>
        </w:r>
      </w:hyperlink>
      <w:r>
        <w:t xml:space="preserve">.</w:t>
      </w:r>
    </w:p>
    <w:bookmarkEnd w:id="148"/>
    <w:bookmarkStart w:id="150" w:name="ref-Russell1980circumplex"/>
    <w:p>
      <w:pPr>
        <w:pStyle w:val="Bibliography"/>
      </w:pPr>
      <w:r>
        <w:t xml:space="preserve">Russell, James A. 1980.</w:t>
      </w:r>
      <w:r>
        <w:t xml:space="preserve"> </w:t>
      </w:r>
      <w:r>
        <w:t xml:space="preserve">“A Circumplex Model of Affect.”</w:t>
      </w:r>
      <w:r>
        <w:t xml:space="preserve"> </w:t>
      </w:r>
      <w:r>
        <w:rPr>
          <w:iCs/>
          <w:i/>
        </w:rPr>
        <w:t xml:space="preserve">Journal of Personality and Social Psychology</w:t>
      </w:r>
      <w:r>
        <w:t xml:space="preserve"> </w:t>
      </w:r>
      <w:r>
        <w:t xml:space="preserve">39 (6): 1161.</w:t>
      </w:r>
      <w:r>
        <w:t xml:space="preserve"> </w:t>
      </w:r>
      <w:hyperlink r:id="rId149">
        <w:r>
          <w:rPr>
            <w:rStyle w:val="Hyperlink"/>
          </w:rPr>
          <w:t xml:space="preserve">https://doi.org/10.1037/h0077714</w:t>
        </w:r>
      </w:hyperlink>
      <w:r>
        <w:t xml:space="preserve">.</w:t>
      </w:r>
    </w:p>
    <w:bookmarkEnd w:id="150"/>
    <w:bookmarkStart w:id="152" w:name="ref-SchulteFortkamp2023Soundscapes"/>
    <w:p>
      <w:pPr>
        <w:pStyle w:val="Bibliography"/>
      </w:pPr>
      <w:r>
        <w:t xml:space="preserve">Schulte-Fortkamp, Brigitte, André Fiebig, Joseph A. Sisneros, Arthur N. Popper, and Richard R. Fay, eds. 2023.</w:t>
      </w:r>
      <w:r>
        <w:t xml:space="preserve"> </w:t>
      </w:r>
      <w:r>
        <w:rPr>
          <w:iCs/>
          <w:i/>
        </w:rPr>
        <w:t xml:space="preserve">Soundscapes:</w:t>
      </w:r>
      <w:r>
        <w:rPr>
          <w:iCs/>
          <w:i/>
        </w:rPr>
        <w:t xml:space="preserve"> </w:t>
      </w:r>
      <w:r>
        <w:rPr>
          <w:iCs/>
          <w:i/>
        </w:rPr>
        <w:t xml:space="preserve">H</w:t>
      </w:r>
      <w:r>
        <w:rPr>
          <w:iCs/>
          <w:i/>
        </w:rPr>
        <w:t xml:space="preserve">umans and</w:t>
      </w:r>
      <w:r>
        <w:rPr>
          <w:iCs/>
          <w:i/>
        </w:rPr>
        <w:t xml:space="preserve"> </w:t>
      </w:r>
      <w:r>
        <w:rPr>
          <w:iCs/>
          <w:i/>
        </w:rPr>
        <w:t xml:space="preserve">T</w:t>
      </w:r>
      <w:r>
        <w:rPr>
          <w:iCs/>
          <w:i/>
        </w:rPr>
        <w:t xml:space="preserve">heir</w:t>
      </w:r>
      <w:r>
        <w:rPr>
          <w:iCs/>
          <w:i/>
        </w:rPr>
        <w:t xml:space="preserve"> </w:t>
      </w:r>
      <w:r>
        <w:rPr>
          <w:iCs/>
          <w:i/>
        </w:rPr>
        <w:t xml:space="preserve">A</w:t>
      </w:r>
      <w:r>
        <w:rPr>
          <w:iCs/>
          <w:i/>
        </w:rPr>
        <w:t xml:space="preserve">coustic</w:t>
      </w:r>
      <w:r>
        <w:rPr>
          <w:iCs/>
          <w:i/>
        </w:rPr>
        <w:t xml:space="preserve"> </w:t>
      </w:r>
      <w:r>
        <w:rPr>
          <w:iCs/>
          <w:i/>
        </w:rPr>
        <w:t xml:space="preserve">E</w:t>
      </w:r>
      <w:r>
        <w:rPr>
          <w:iCs/>
          <w:i/>
        </w:rPr>
        <w:t xml:space="preserve">nvironment</w:t>
      </w:r>
      <w:r>
        <w:t xml:space="preserve">. Springer International Publishing.</w:t>
      </w:r>
      <w:r>
        <w:t xml:space="preserve"> </w:t>
      </w:r>
      <w:hyperlink r:id="rId151">
        <w:r>
          <w:rPr>
            <w:rStyle w:val="Hyperlink"/>
          </w:rPr>
          <w:t xml:space="preserve">https://doi.org/10.1007/978-3-031-22779-0</w:t>
        </w:r>
      </w:hyperlink>
      <w:r>
        <w:t xml:space="preserve">.</w:t>
      </w:r>
    </w:p>
    <w:bookmarkEnd w:id="152"/>
    <w:bookmarkStart w:id="154"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Cs/>
          <w:i/>
        </w:rPr>
        <w:t xml:space="preserve">The Journal of the Acoustical Society of America</w:t>
      </w:r>
      <w:r>
        <w:t xml:space="preserve"> </w:t>
      </w:r>
      <w:r>
        <w:t xml:space="preserve">134 (1): 765–66.</w:t>
      </w:r>
      <w:r>
        <w:t xml:space="preserve"> </w:t>
      </w:r>
      <w:hyperlink r:id="rId153">
        <w:r>
          <w:rPr>
            <w:rStyle w:val="Hyperlink"/>
          </w:rPr>
          <w:t xml:space="preserve">https://doi.org/10.1121/1.4810760</w:t>
        </w:r>
      </w:hyperlink>
      <w:r>
        <w:t xml:space="preserve">.</w:t>
      </w:r>
    </w:p>
    <w:bookmarkEnd w:id="154"/>
    <w:bookmarkStart w:id="155"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Cs/>
          <w:i/>
        </w:rPr>
        <w:t xml:space="preserve">Ecological Indicators</w:t>
      </w:r>
      <w:r>
        <w:t xml:space="preserve"> </w:t>
      </w:r>
      <w:r>
        <w:t xml:space="preserve">154: 110725.</w:t>
      </w:r>
    </w:p>
    <w:bookmarkEnd w:id="155"/>
    <w:bookmarkStart w:id="157"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Cs/>
          <w:i/>
        </w:rPr>
        <w:t xml:space="preserve">Ecological Indicators</w:t>
      </w:r>
      <w:r>
        <w:t xml:space="preserve"> </w:t>
      </w:r>
      <w:r>
        <w:t xml:space="preserve">155 (November): 110940.</w:t>
      </w:r>
      <w:r>
        <w:t xml:space="preserve"> </w:t>
      </w:r>
      <w:hyperlink r:id="rId156">
        <w:r>
          <w:rPr>
            <w:rStyle w:val="Hyperlink"/>
          </w:rPr>
          <w:t xml:space="preserve">https://doi.org/10.1016/j.ecolind.2023.110940</w:t>
        </w:r>
      </w:hyperlink>
      <w:r>
        <w:t xml:space="preserve">.</w:t>
      </w:r>
    </w:p>
    <w:bookmarkEnd w:id="157"/>
    <w:bookmarkStart w:id="159"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Cs/>
          <w:i/>
        </w:rPr>
        <w:t xml:space="preserve">Science of The Total Environment</w:t>
      </w:r>
      <w:r>
        <w:t xml:space="preserve"> </w:t>
      </w:r>
      <w:r>
        <w:t xml:space="preserve">802 (January): 149869.</w:t>
      </w:r>
      <w:r>
        <w:t xml:space="preserve"> </w:t>
      </w:r>
      <w:hyperlink r:id="rId158">
        <w:r>
          <w:rPr>
            <w:rStyle w:val="Hyperlink"/>
          </w:rPr>
          <w:t xml:space="preserve">https://doi.org/10.1016/j.scitotenv.2021.149869</w:t>
        </w:r>
      </w:hyperlink>
      <w:r>
        <w:t xml:space="preserve">.</w:t>
      </w:r>
    </w:p>
    <w:bookmarkEnd w:id="159"/>
    <w:bookmarkStart w:id="161" w:name="ref-Zwicker2007Psychoacoustics"/>
    <w:p>
      <w:pPr>
        <w:pStyle w:val="Bibliography"/>
      </w:pPr>
      <w:r>
        <w:t xml:space="preserve">Zwicker, Eberhard, and Hugo Fastl. 2007.</w:t>
      </w:r>
      <w:r>
        <w:t xml:space="preserve"> </w:t>
      </w:r>
      <w:r>
        <w:rPr>
          <w:iCs/>
          <w:i/>
        </w:rPr>
        <w:t xml:space="preserve">Psychoacoustics: facts and models</w:t>
      </w:r>
      <w:r>
        <w:t xml:space="preserve">. Third ed. Berlin ; New York: Springer.</w:t>
      </w:r>
      <w:r>
        <w:t xml:space="preserve"> </w:t>
      </w:r>
      <w:hyperlink r:id="rId160">
        <w:r>
          <w:rPr>
            <w:rStyle w:val="Hyperlink"/>
          </w:rPr>
          <w:t xml:space="preserve">https://doi.org/10.1007/978-3-540-68888-4</w:t>
        </w:r>
      </w:hyperlink>
      <w:r>
        <w:t xml:space="preserve">.</w:t>
      </w:r>
    </w:p>
    <w:bookmarkEnd w:id="161"/>
    <w:bookmarkEnd w:id="162"/>
    <w:bookmarkEnd w:id="16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w:t>
      </w:r>
      <w:r>
        <w:t xml:space="preserve">direct parameters</w:t>
      </w:r>
      <w:r>
        <w:t xml:space="preserve">’</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t>
      </w:r>
      <w:r>
        <w:t xml:space="preserve">while any choice of the DP components is admissible, the same is not true for CP</w:t>
      </w:r>
      <w:r>
        <w:t xml:space="preserve">”</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 w:id="63">
    <w:p>
      <w:pPr>
        <w:pStyle w:val="FootnoteText"/>
      </w:pPr>
      <w:r>
        <w:rPr>
          <w:rStyle w:val="FootnoteReference"/>
        </w:rPr>
        <w:footnoteRef/>
      </w:r>
      <w:r>
        <w:t xml:space="preserve"> </w:t>
      </w:r>
      <w:r>
        <w:t xml:space="preserve">See</w:t>
      </w:r>
      <w:r>
        <w:t xml:space="preserve"> </w:t>
      </w:r>
      <w:hyperlink r:id="rId64">
        <w:r>
          <w:rPr>
            <w:rStyle w:val="Hyperlink"/>
          </w:rPr>
          <w:t xml:space="preserve">https://cordis.europa.eu/project/id/740696/factsheet</w:t>
        </w:r>
      </w:hyperlink>
      <w:r>
        <w:t xml:space="preserve"> </w:t>
      </w:r>
      <w:r>
        <w:t xml:space="preserve">(Last viewed 2024-05-28).</w:t>
      </w:r>
    </w:p>
  </w:footnote>
  <w:footnote w:id="66">
    <w:p>
      <w:pPr>
        <w:pStyle w:val="FootnoteText"/>
      </w:pPr>
      <w:r>
        <w:rPr>
          <w:rStyle w:val="FootnoteReference"/>
        </w:rPr>
        <w:footnoteRef/>
      </w:r>
      <w:r>
        <w:t xml:space="preserve"> </w:t>
      </w:r>
      <w:r>
        <w:t xml:space="preserve">See</w:t>
      </w:r>
      <w:r>
        <w:t xml:space="preserve"> </w:t>
      </w:r>
      <w:hyperlink r:id="rId67">
        <w:r>
          <w:rPr>
            <w:rStyle w:val="Hyperlink"/>
          </w:rPr>
          <w:t xml:space="preserve">https://doi.org/10.5281/zenodo.10672568</w:t>
        </w:r>
      </w:hyperlink>
    </w:p>
  </w:footnote>
  <w:footnote w:id="68">
    <w:p>
      <w:pPr>
        <w:pStyle w:val="FootnoteText"/>
      </w:pPr>
      <w:r>
        <w:rPr>
          <w:rStyle w:val="FootnoteReference"/>
        </w:rPr>
        <w:footnoteRef/>
      </w:r>
      <w:r>
        <w:t xml:space="preserve"> </w:t>
      </w:r>
      <w:r>
        <w:t xml:space="preserve">See</w:t>
      </w:r>
      <w:r>
        <w:t xml:space="preserve"> </w:t>
      </w:r>
      <w:hyperlink r:id="rId69">
        <w:r>
          <w:rPr>
            <w:rStyle w:val="Hyperlink"/>
          </w:rPr>
          <w:t xml:space="preserve">https://github.com/MitchellAcoustics/Soundscapy</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91" Target="http://azzalini.stat.unipd.it/SN/how_to_sample.pdf" TargetMode="External" /><Relationship Type="http://schemas.openxmlformats.org/officeDocument/2006/relationships/hyperlink" Id="rId93" Target="http://www.jstor.org/stable/2337278" TargetMode="External" /><Relationship Type="http://schemas.openxmlformats.org/officeDocument/2006/relationships/hyperlink" Id="rId36" Target="https://MitchellAcoustics.github.io/J2401_JASA_SSID-Single-Index/notebooks/SingleIndex-Code.ipynb.html#cell-fig-targets" TargetMode="External" /><Relationship Type="http://schemas.openxmlformats.org/officeDocument/2006/relationships/hyperlink" Id="rId42" Target="https://MitchellAcoustics.github.io/J2401_JASA_SSID-Single-Index/notebooks/SingleIndex-Code.ipynb.html#cell-tbl-ex-spis" TargetMode="External" /><Relationship Type="http://schemas.openxmlformats.org/officeDocument/2006/relationships/hyperlink" Id="rId39" Target="https://MitchellAcoustics.github.io/J2401_JASA_SSID-Single-Index/notebooks/SingleIndex-Code.ipynb.html#cell-tbl-ks-test" TargetMode="External" /><Relationship Type="http://schemas.openxmlformats.org/officeDocument/2006/relationships/hyperlink" Id="rId54" Target="https://MitchellAcoustics.github.io/J2401_JASA_SSID-Single-Index/notebooks/TargetOptimization.ipynb.html#cell-fig-pymoo-parks" TargetMode="External" /><Relationship Type="http://schemas.openxmlformats.org/officeDocument/2006/relationships/hyperlink" Id="rId64" Target="https://cordis.europa.eu/project/id/740696/factsheet" TargetMode="External" /><Relationship Type="http://schemas.openxmlformats.org/officeDocument/2006/relationships/hyperlink" Id="rId85" Target="https://cran.r-project.org/package=sn" TargetMode="External" /><Relationship Type="http://schemas.openxmlformats.org/officeDocument/2006/relationships/hyperlink" Id="rId110" Target="https://doi.org/10.1002/j.1538-7305.1933.tb00403.x" TargetMode="External" /><Relationship Type="http://schemas.openxmlformats.org/officeDocument/2006/relationships/hyperlink" Id="rId151" Target="https://doi.org/10.1007/978-3-031-22779-0" TargetMode="External" /><Relationship Type="http://schemas.openxmlformats.org/officeDocument/2006/relationships/hyperlink" Id="rId160" Target="https://doi.org/10.1007/978-3-540-68888-4" TargetMode="External" /><Relationship Type="http://schemas.openxmlformats.org/officeDocument/2006/relationships/hyperlink" Id="rId78" Target="https://doi.org/10.1007/s40726-023-00283-6" TargetMode="External" /><Relationship Type="http://schemas.openxmlformats.org/officeDocument/2006/relationships/hyperlink" Id="rId145" Target="https://doi.org/10.1016/j.apacoust.2006.02.004" TargetMode="External" /><Relationship Type="http://schemas.openxmlformats.org/officeDocument/2006/relationships/hyperlink" Id="rId131" Target="https://doi.org/10.1016/j.apacoust.2020.107479" TargetMode="External" /><Relationship Type="http://schemas.openxmlformats.org/officeDocument/2006/relationships/hyperlink" Id="rId156" Target="https://doi.org/10.1016/j.ecolind.2023.110940" TargetMode="External" /><Relationship Type="http://schemas.openxmlformats.org/officeDocument/2006/relationships/hyperlink" Id="rId74" Target="https://doi.org/10.1016/j.landurbplan.2016.02.001" TargetMode="External" /><Relationship Type="http://schemas.openxmlformats.org/officeDocument/2006/relationships/hyperlink" Id="rId128" Target="https://doi.org/10.1016/j.scitotenv.2018.06.023" TargetMode="External" /><Relationship Type="http://schemas.openxmlformats.org/officeDocument/2006/relationships/hyperlink" Id="rId158" Target="https://doi.org/10.1016/j.scitotenv.2021.149869" TargetMode="External" /><Relationship Type="http://schemas.openxmlformats.org/officeDocument/2006/relationships/hyperlink" Id="rId125" Target="https://doi.org/10.1016/j.scitotenv.2022.158868" TargetMode="External" /><Relationship Type="http://schemas.openxmlformats.org/officeDocument/2006/relationships/hyperlink" Id="rId149" Target="https://doi.org/10.1037/h0077714" TargetMode="External" /><Relationship Type="http://schemas.openxmlformats.org/officeDocument/2006/relationships/hyperlink" Id="rId105" Target="https://doi.org/10.1093/mnras/225.1.155" TargetMode="External" /><Relationship Type="http://schemas.openxmlformats.org/officeDocument/2006/relationships/hyperlink" Id="rId102" Target="https://doi.org/10.1109/4235.996017" TargetMode="External" /><Relationship Type="http://schemas.openxmlformats.org/officeDocument/2006/relationships/hyperlink" Id="rId143" Target="https://doi.org/10.1109/icassp43922.2022.9746897" TargetMode="External" /><Relationship Type="http://schemas.openxmlformats.org/officeDocument/2006/relationships/hyperlink" Id="rId87" Target="https://doi.org/10.1111/1467-9868.00194" TargetMode="External" /><Relationship Type="http://schemas.openxmlformats.org/officeDocument/2006/relationships/hyperlink" Id="rId89" Target="https://doi.org/10.1111/j.1467-9469.2005.00426.x" TargetMode="External" /><Relationship Type="http://schemas.openxmlformats.org/officeDocument/2006/relationships/hyperlink" Id="rId81" Target="https://doi.org/10.1121/1.3493436" TargetMode="External" /><Relationship Type="http://schemas.openxmlformats.org/officeDocument/2006/relationships/hyperlink" Id="rId114" Target="https://doi.org/10.1121/1.395162" TargetMode="External" /><Relationship Type="http://schemas.openxmlformats.org/officeDocument/2006/relationships/hyperlink" Id="rId83" Target="https://doi.org/10.1121/1.4709112" TargetMode="External" /><Relationship Type="http://schemas.openxmlformats.org/officeDocument/2006/relationships/hyperlink" Id="rId153" Target="https://doi.org/10.1121/1.4810760" TargetMode="External" /><Relationship Type="http://schemas.openxmlformats.org/officeDocument/2006/relationships/hyperlink" Id="rId137" Target="https://doi.org/10.1121/10.0009794" TargetMode="External" /><Relationship Type="http://schemas.openxmlformats.org/officeDocument/2006/relationships/hyperlink" Id="rId100" Target="https://doi.org/10.1121/10.0018743" TargetMode="External" /><Relationship Type="http://schemas.openxmlformats.org/officeDocument/2006/relationships/hyperlink" Id="rId118" Target="https://doi.org/10.1201/9781482265613" TargetMode="External" /><Relationship Type="http://schemas.openxmlformats.org/officeDocument/2006/relationships/hyperlink" Id="rId133" Target="https://doi.org/10.13140/RG.2.2.15590.50245" TargetMode="External" /><Relationship Type="http://schemas.openxmlformats.org/officeDocument/2006/relationships/hyperlink" Id="rId72" Target="https://doi.org/10.1515/noise-2015-0001" TargetMode="External" /><Relationship Type="http://schemas.openxmlformats.org/officeDocument/2006/relationships/hyperlink" Id="rId135" Target="https://doi.org/10.17605/OSF.IO/JVNA2" TargetMode="External" /><Relationship Type="http://schemas.openxmlformats.org/officeDocument/2006/relationships/hyperlink" Id="rId123" Target="https://doi.org/10.18154/RWTH-CONV-239249" TargetMode="External" /><Relationship Type="http://schemas.openxmlformats.org/officeDocument/2006/relationships/hyperlink" Id="rId141" Target="https://doi.org/10.3390/app10072397" TargetMode="External" /><Relationship Type="http://schemas.openxmlformats.org/officeDocument/2006/relationships/hyperlink" Id="rId121" Target="https://doi.org/10.3390/environments5050058" TargetMode="External" /><Relationship Type="http://schemas.openxmlformats.org/officeDocument/2006/relationships/hyperlink" Id="rId76" Target="https://doi.org/10.3390/ijerph15112392" TargetMode="External" /><Relationship Type="http://schemas.openxmlformats.org/officeDocument/2006/relationships/hyperlink" Id="rId67" Target="https://doi.org/10.5281/zenodo.10672568" TargetMode="External" /><Relationship Type="http://schemas.openxmlformats.org/officeDocument/2006/relationships/hyperlink" Id="rId69" Target="https://github.com/MitchellAcoustics/Soundscapy" TargetMode="External" /><Relationship Type="http://schemas.openxmlformats.org/officeDocument/2006/relationships/hyperlink" Id="rId147" Target="https://www.R-project.org/" TargetMode="External" /><Relationship Type="http://schemas.openxmlformats.org/officeDocument/2006/relationships/hyperlink" Id="rId108" Target="https://www.euronoise2018.eu/docs/papers/482_Euronoise2018.pdf" TargetMode="External" /><Relationship Type="http://schemas.openxmlformats.org/officeDocument/2006/relationships/hyperlink" Id="rId96" Target="https://www.ingentaconnect.com/content/dav/aaua/1997/00000083/00000005/art00005" TargetMode="External" /><Relationship Type="http://schemas.openxmlformats.org/officeDocument/2006/relationships/hyperlink" Id="rId112"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91" Target="http://azzalini.stat.unipd.it/SN/how_to_sample.pdf" TargetMode="External" /><Relationship Type="http://schemas.openxmlformats.org/officeDocument/2006/relationships/hyperlink" Id="rId93" Target="http://www.jstor.org/stable/2337278" TargetMode="External" /><Relationship Type="http://schemas.openxmlformats.org/officeDocument/2006/relationships/hyperlink" Id="rId36" Target="https://MitchellAcoustics.github.io/J2401_JASA_SSID-Single-Index/notebooks/SingleIndex-Code.ipynb.html#cell-fig-targets" TargetMode="External" /><Relationship Type="http://schemas.openxmlformats.org/officeDocument/2006/relationships/hyperlink" Id="rId42" Target="https://MitchellAcoustics.github.io/J2401_JASA_SSID-Single-Index/notebooks/SingleIndex-Code.ipynb.html#cell-tbl-ex-spis" TargetMode="External" /><Relationship Type="http://schemas.openxmlformats.org/officeDocument/2006/relationships/hyperlink" Id="rId39" Target="https://MitchellAcoustics.github.io/J2401_JASA_SSID-Single-Index/notebooks/SingleIndex-Code.ipynb.html#cell-tbl-ks-test" TargetMode="External" /><Relationship Type="http://schemas.openxmlformats.org/officeDocument/2006/relationships/hyperlink" Id="rId54" Target="https://MitchellAcoustics.github.io/J2401_JASA_SSID-Single-Index/notebooks/TargetOptimization.ipynb.html#cell-fig-pymoo-parks" TargetMode="External" /><Relationship Type="http://schemas.openxmlformats.org/officeDocument/2006/relationships/hyperlink" Id="rId64" Target="https://cordis.europa.eu/project/id/740696/factsheet" TargetMode="External" /><Relationship Type="http://schemas.openxmlformats.org/officeDocument/2006/relationships/hyperlink" Id="rId85" Target="https://cran.r-project.org/package=sn" TargetMode="External" /><Relationship Type="http://schemas.openxmlformats.org/officeDocument/2006/relationships/hyperlink" Id="rId110" Target="https://doi.org/10.1002/j.1538-7305.1933.tb00403.x" TargetMode="External" /><Relationship Type="http://schemas.openxmlformats.org/officeDocument/2006/relationships/hyperlink" Id="rId151" Target="https://doi.org/10.1007/978-3-031-22779-0" TargetMode="External" /><Relationship Type="http://schemas.openxmlformats.org/officeDocument/2006/relationships/hyperlink" Id="rId160" Target="https://doi.org/10.1007/978-3-540-68888-4" TargetMode="External" /><Relationship Type="http://schemas.openxmlformats.org/officeDocument/2006/relationships/hyperlink" Id="rId78" Target="https://doi.org/10.1007/s40726-023-00283-6" TargetMode="External" /><Relationship Type="http://schemas.openxmlformats.org/officeDocument/2006/relationships/hyperlink" Id="rId145" Target="https://doi.org/10.1016/j.apacoust.2006.02.004" TargetMode="External" /><Relationship Type="http://schemas.openxmlformats.org/officeDocument/2006/relationships/hyperlink" Id="rId131" Target="https://doi.org/10.1016/j.apacoust.2020.107479" TargetMode="External" /><Relationship Type="http://schemas.openxmlformats.org/officeDocument/2006/relationships/hyperlink" Id="rId156" Target="https://doi.org/10.1016/j.ecolind.2023.110940" TargetMode="External" /><Relationship Type="http://schemas.openxmlformats.org/officeDocument/2006/relationships/hyperlink" Id="rId74" Target="https://doi.org/10.1016/j.landurbplan.2016.02.001" TargetMode="External" /><Relationship Type="http://schemas.openxmlformats.org/officeDocument/2006/relationships/hyperlink" Id="rId128" Target="https://doi.org/10.1016/j.scitotenv.2018.06.023" TargetMode="External" /><Relationship Type="http://schemas.openxmlformats.org/officeDocument/2006/relationships/hyperlink" Id="rId158" Target="https://doi.org/10.1016/j.scitotenv.2021.149869" TargetMode="External" /><Relationship Type="http://schemas.openxmlformats.org/officeDocument/2006/relationships/hyperlink" Id="rId125" Target="https://doi.org/10.1016/j.scitotenv.2022.158868" TargetMode="External" /><Relationship Type="http://schemas.openxmlformats.org/officeDocument/2006/relationships/hyperlink" Id="rId149" Target="https://doi.org/10.1037/h0077714" TargetMode="External" /><Relationship Type="http://schemas.openxmlformats.org/officeDocument/2006/relationships/hyperlink" Id="rId105" Target="https://doi.org/10.1093/mnras/225.1.155" TargetMode="External" /><Relationship Type="http://schemas.openxmlformats.org/officeDocument/2006/relationships/hyperlink" Id="rId102" Target="https://doi.org/10.1109/4235.996017" TargetMode="External" /><Relationship Type="http://schemas.openxmlformats.org/officeDocument/2006/relationships/hyperlink" Id="rId143" Target="https://doi.org/10.1109/icassp43922.2022.9746897" TargetMode="External" /><Relationship Type="http://schemas.openxmlformats.org/officeDocument/2006/relationships/hyperlink" Id="rId87" Target="https://doi.org/10.1111/1467-9868.00194" TargetMode="External" /><Relationship Type="http://schemas.openxmlformats.org/officeDocument/2006/relationships/hyperlink" Id="rId89" Target="https://doi.org/10.1111/j.1467-9469.2005.00426.x" TargetMode="External" /><Relationship Type="http://schemas.openxmlformats.org/officeDocument/2006/relationships/hyperlink" Id="rId81" Target="https://doi.org/10.1121/1.3493436" TargetMode="External" /><Relationship Type="http://schemas.openxmlformats.org/officeDocument/2006/relationships/hyperlink" Id="rId114" Target="https://doi.org/10.1121/1.395162" TargetMode="External" /><Relationship Type="http://schemas.openxmlformats.org/officeDocument/2006/relationships/hyperlink" Id="rId83" Target="https://doi.org/10.1121/1.4709112" TargetMode="External" /><Relationship Type="http://schemas.openxmlformats.org/officeDocument/2006/relationships/hyperlink" Id="rId153" Target="https://doi.org/10.1121/1.4810760" TargetMode="External" /><Relationship Type="http://schemas.openxmlformats.org/officeDocument/2006/relationships/hyperlink" Id="rId137" Target="https://doi.org/10.1121/10.0009794" TargetMode="External" /><Relationship Type="http://schemas.openxmlformats.org/officeDocument/2006/relationships/hyperlink" Id="rId100" Target="https://doi.org/10.1121/10.0018743" TargetMode="External" /><Relationship Type="http://schemas.openxmlformats.org/officeDocument/2006/relationships/hyperlink" Id="rId118" Target="https://doi.org/10.1201/9781482265613" TargetMode="External" /><Relationship Type="http://schemas.openxmlformats.org/officeDocument/2006/relationships/hyperlink" Id="rId133" Target="https://doi.org/10.13140/RG.2.2.15590.50245" TargetMode="External" /><Relationship Type="http://schemas.openxmlformats.org/officeDocument/2006/relationships/hyperlink" Id="rId72" Target="https://doi.org/10.1515/noise-2015-0001" TargetMode="External" /><Relationship Type="http://schemas.openxmlformats.org/officeDocument/2006/relationships/hyperlink" Id="rId135" Target="https://doi.org/10.17605/OSF.IO/JVNA2" TargetMode="External" /><Relationship Type="http://schemas.openxmlformats.org/officeDocument/2006/relationships/hyperlink" Id="rId123" Target="https://doi.org/10.18154/RWTH-CONV-239249" TargetMode="External" /><Relationship Type="http://schemas.openxmlformats.org/officeDocument/2006/relationships/hyperlink" Id="rId141" Target="https://doi.org/10.3390/app10072397" TargetMode="External" /><Relationship Type="http://schemas.openxmlformats.org/officeDocument/2006/relationships/hyperlink" Id="rId121" Target="https://doi.org/10.3390/environments5050058" TargetMode="External" /><Relationship Type="http://schemas.openxmlformats.org/officeDocument/2006/relationships/hyperlink" Id="rId76" Target="https://doi.org/10.3390/ijerph15112392" TargetMode="External" /><Relationship Type="http://schemas.openxmlformats.org/officeDocument/2006/relationships/hyperlink" Id="rId67" Target="https://doi.org/10.5281/zenodo.10672568" TargetMode="External" /><Relationship Type="http://schemas.openxmlformats.org/officeDocument/2006/relationships/hyperlink" Id="rId69" Target="https://github.com/MitchellAcoustics/Soundscapy" TargetMode="External" /><Relationship Type="http://schemas.openxmlformats.org/officeDocument/2006/relationships/hyperlink" Id="rId147" Target="https://www.R-project.org/" TargetMode="External" /><Relationship Type="http://schemas.openxmlformats.org/officeDocument/2006/relationships/hyperlink" Id="rId108" Target="https://www.euronoise2018.eu/docs/papers/482_Euronoise2018.pdf" TargetMode="External" /><Relationship Type="http://schemas.openxmlformats.org/officeDocument/2006/relationships/hyperlink" Id="rId96" Target="https://www.ingentaconnect.com/content/dav/aaua/1997/00000083/00000005/art00005" TargetMode="External" /><Relationship Type="http://schemas.openxmlformats.org/officeDocument/2006/relationships/hyperlink" Id="rId112"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 Perception Indices (SPI): Developing context-dependent single value scores of multidimensional soundscape perceptual quality</dc:title>
  <dc:creator>Andrew Mitchell; Francesco Aletta; Tin Oberman; Jian Kang</dc:creator>
  <cp:keywords>Soundscape, Sound perception, index, urban design</cp:keywords>
  <dcterms:created xsi:type="dcterms:W3CDTF">2024-06-12T13:52:00Z</dcterms:created>
  <dcterms:modified xsi:type="dcterms:W3CDTF">2024-06-12T13:52:00Z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L{den}, etc.), the soundscape approach requires the ability to create novel indices for different uses, but which share a common language and understanding. We therefore propose a unified framework for creating both bespoke and reference single index measures of soundscape perception based on the soundscape circumplex model, allowing for new metrics to be defined in the future. Applications and implications of this framework are discussed and a method for empirically defining perception indices is proposed. Indices developed under this framework can enable a broader and more efficient application of the soundscape approach.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2024-06-06</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