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Procedure for testing and adjusting translations of the Soundscape (quasi-)Circumplex Model</w:t>
      </w:r>
    </w:p>
    <w:p>
      <w:pPr>
        <w:pStyle w:val="Author"/>
      </w:pPr>
      <w:r>
        <w:t xml:space="preserve">Andrew Mitchell</w:t>
      </w:r>
    </w:p>
    <w:p>
      <w:pPr>
        <w:pStyle w:val="Author"/>
      </w:pPr>
      <w:r>
        <w:t xml:space="preserve">Francesco Aletta</w:t>
      </w:r>
    </w:p>
    <w:p>
      <w:pPr>
        <w:pStyle w:val="AbstractTitle"/>
      </w:pPr>
      <w:r>
        <w:t xml:space="preserve">Abstract</w:t>
      </w:r>
    </w:p>
    <w:p>
      <w:pPr>
        <w:pStyle w:val="Abstract"/>
      </w:pPr>
      <w:r>
        <w:t xml:space="preserve">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w:t>
      </w:r>
      <w:r>
        <w:t xml:space="preserve"> </w:t>
      </w:r>
      <w:r>
        <w:t xml:space="preserve">“adjusted angles”</w:t>
      </w:r>
      <w:r>
        <w:t xml:space="preserve"> </w:t>
      </w:r>
      <w:r>
        <w:t xml:space="preserve">are derived, which are a measure proposed to correct the SCM structure (i.e., the pleasant-eventful coordinate space proposed in the ISO 12913 series) of a given language.</w:t>
      </w:r>
    </w:p>
    <w:p>
      <w:pPr>
        <w:pStyle w:val="Abstract"/>
      </w:pPr>
      <w:r>
        <w:t xml:space="preserve">Results reveal that most languages successfully maintain the quasi-circumplex structure of the original soundscape model, ensuring robust cross-cultural validity.</w:t>
      </w:r>
    </w:p>
    <w:p>
      <w:pPr>
        <w:pStyle w:val="Abstract"/>
      </w:pPr>
      <w:r>
        <w:t xml:space="preserve">…</w:t>
      </w:r>
    </w:p>
    <w:bookmarkStart w:id="20" w:name="introduction"/>
    <w:p>
      <w:pPr>
        <w:pStyle w:val="Heading1"/>
      </w:pPr>
      <w:r>
        <w:t xml:space="preserve">1. Introduction</w:t>
      </w:r>
    </w:p>
    <w:p>
      <w:pPr>
        <w:pStyle w:val="FirstParagraph"/>
      </w:pPr>
      <w:r>
        <w:t xml:space="preserve">In the following chapters, case studies of individual languages are presented, demonstrating an array of approaches to evaluating the validity of proposed translations. This diversity of translation and evaluation methodologies allows for a nuanced understanding of the particular challenges inherent to each language and translation attempt. However, to ensure consistency and comparability across all nineteen languages, it was necessary to develop a standardised quantitative procedure which can evaluate all languages on the same basis and consider the compiled dataset as a whole.</w:t>
      </w:r>
    </w:p>
    <w:p>
      <w:pPr>
        <w:pStyle w:val="BodyText"/>
      </w:pPr>
      <w:r>
        <w:t xml:space="preserve">This chapter therefore presents a systematic procedure for evaluating and adjusting the quasi-circumplex structure of translated versions of the Soundscape Circumplex Model (SCM) questionnaire. The procedure consists of four key steps: (1) testing for the presence of a quasi-circumplex structure in the translated instrument, (2) assessing the fit of the circumplex model to the data, (3) identifying deviations from the original model, and (4) implementing corrective measures to enhance structural fidelity and normalisation across translations.</w:t>
      </w:r>
    </w:p>
    <w:p>
      <w:pPr>
        <w:pStyle w:val="BodyText"/>
      </w:pPr>
      <w:r>
        <w:t xml:space="preserve">We begin with a brief overview of the circumplex model and its relevance to psychometrics, followed by a detailed description of the proposed procedure. The chapter concludes with a discussion on the assessed validity of each translation and the implications of the findings for cross-cultural research in soundscape studies.</w:t>
      </w:r>
    </w:p>
    <w:bookmarkEnd w:id="20"/>
    <w:bookmarkStart w:id="29" w:name="defining-the-circumplex-model"/>
    <w:p>
      <w:pPr>
        <w:pStyle w:val="Heading1"/>
      </w:pPr>
      <w:r>
        <w:t xml:space="preserve">2.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 This circular relationship can be seen by identifying certain correlation patterns within the correlation matrix among variables, when appropriately ordered</w:t>
      </w:r>
      <w:r>
        <w:t xml:space="preserve"> </w:t>
      </w:r>
      <w:r>
        <w:t xml:space="preserve">(Browne 1992)</w:t>
      </w:r>
      <w:r>
        <w:t xml:space="preserve">. In the case of the circular structure, the strength of the correlation coefficients in the matrix decreases as you move away from the diagonal, and then increases again as you move towards the opposite diagonal. 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corrrelation matrix indicates that the variables are ordered in a circular fashion, with the strongest correlations between adjacent variables, and the weakest correlations between variables that are furthest apart. 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 This circular arrangement of the variables can be tested using a method proposed by</w:t>
      </w:r>
      <w:r>
        <w:t xml:space="preserve"> </w:t>
      </w:r>
      <w:r>
        <w:t xml:space="preserve">Rounds et al. (2000)</w:t>
      </w:r>
      <w:r>
        <w:t xml:space="preserve">.</w:t>
      </w:r>
    </w:p>
    <w:p>
      <w:pPr>
        <w:pStyle w:val="BodyText"/>
      </w:pPr>
      <w:r>
        <w:t xml:space="preserve">Browne further expanded on the circumplex model in 1992 and 1995 by differentiating between equal spacing and equal communality (or radii) constraints. Browne described four variations of circumplex models, which include three types of quasi-circumplex models and one circulant model. 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 The term</w:t>
      </w:r>
      <w:r>
        <w:t xml:space="preserve"> </w:t>
      </w:r>
      <w:r>
        <w:t xml:space="preserve">“quasi”</w:t>
      </w:r>
      <w:r>
        <w:t xml:space="preserve"> </w:t>
      </w:r>
      <w:r>
        <w:t xml:space="preserve">implies a departure from strict adherence to even spacing and equal communality, allowing for some flexibility in the arrangement of variables. This flexibility is often necessary in order to accommodate the complexity of psychological constructs, which may not always fit neatly into a rigid circular structure. It refers to any graphical or conceptual representation where variables or dimensions are organized in a circular or circular-like manner. This umbrella term recognizes the spectrum of circular models, acknowledging variations in the spacing, organization, and relationships among variables.</w:t>
      </w:r>
    </w:p>
    <w:p>
      <w:pPr>
        <w:pStyle w:val="BodyText"/>
      </w:pPr>
      <w:r>
        <w:t xml:space="preserve">As researchers delve into the intricacies of psychological spaces, the choice between a strict circumplex, a quasi-circumplex, or a more general circular structure becomes crucial. These models play a pivotal role in visualizing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Start w:id="28" w:name="translating-circumplex-instruments"/>
    <w:p>
      <w:pPr>
        <w:pStyle w:val="Heading2"/>
      </w:pPr>
      <w:r>
        <w:t xml:space="preserve">2.1 Translating circumplex instruments</w:t>
      </w:r>
    </w:p>
    <w:p>
      <w:pPr>
        <w:pStyle w:val="FirstParagraph"/>
      </w:pPr>
      <w:r>
        <w:t xml:space="preserve">Typically, circumplex scales are measured via a series of questions in a survey instrument. These instruments are initially developed in one language and the validity and structure of the instrument is tested in that language. Often these instruments are directly translated into other languages to enable their use in other countries. However, the validity of the instrument in the new language is not guaranteed. 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 For example, if a question is mistranslated, then the responses to that question will not be correlated with the responses to the other questions in the instrument. Semantic and linguistic differences between the translated scales can also lead to changes in the correlation structure. For example, if a question is translated into a language where the concept does not exist or cannot be easily expressed, then the responses to that question will not be correlated with the responses to the other questions in the instrument. Finally, it may be that even if the original instrument is valid for e.g. the English-speaking population, it may not be valid for other populations due to cultural differences.</w:t>
      </w:r>
    </w:p>
    <w:bookmarkStart w:id="27" w:name="X78f36b9739256e11fb12467188a0889a6f53064"/>
    <w:p>
      <w:pPr>
        <w:pStyle w:val="Heading3"/>
      </w:pPr>
      <w:r>
        <w:t xml:space="preserve">2.1.1 Goals of translating a circumplex instrument</w:t>
      </w:r>
    </w:p>
    <w:p>
      <w:pPr>
        <w:pStyle w:val="FirstParagraph"/>
      </w:pPr>
      <w:r>
        <w:t xml:space="preserve">Two approaches could be taken when attempting to translate a survey instrument. The first approach would attempt to achieve direct concurrence with the original instrument, where each scale is directly correlated with the corresponding scale from the original instrument. If the circumplex structure is identical between the two languages, then this approach would allow for the most direct comparison between the two languages. However, if the circumplex structure is not identical between the two languages, then this approach would lead to a loss of information. The second approach would attempt to achieve the same circumplex structure in the new language as in the original language. This approach would allow for the most direct comparison between the two languages.</w:t>
      </w:r>
    </w:p>
    <w:p>
      <w:pPr>
        <w:pStyle w:val="BodyText"/>
      </w:pPr>
      <w:r>
        <w:t xml:space="preserve">In this second approach, identifying the differences in structure between translations enable the process of locating an external variable to be corrected for the differences in structure. Given that at minimum a quasi-circumplex structure can be confirmed, then the deviations in either the angles or communalities from the ideal circumplex structure can be measured and accounted for. When this is done separately for the origianl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 If an external variable is theoretically located in a single, fixed position in the circumplex space, locating it without accounting for the differences in structure between the two translations will lead to different locations in the two translations. The interpretation of this result would then be that the external variable is located in different positions in the two languages. However, if the differences in structure are accounted for, then the external variable should be located in the same position in both translations. By applying the correction we can attempt to discover differences in the effect of external variables, independent of the differences in structure between the two translations.</w:t>
      </w:r>
    </w:p>
    <w:bookmarkEnd w:id="27"/>
    <w:bookmarkEnd w:id="28"/>
    <w:bookmarkEnd w:id="29"/>
    <w:bookmarkStart w:id="76" w:name="X2df2ec244d02111936b480e9c68a6d3c8136316"/>
    <w:p>
      <w:pPr>
        <w:pStyle w:val="Heading1"/>
      </w:pPr>
      <w:r>
        <w:t xml:space="preserve">3. A four step procedure for the analysis of circumplex models</w:t>
      </w:r>
    </w:p>
    <w:p>
      <w:pPr>
        <w:pStyle w:val="FirstParagraph"/>
      </w:pPr>
      <w:r>
        <w:t xml:space="preserve">This section of the Supplementary Material is intended as an extended companion to Section 3. Data Analysis of the main manuscript. Some text is repeated here, but additional rationales and details are included which were ommitted from the manuscript for conciseness.</w:t>
      </w:r>
    </w:p>
    <w:p>
      <w:pPr>
        <w:pStyle w:val="BodyText"/>
      </w:pPr>
      <w:r>
        <w:t xml:space="preserve">In</w:t>
      </w:r>
      <w:r>
        <w:t xml:space="preserve"> </w:t>
      </w:r>
      <w:r>
        <w:t xml:space="preserve">Rogoza, Cieciuch, and Strus (2021)</w:t>
      </w:r>
      <w:r>
        <w:t xml:space="preserve">, the authors propose a three-step procedure for assessing circumplex models. The steps in this procedure are: 1)</w:t>
      </w:r>
      <w:r>
        <w:t xml:space="preserve"> </w:t>
      </w:r>
      <w:r>
        <w:t xml:space="preserve">“verify whether the analzed model is circumplex or not”</w:t>
      </w:r>
      <w:r>
        <w:t xml:space="preserve"> </w:t>
      </w:r>
      <w:r>
        <w:t xml:space="preserve">using Structural Equation Modelling based on</w:t>
      </w:r>
      <w:r>
        <w:t xml:space="preserve"> </w:t>
      </w:r>
      <w:r>
        <w:t xml:space="preserve">Browne (1992)</w:t>
      </w:r>
      <w:r>
        <w:t xml:space="preserve">’s model; 2)</w:t>
      </w:r>
      <w:r>
        <w:t xml:space="preserve"> </w:t>
      </w:r>
      <w:r>
        <w:t xml:space="preserve">“test the possibility to locate an external variable within empirical circumplex”</w:t>
      </w:r>
      <w:r>
        <w:t xml:space="preserve"> </w:t>
      </w:r>
      <w:r>
        <w:t xml:space="preserve">using the Structural Summary Method</w:t>
      </w:r>
      <w:r>
        <w:t xml:space="preserve"> </w:t>
      </w:r>
      <w:r>
        <w:t xml:space="preserve">(Gurtman 1994)</w:t>
      </w:r>
      <w:r>
        <w:t xml:space="preserve">; and 3)</w:t>
      </w:r>
      <w:r>
        <w:t xml:space="preserve"> </w:t>
      </w:r>
      <w:r>
        <w:t xml:space="preserve">“assess the extent of which empirical locations are in congruence to the theoretical predictions within the circumplex structure”</w:t>
      </w:r>
      <w:r>
        <w:t xml:space="preserve"> </w:t>
      </w:r>
      <w:r>
        <w:t xml:space="preserve">(Rogoza, Cieciuch, and Strus 2021)</w:t>
      </w:r>
      <w:r>
        <w:t xml:space="preserve">.</w:t>
      </w:r>
    </w:p>
    <w:p>
      <w:pPr>
        <w:pStyle w:val="BodyText"/>
      </w:pPr>
      <w:r>
        <w:t xml:space="preserve">We expand upon the three-step procedure proposed by</w:t>
      </w:r>
      <w:r>
        <w:t xml:space="preserve"> </w:t>
      </w:r>
      <w:r>
        <w:t xml:space="preserve">Rogoza, Cieciuch, and Strus (2021)</w:t>
      </w:r>
      <w:r>
        <w:t xml:space="preserve"> </w:t>
      </w:r>
      <w:r>
        <w:t xml:space="preserve">and adapt it to the specific case of testing multiple variations (i.e. translations) of the same circumplex instrument. The goals of this procedure are, for each translation, to verify the quasi-circumplex structure of the instrument, to derive angle corrections, and to test the congruence between the corrected circumplex and the theoretical circumplex structure. We do this by first adding an initial step to incorporate</w:t>
      </w:r>
      <w:r>
        <w:t xml:space="preserve"> </w:t>
      </w:r>
      <w:r>
        <w:t xml:space="preserve">Rounds et al. (2000)</w:t>
      </w:r>
      <w:r>
        <w:t xml:space="preserve">’s test of the circular ordering of the scales to confirm that the order of the scales is maintained across translations. We then follow the same three steps as</w:t>
      </w:r>
      <w:r>
        <w:t xml:space="preserve"> </w:t>
      </w:r>
      <w:r>
        <w:t xml:space="preserve">Rogoza, Cieciuch, and Strus (2021)</w:t>
      </w:r>
      <w:r>
        <w:t xml:space="preserve">, but we adapt the third step to test the congruence between the circumplex structure of the original instrument and the circumplex structure of the translated instruments and to allow for adjustments to be made by extracting adjusted angles from the SEM step.</w:t>
      </w:r>
    </w:p>
    <w:bookmarkStart w:id="30" w:name="Xb30738d1f9453ed3ef2ae469fd65863028f77f3"/>
    <w:p>
      <w:pPr>
        <w:pStyle w:val="Heading2"/>
      </w:pPr>
      <w:r>
        <w:t xml:space="preserve">3.1 Step 1: Confirm the circular ordering of the circumplex scales</w:t>
      </w:r>
    </w:p>
    <w:p>
      <w:pPr>
        <w:pStyle w:val="FirstParagraph"/>
      </w:pPr>
      <w:r>
        <w:t xml:space="preserve">In line with the procedure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begin by confirming the circular ordering of the circumplex scales. This test, developed by</w:t>
      </w:r>
      <w:r>
        <w:t xml:space="preserve"> </w:t>
      </w:r>
      <w:r>
        <w:t xml:space="preserve">Rounds et al. (2000)</w:t>
      </w:r>
      <w:r>
        <w:t xml:space="preserve">, the test of the circular order model involves comparing the obtained order relations for a set of scales against their hypothesized order given a certain circular model. This test is applied in order to ensure that the process of translation has not altered the order of the scales and so the test is applied against the order of the scales in the original instrument. The test is applied to each translation separately, and the results are compiled into a single table.</w:t>
      </w:r>
    </w:p>
    <w:p>
      <w:pPr>
        <w:pStyle w:val="BodyText"/>
      </w:pPr>
      <w:r>
        <w:t xml:space="preserve">The index used for this test is</w:t>
      </w:r>
      <w:r>
        <w:t xml:space="preserve"> </w:t>
      </w:r>
      <w:r>
        <w:t xml:space="preserve">Hubert and Arabie (1987)</w:t>
      </w:r>
      <w:r>
        <w:t xml:space="preserve">’s correspondence index (CI). This offers a descriptive measure reflecting the degree to which the model’s ordered predictions align with a specific sample matrix. The metric is calculated as the proportion of predictions met minus the proportion violated, yielding a range from 1.0 (indicating complete prediction fulfillment) to -1.0 (indicating all predictions contradicted). In alignment with the methodology outlined by</w:t>
      </w:r>
      <w:r>
        <w:t xml:space="preserve"> </w:t>
      </w:r>
      <w:r>
        <w:t xml:space="preserve">Tracey (1997)</w:t>
      </w:r>
      <w:r>
        <w:t xml:space="preserve">, we applied a randomization test to the hypothesized order relations</w:t>
      </w:r>
      <w:r>
        <w:t xml:space="preserve"> </w:t>
      </w:r>
      <w:r>
        <w:t xml:space="preserve">(Hubert and Arabie 1987)</w:t>
      </w:r>
      <w:r>
        <w:t xml:space="preserve">, producing an exact probability, determining the likelihood of achieving the observed model fit in relation to all potential permutations of the matrix. The index thresholds for this test are: a p-value &lt; 0.05 and a CI &gt; 0.70.</w:t>
      </w:r>
    </w:p>
    <w:bookmarkEnd w:id="30"/>
    <w:bookmarkStart w:id="35" w:name="Xa997018d400d5f4faa0664205c201aa9247b452"/>
    <w:p>
      <w:pPr>
        <w:pStyle w:val="Heading2"/>
      </w:pPr>
      <w:r>
        <w:t xml:space="preserve">3.2 Step 2: Confirm the quasi-circumplex structure of the circumplex scales</w:t>
      </w:r>
    </w:p>
    <w:p>
      <w:pPr>
        <w:pStyle w:val="FirstParagraph"/>
      </w:pPr>
      <w:r>
        <w:t xml:space="preserve">We confirm the structure of the circumplex instrument by applying</w:t>
      </w:r>
      <w:r>
        <w:t xml:space="preserve"> </w:t>
      </w:r>
      <w:r>
        <w:t xml:space="preserve">Browne (1992)</w:t>
      </w:r>
      <w:r>
        <w:t xml:space="preserve">’s circular stochastic process model with a Fourier series correlation function. This model represents a non-standard Structural Equation Model (SEM) specifically tailored to testing circumplex structures which allows a researcher to examine the extent to which the underlying structure of a sample correlation matrix conforms to a circumplex pattern. The four model variations (unconstrained circular, equal spacing quasi-circumplex, equal-communality quasi-circumplex, and strict circumplex with equal spacing and communality) can each be investigated using this model. For the unconstrained and quasi-circumplex models, Browne’s model allows for the estimation of the angles and communalities of the circumplex scales. From these results for the quasi-circumplex models, we can derive the corrected angles for each translation, which can be used in the next step of the analysis.</w:t>
      </w:r>
    </w:p>
    <w:p>
      <w:pPr>
        <w:pStyle w:val="BodyText"/>
      </w:pPr>
      <w:r>
        <w:t xml:space="preserve">This model is implemented in the CircE package</w:t>
      </w:r>
      <w:r>
        <w:t xml:space="preserve"> </w:t>
      </w:r>
      <w:r>
        <w:t xml:space="preserve">(Grassi, Luccio, and Blas 2010)</w:t>
      </w:r>
      <w:r>
        <w:t xml:space="preserve"> </w:t>
      </w:r>
      <w:r>
        <w:t xml:space="preserve">for R</w:t>
      </w:r>
      <w:r>
        <w:t xml:space="preserve"> </w:t>
      </w:r>
      <w:r>
        <w:t xml:space="preserve">(R Core Team 2018)</w:t>
      </w:r>
      <w:r>
        <w:rPr>
          <w:rStyle w:val="FootnoteReference"/>
        </w:rPr>
        <w:footnoteReference w:id="31"/>
      </w:r>
      <w:r>
        <w:t xml:space="preserve">. The model is applied to each translation separately, testing each of the four model variations, and the results are compiled into a single table. CircE provides a suite suite of SEM fit indices, which are statistical measures used to evaluate the goodness of fit of the models. For this study, we use the following fit indices: Comparative Fit Index (CFI), Goodness of Fit Index (GFI), and Standardized Root Mean Square Residual (SRMR), summarised with their respective thresholds in</w:t>
      </w:r>
      <w:r>
        <w:t xml:space="preserve"> </w:t>
      </w:r>
      <w:hyperlink w:anchor="tbl-indices">
        <w:r>
          <w:rPr>
            <w:rStyle w:val="Hyperlink"/>
          </w:rPr>
          <w:t xml:space="preserve">Table 2</w:t>
        </w:r>
      </w:hyperlink>
      <w:r>
        <w:t xml:space="preserve">.</w:t>
      </w:r>
    </w:p>
    <w:p>
      <w:pPr>
        <w:pStyle w:val="BodyText"/>
      </w:pPr>
      <w:r>
        <w:t xml:space="preserve">Readers might note that these indices differ slightly from those used by</w:t>
      </w:r>
      <w:r>
        <w:t xml:space="preserve"> </w:t>
      </w:r>
      <w:r>
        <w:t xml:space="preserve">Rogoza, Cieciuch, and Strus (2021)</w:t>
      </w:r>
      <w:r>
        <w:t xml:space="preserve">, most notably the exclusion of the Root Mean Square Error of Approximation (RMSEA), a commonly used metric. RMSEA was excluded from the analysis on the basis of both Rogoza’s own critiques</w:t>
      </w:r>
      <w:r>
        <w:rPr>
          <w:rStyle w:val="FootnoteReference"/>
        </w:rPr>
        <w:footnoteReference w:id="33"/>
      </w:r>
      <w:r>
        <w:t xml:space="preserve"> </w:t>
      </w:r>
      <w:r>
        <w:t xml:space="preserve">and recent warnings from</w:t>
      </w:r>
      <w:r>
        <w:t xml:space="preserve"> </w:t>
      </w:r>
      <w:r>
        <w:t xml:space="preserve">West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7"/>
              <w:tblLayout w:type="fixed"/>
              <w:tblLook w:firstRow="1" w:lastRow="0" w:firstColumn="0" w:lastColumn="0" w:noHBand="0" w:noVBand="0" w:val="0020"/>
            </w:tblPr>
            <w:tblGrid>
              <w:gridCol w:w="4044"/>
              <w:gridCol w:w="1432"/>
              <w:gridCol w:w="2359"/>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4"/>
          <w:p/>
        </w:tc>
      </w:tr>
    </w:tbl>
    <w:p>
      <w:pPr>
        <w:pStyle w:val="BodyText"/>
      </w:pPr>
      <w:r>
        <w:t xml:space="preserve">Once each of the model variations are assessed against the above fit indices, we can determine whether that model variation is a good fit for the data. If the strict circumplex model meets the fit thresholds across the translations tested, then the procedure can be continued and no adjustment will be needed. If, however, the structure of some or all of the translations are found to have a quasi-circumplex structure, then adjustments will need to be derived and applied to ensure cross-comparability between the translated instruments. If the model variation for the equal-communality model (where the angles are allowed to vary) is a good fit for the data, then we can use the derived angles from CircE as adjustments to the circumplex structure.</w:t>
      </w:r>
    </w:p>
    <w:p>
      <w:pPr>
        <w:pStyle w:val="BodyText"/>
      </w:pPr>
      <w:r>
        <w:t xml:space="preserve">Importantly, this table also reports the derived angles for each scale for the unconstrained and Equal comm. models. These angles will be carried over and used in the next stage of the analysis, where we will validate the survey instrument by correlating the survey responses with the acoustic indices using the Structural Summary Method (SSM).</w:t>
      </w:r>
    </w:p>
    <w:bookmarkEnd w:id="35"/>
    <w:bookmarkStart w:id="37" w:name="X87c4caf4db74d0f83e9d9e177ee68c5f593f7de"/>
    <w:p>
      <w:pPr>
        <w:pStyle w:val="Heading2"/>
      </w:pPr>
      <w:r>
        <w:t xml:space="preserve">3.3 Step 3: Locate the full dataset circumplex scales within each language’s circumplex space</w:t>
      </w:r>
    </w:p>
    <w:p>
      <w:pPr>
        <w:pStyle w:val="FirstParagraph"/>
      </w:pPr>
      <w:r>
        <w:t xml:space="preserve">Once the general circumplex structure is tested, it is possible to investigate the likelihood to locate an external variable (this could be an objective feature such as sound level dB or it could be another perceptual or psychometric variable such as tranquility) within the empirical circumplex. The circumplex model provides a precise framework for predicting the relationships between an external variable and all circumplex variables. The Structural Summary Method (SSM) is a technique used to summarize correlation patterns among measurement scores that are hypothesized to conform to a circumplex structure</w:t>
      </w:r>
      <w:r>
        <w:t xml:space="preserve"> </w:t>
      </w:r>
      <w:r>
        <w:t xml:space="preserve">(Rogoza, Cieciuch, and Strus 2021)</w:t>
      </w:r>
      <w:r>
        <w:t xml:space="preserve">. SSM aims to fit a sinusoidal curve to data points (</w:t>
      </w:r>
      <m:oMath>
        <m:sSub>
          <m:e>
            <m:r>
              <m:t>q</m:t>
            </m:r>
          </m:e>
          <m:sub>
            <m:r>
              <m:t>i</m:t>
            </m:r>
          </m:sub>
        </m:sSub>
      </m:oMath>
      <w:r>
        <w:t xml:space="preserve">) based on their nominal angular positions (</w:t>
      </w:r>
      <m:oMath>
        <m:sSub>
          <m:e>
            <m:r>
              <m:t>θ</m:t>
            </m:r>
          </m:e>
          <m:sub>
            <m:r>
              <m:t>i</m:t>
            </m:r>
          </m:sub>
        </m:sSub>
      </m:oMath>
      <w:r>
        <w:t xml:space="preserve">). This is achieved by optimizing the parameters for elevation (</w:t>
      </w:r>
      <m:oMath>
        <m:r>
          <m:t>e</m:t>
        </m:r>
      </m:oMath>
      <w:r>
        <w:t xml:space="preserve">), amplitude (</w:t>
      </w:r>
      <m:oMath>
        <m:r>
          <m:t>i</m:t>
        </m:r>
      </m:oMath>
      <w:r>
        <w:t xml:space="preserve">), and displacement (</w:t>
      </w:r>
      <m:oMath>
        <m:r>
          <m:t>d</m:t>
        </m:r>
      </m:oMath>
      <w:r>
        <w:t xml:space="preserve">). Mathematically, these parameters are used to model the correlational information (</w:t>
      </w:r>
      <m:oMath>
        <m:sSub>
          <m:e>
            <m:r>
              <m:t>q</m:t>
            </m:r>
          </m:e>
          <m:sub>
            <m:r>
              <m:t>i</m:t>
            </m:r>
          </m:sub>
        </m:sSub>
      </m:oMath>
      <w:r>
        <w:t xml:space="preserve">) in</w:t>
      </w:r>
      <w:r>
        <w:t xml:space="preserve"> </w:t>
      </w:r>
      <w:hyperlink w:anchor="eq-ssm">
        <w:r>
          <w:rPr>
            <w:rStyle w:val="Hyperlink"/>
          </w:rPr>
          <w:t xml:space="preserve">Equation 1</w:t>
        </w:r>
      </w:hyperlink>
      <w:r>
        <w:t xml:space="preserve">:</w:t>
      </w:r>
    </w:p>
    <w:p>
      <w:pPr>
        <w:pStyle w:val="BodyText"/>
      </w:pPr>
      <w:bookmarkStart w:id="36" w:name="eq-ssm"/>
      <m:oMathPara>
        <m:oMathParaPr>
          <m:jc m:val="center"/>
        </m:oMathParaPr>
        <m:oMath>
          <m:sSub>
            <m:e>
              <m:r>
                <m:t>q</m:t>
              </m:r>
            </m:e>
            <m:sub>
              <m:r>
                <m:t>i</m:t>
              </m:r>
            </m:sub>
          </m:sSub>
          <m:r>
            <m:rPr>
              <m:sty m:val="p"/>
            </m:rPr>
            <m:t>=</m:t>
          </m:r>
          <m:r>
            <m:t>e</m:t>
          </m:r>
          <m:r>
            <m:rPr>
              <m:sty m:val="p"/>
            </m:rPr>
            <m:t>+</m:t>
          </m:r>
          <m:r>
            <m:t>α</m:t>
          </m:r>
          <m:r>
            <m:t>c</m:t>
          </m:r>
          <m:r>
            <m:t>o</m:t>
          </m:r>
          <m:r>
            <m:t>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6"/>
    </w:p>
    <w:p>
      <w:pPr>
        <w:pStyle w:val="FirstParagraph"/>
      </w:pPr>
      <w:r>
        <w:t xml:space="preserve">SSM analysis yields several key estimations, including:</w:t>
      </w:r>
    </w:p>
    <w:p>
      <w:pPr>
        <w:pStyle w:val="Compact"/>
        <w:numPr>
          <w:ilvl w:val="0"/>
          <w:numId w:val="1001"/>
        </w:numPr>
      </w:pPr>
      <w:r>
        <w:t xml:space="preserve">Model fit (R2), which assesses how well the observed sinusoidal curve aligns with the cosine function, indicating the goodness of fit.</w:t>
      </w:r>
    </w:p>
    <w:p>
      <w:pPr>
        <w:pStyle w:val="Compact"/>
        <w:numPr>
          <w:ilvl w:val="0"/>
          <w:numId w:val="1001"/>
        </w:numPr>
      </w:pPr>
      <w:r>
        <w:t xml:space="preserve">Elevation, representing the average correlation between an external variable and all circumplex variables.</w:t>
      </w:r>
    </w:p>
    <w:p>
      <w:pPr>
        <w:pStyle w:val="Compact"/>
        <w:numPr>
          <w:ilvl w:val="0"/>
          <w:numId w:val="1001"/>
        </w:numPr>
      </w:pPr>
      <w:r>
        <w:t xml:space="preserve">Amplitude (vector length), measuring the distance from the mean of the external variable’s correlation to its peak correlation with circumplex variables. This value signifies the uniqueness of the profile, indicating whether it is prominently associated with a specific circumplex variable or equally related to all.</w:t>
      </w:r>
    </w:p>
    <w:p>
      <w:pPr>
        <w:pStyle w:val="Compact"/>
        <w:numPr>
          <w:ilvl w:val="0"/>
          <w:numId w:val="1001"/>
        </w:numPr>
      </w:pPr>
      <w:r>
        <w:t xml:space="preserve">Angular displacement, denoting the angle at which the profile reaches its maximum point, indicating the empirical location of the variable within the circumplex as observed in the data.</w:t>
      </w:r>
    </w:p>
    <w:p>
      <w:pPr>
        <w:pStyle w:val="BlockText"/>
      </w:pPr>
      <w:r>
        <w:t xml:space="preserve">It is essential to evaluate how well the sinusoidal curve aligns with the cosine function by examining its goodness of fit, as indicated by the</w:t>
      </w:r>
      <w:r>
        <w:t xml:space="preserve"> </w:t>
      </w:r>
      <m:oMath>
        <m:sSup>
          <m:e>
            <m:r>
              <m:t>R</m:t>
            </m:r>
          </m:e>
          <m:sup>
            <m:r>
              <m:t>2</m:t>
            </m:r>
          </m:sup>
        </m:sSup>
      </m:oMath>
      <w:r>
        <w:t xml:space="preserve"> </w:t>
      </w:r>
      <w:r>
        <w:t xml:space="preserve">value. If</w:t>
      </w:r>
      <w:r>
        <w:t xml:space="preserve"> </w:t>
      </w:r>
      <m:oMath>
        <m:sSup>
          <m:e>
            <m:r>
              <m:t>R</m:t>
            </m:r>
          </m:e>
          <m:sup>
            <m:r>
              <m:t>2</m:t>
            </m:r>
          </m:sup>
        </m:sSup>
      </m:oMath>
      <w:r>
        <w:t xml:space="preserve"> </w:t>
      </w:r>
      <w:r>
        <w:t xml:space="preserve">values fall below 0.70, it is advisable not to interpret the remaining coefficients and to discontinue the process of locating external variables. Conversely,</w:t>
      </w:r>
      <w:r>
        <w:t xml:space="preserve"> </w:t>
      </w:r>
      <m:oMath>
        <m:sSup>
          <m:e>
            <m:r>
              <m:t>R</m:t>
            </m:r>
          </m:e>
          <m:sup>
            <m:r>
              <m:t>2</m:t>
            </m:r>
          </m:sup>
        </m:sSup>
      </m:oMath>
      <w:r>
        <w:t xml:space="preserve"> </w:t>
      </w:r>
      <w:r>
        <w:t xml:space="preserve">values exceeding 0.80 indicate a strong fit. Additionally, it’s worth mentioning that amplitude estimates, reflecting the distinctiveness of the profile, and elevation estimates, indicating the presence of a general factor, are considered notable when they surpass 0.15.</w:t>
      </w:r>
    </w:p>
    <w:p>
      <w:pPr>
        <w:pStyle w:val="FirstParagraph"/>
      </w:pPr>
      <w:r>
        <w:t xml:space="preserve">As described in</w:t>
      </w:r>
      <w:r>
        <w:t xml:space="preserve"> </w:t>
      </w:r>
      <w:r>
        <w:t xml:space="preserve">Rogoza, Cieciuch, and Strus (2021)</w:t>
      </w:r>
      <w:r>
        <w:t xml:space="preserve">, Step Two involves testing whether external variables can be located within the circumplex. Because we have derived new angles in the SEM step, we use these</w:t>
      </w:r>
      <w:r>
        <w:t xml:space="preserve"> </w:t>
      </w:r>
      <w:r>
        <w:t xml:space="preserve">‘adjusted’</w:t>
      </w:r>
      <w:r>
        <w:t xml:space="preserve"> </w:t>
      </w:r>
      <w:r>
        <w:t xml:space="preserve">angles for calculating the SSM parameters. In order to determine whether the language circumplexes can adequately allow an external variable to be located, we use the following criteria:</w:t>
      </w:r>
    </w:p>
    <w:p>
      <w:pPr>
        <w:pStyle w:val="Compact"/>
        <w:numPr>
          <w:ilvl w:val="0"/>
          <w:numId w:val="1002"/>
        </w:numPr>
      </w:pPr>
      <m:oMath>
        <m:sSup>
          <m:e>
            <m:r>
              <m:t>R</m:t>
            </m:r>
          </m:e>
          <m:sup>
            <m:r>
              <m:t>2</m:t>
            </m:r>
          </m:sup>
        </m:sSup>
      </m:oMath>
      <w:r>
        <w:t xml:space="preserve"> </w:t>
      </w:r>
      <w:r>
        <w:t xml:space="preserve">&gt; 0.8</w:t>
      </w:r>
    </w:p>
    <w:p>
      <w:pPr>
        <w:pStyle w:val="Compact"/>
        <w:numPr>
          <w:ilvl w:val="0"/>
          <w:numId w:val="1002"/>
        </w:numPr>
      </w:pPr>
      <w:r>
        <w:t xml:space="preserve">amplitude &gt; .15</w:t>
      </w:r>
    </w:p>
    <w:p>
      <w:pPr>
        <w:pStyle w:val="FirstParagraph"/>
      </w:pPr>
      <w:r>
        <w:t xml:space="preserve">These indices are based on the criteria used by</w:t>
      </w:r>
      <w:r>
        <w:t xml:space="preserve"> </w:t>
      </w:r>
      <w:r>
        <w:t xml:space="preserve">Rogoza, Cieciuch, and Strus (2021)</w:t>
      </w:r>
      <w:r>
        <w:t xml:space="preserve">, however we use an increased criterion of</w:t>
      </w:r>
      <w:r>
        <w:t xml:space="preserve"> </w:t>
      </w:r>
      <m:oMath>
        <m:sSup>
          <m:e>
            <m:r>
              <m:t>R</m:t>
            </m:r>
          </m:e>
          <m:sup>
            <m:r>
              <m:t>2</m:t>
            </m:r>
          </m:sup>
        </m:sSup>
        <m:r>
          <m:rPr>
            <m:sty m:val="p"/>
          </m:rPr>
          <m:t>&gt;</m:t>
        </m:r>
        <m:r>
          <m:t>0.9</m:t>
        </m:r>
      </m:oMath>
      <w:r>
        <w:t xml:space="preserve"> </w:t>
      </w:r>
      <w:r>
        <w:t xml:space="preserve">since we have a prior expectation that the circumplex variables should fit very well within each translation’s circumplex.</w:t>
      </w:r>
    </w:p>
    <w:p>
      <w:pPr>
        <w:pStyle w:val="BodyText"/>
      </w:pPr>
      <w:r>
        <w:t xml:space="preserve">The structure of the circumplex is key to determining where external variables are located. Given differing angles and communalities, the external variable can occupy different locations within the circumplex. Revealing and validating the true structure of a particular circumplex model is therefore key to reliably identifying correct location of external variables within the circumplex space.</w:t>
      </w:r>
    </w:p>
    <w:bookmarkEnd w:id="37"/>
    <w:bookmarkStart w:id="75" w:name="X8e276b5eae20e3c44f20dd21cf6c70f1ed6d04a"/>
    <w:p>
      <w:pPr>
        <w:pStyle w:val="Heading2"/>
      </w:pPr>
      <w:r>
        <w:t xml:space="preserve">3.4 Step 4: Accurately locating circumplex items within each language</w:t>
      </w:r>
    </w:p>
    <w:p>
      <w:pPr>
        <w:pStyle w:val="FirstParagraph"/>
      </w:pPr>
      <w:r>
        <w:t xml:space="preserve">The final step of</w:t>
      </w:r>
      <w:r>
        <w:t xml:space="preserve"> </w:t>
      </w:r>
      <w:r>
        <w:t xml:space="preserve">Rogoza, Cieciuch, and Strus (2021)</w:t>
      </w:r>
      <w:r>
        <w:t xml:space="preserve">’s three step procedure is to test the congruence between the empirical locations and theoretical expectations within the circumplex structure. In the case of the soundscape circumplex and our SATP data, we don’t have an external variable with a defined theoretical location within the circumplex - for instance loudness does not have a defined location within the circumplex where it is expected to be located.</w:t>
      </w:r>
    </w:p>
    <w:p>
      <w:pPr>
        <w:pStyle w:val="BodyText"/>
      </w:pPr>
      <w:r>
        <w:t xml:space="preserve">Taking inspiration from</w:t>
      </w:r>
      <w:r>
        <w:t xml:space="preserve"> </w:t>
      </w:r>
      <w:r>
        <w:t xml:space="preserve">Yik and Russell (2004)</w:t>
      </w:r>
      <w:r>
        <w:t xml:space="preserve">, we propose to use the circumplex structure of the soundscape survey itself as the theoretical expectation.</w:t>
      </w:r>
      <w:r>
        <w:t xml:space="preserve"> </w:t>
      </w:r>
      <w:r>
        <w:t xml:space="preserve">Yik and Russell (2004)</w:t>
      </w:r>
      <w:r>
        <w:t xml:space="preserve"> </w:t>
      </w:r>
      <w:r>
        <w:t xml:space="preserve">proposes that one circumplex can be located within another by calculating the SSM correlation between each of the scales of the reference circumplex and the test circumplex. In this way, each scale of the reference circumplex can be located within the test circumplex, and we can test whether these empirical locations meet our expectations.</w:t>
      </w:r>
    </w:p>
    <w:p>
      <w:pPr>
        <w:pStyle w:val="BodyText"/>
      </w:pPr>
      <w:r>
        <w:t xml:space="preserve">The process to do this is as follows:</w:t>
      </w:r>
    </w:p>
    <w:p>
      <w:pPr>
        <w:pStyle w:val="Compact"/>
        <w:numPr>
          <w:ilvl w:val="0"/>
          <w:numId w:val="1003"/>
        </w:numPr>
      </w:pPr>
      <w:r>
        <w:t xml:space="preserve">For both the reference and test circumplex, calculate the mean value of each scale for each recording.</w:t>
      </w:r>
    </w:p>
    <w:p>
      <w:pPr>
        <w:pStyle w:val="Compact"/>
        <w:numPr>
          <w:ilvl w:val="0"/>
          <w:numId w:val="1003"/>
        </w:numPr>
      </w:pPr>
      <w:r>
        <w:t xml:space="preserve">Calculate the SSM correlation between each scale of the reference circumplex and the test circumplex, in our case using the corrected angles.</w:t>
      </w:r>
    </w:p>
    <w:p>
      <w:pPr>
        <w:pStyle w:val="Compact"/>
        <w:numPr>
          <w:ilvl w:val="0"/>
          <w:numId w:val="1003"/>
        </w:numPr>
      </w:pPr>
      <w:r>
        <w:t xml:space="preserve">Test the congruence betwen the empirical locations and theoretical expectations using the Procrustes congruence test</w:t>
      </w:r>
      <w:r>
        <w:t xml:space="preserve"> </w:t>
      </w:r>
      <w:r>
        <w:t xml:space="preserve">(Rogoza, Cieciuch, and Strus 2021)</w:t>
      </w:r>
      <w:r>
        <w:t xml:space="preserve">.</w:t>
      </w:r>
    </w:p>
    <w:p>
      <w:pPr>
        <w:pStyle w:val="FirstParagraph"/>
      </w:pPr>
      <w:r>
        <w:t xml:space="preserve">We will be using the full dataset as the reference set and the data from each translation as the test set. This effectively means that we are testing whether each translation is able to locate the circumplex structure of the soundscape survey, consistently across all languages.</w:t>
      </w:r>
    </w:p>
    <w:p>
      <w:pPr>
        <w:pStyle w:val="BodyText"/>
      </w:pPr>
      <w:r>
        <w:t xml:space="preserve">This aligns with the overall goal of our process of allowing data (i.e. the circumplex coordinate) from different languages to be directly compared, by correcting for the differences in the circumplex structure between languages.</w:t>
      </w:r>
    </w:p>
    <w:bookmarkStart w:id="39" w:name="congruence"/>
    <w:p>
      <w:pPr>
        <w:pStyle w:val="Heading3"/>
      </w:pPr>
      <w:r>
        <w:t xml:space="preserve">3.4.1 Congruence</w:t>
      </w:r>
    </w:p>
    <w:p>
      <w:pPr>
        <w:pStyle w:val="FirstParagraph"/>
      </w:pPr>
      <w:r>
        <w:t xml:space="preserve">What</w:t>
      </w:r>
      <w:r>
        <w:t xml:space="preserve"> </w:t>
      </w:r>
      <w:r>
        <w:t xml:space="preserve">Rogoza, Cieciuch, and Strus (2021)</w:t>
      </w:r>
      <w:r>
        <w:t xml:space="preserve"> </w:t>
      </w:r>
      <w:r>
        <w:t xml:space="preserve">(and Orthosim) refer to as Tucker’s Congruence Coefficient is also commonly referred to as the cosine similarity (see the</w:t>
      </w:r>
      <w:r>
        <w:t xml:space="preserve"> </w:t>
      </w:r>
      <w:hyperlink r:id="rId38">
        <w:r>
          <w:rPr>
            <w:rStyle w:val="Hyperlink"/>
          </w:rPr>
          <w:t xml:space="preserve">Tensorly documentation</w:t>
        </w:r>
      </w:hyperlink>
      <w:r>
        <w:t xml:space="preserve">). We therefore use the sklearn implementation of cosine similarity to calculate the congruence between the empirical locations and theoretical expectations. This produces a matrix of cosine similarity values, which we then use to calculate the mean congruence, to match the model congruence from</w:t>
      </w:r>
      <w:r>
        <w:t xml:space="preserve"> </w:t>
      </w:r>
      <w:r>
        <w:t xml:space="preserve">Rogoza, Cieciuch, and Strus (2021)</w:t>
      </w:r>
      <w:r>
        <w:t xml:space="preserve">.</w:t>
      </w:r>
    </w:p>
    <w:bookmarkEnd w:id="39"/>
    <w:bookmarkStart w:id="74" w:name="procrustes"/>
    <w:p>
      <w:pPr>
        <w:pStyle w:val="Heading3"/>
      </w:pPr>
      <w:r>
        <w:t xml:space="preserve">3.4.2 Procrustes</w:t>
      </w:r>
    </w:p>
    <w:p>
      <w:pPr>
        <w:pStyle w:val="FirstParagraph"/>
      </w:pPr>
      <w:r>
        <w:t xml:space="preserve">However, it appears that, despite</w:t>
      </w:r>
      <w:r>
        <w:t xml:space="preserve"> </w:t>
      </w:r>
      <w:r>
        <w:t xml:space="preserve">Rogoza, Cieciuch, and Strus (2021)</w:t>
      </w:r>
      <w:r>
        <w:t xml:space="preserve"> </w:t>
      </w:r>
      <w:r>
        <w:t xml:space="preserve">’s description, this method is not actually based on a Procrustes analysis. The equivalent distance metric from a Procrustes method would be the rotational-based Procrustes distance, i.e. the squared Froebenius norm of the difference between the two orthogonal matrices. See</w:t>
      </w:r>
      <w:r>
        <w:t xml:space="preserve"> </w:t>
      </w:r>
      <w:r>
        <w:t xml:space="preserve">Andreella et al. (2023)</w:t>
      </w:r>
      <w:r>
        <w:t xml:space="preserve">:</w:t>
      </w:r>
    </w:p>
    <w:p>
      <w:pPr>
        <w:pStyle w:val="BlockText"/>
      </w:pPr>
      <w:r>
        <w:t xml:space="preserve">Instead, the second distance exploits the orthogonal matrix parameters solution of the Procrustes problem. The rotational-based distance computes the squared Frobenius distance between these estimated orthogonal matrices. As we will see, this metric measures the level of dissimilarity/similarity in orientation between matrices/subjects before functional alignment.</w:t>
      </w:r>
    </w:p>
    <w:p>
      <w:pPr>
        <w:pStyle w:val="FirstParagraph"/>
      </w:pPr>
      <w:r>
        <w:t xml:space="preserve">Based on the proof given in</w:t>
      </w:r>
      <w:r>
        <w:t xml:space="preserve"> </w:t>
      </w:r>
      <w:r>
        <w:t xml:space="preserve">Bakhtiar and Siswadi (2015)</w:t>
      </w:r>
      <w:r>
        <w:t xml:space="preserve">, given that the input matrices are scaled (i.e. </w:t>
      </w:r>
      <w:r>
        <w:rPr>
          <w:rStyle w:val="VerbatimChar"/>
        </w:rPr>
        <w:t xml:space="preserve">rotational(scale=True)</w:t>
      </w:r>
      <w:r>
        <w:t xml:space="preserve">), then the Procrustes distance is a true distance measure which obeys</w:t>
      </w:r>
      <w:r>
        <w:t xml:space="preserve"> </w:t>
      </w:r>
      <m:oMath>
        <m:r>
          <m:t>0</m:t>
        </m:r>
        <m:r>
          <m:rPr>
            <m:sty m:val="p"/>
          </m:rPr>
          <m:t>&lt;</m:t>
        </m:r>
        <m:r>
          <m:t>p</m:t>
        </m:r>
        <m:d>
          <m:dPr>
            <m:begChr m:val="("/>
            <m:sepChr m:val=""/>
            <m:endChr m:val=")"/>
            <m:grow/>
          </m:dPr>
          <m:e>
            <m:r>
              <m:t>X</m:t>
            </m:r>
            <m:r>
              <m:rPr>
                <m:sty m:val="p"/>
              </m:rPr>
              <m:t>,</m:t>
            </m:r>
            <m:r>
              <m:t>Y</m:t>
            </m:r>
          </m:e>
        </m:d>
        <m:r>
          <m:rPr>
            <m:sty m:val="p"/>
          </m:rPr>
          <m:t>&lt;</m:t>
        </m:r>
        <m:r>
          <m:t>1</m:t>
        </m:r>
      </m:oMath>
      <w:r>
        <w:t xml:space="preserve"> </w:t>
      </w:r>
      <w:r>
        <w:t xml:space="preserve">(Bakhtiar and Siswadi 2015)</w:t>
      </w:r>
      <w:r>
        <w:t xml:space="preserve"> </w:t>
      </w:r>
      <w:r>
        <w:t xml:space="preserve">(p. 322). Therefore we can convert the Procrustes distance to a similarity measure by subtracting it from 1.</w:t>
      </w:r>
    </w:p>
    <w:bookmarkStart w:id="73" w:name="refs"/>
    <w:bookmarkStart w:id="41"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40">
        <w:r>
          <w:rPr>
            <w:rStyle w:val="Hyperlink"/>
          </w:rPr>
          <w:t xml:space="preserve">https://doi.org/10.1007/s10260-023-00689-y</w:t>
        </w:r>
      </w:hyperlink>
      <w:r>
        <w:t xml:space="preserve">.</w:t>
      </w:r>
    </w:p>
    <w:bookmarkEnd w:id="41"/>
    <w:bookmarkStart w:id="43"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42">
        <w:r>
          <w:rPr>
            <w:rStyle w:val="Hyperlink"/>
          </w:rPr>
          <w:t xml:space="preserve">https://doi.org/10.12732/ijpam.v99i3.7</w:t>
        </w:r>
      </w:hyperlink>
      <w:r>
        <w:t xml:space="preserve">.</w:t>
      </w:r>
    </w:p>
    <w:bookmarkEnd w:id="43"/>
    <w:bookmarkStart w:id="45"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44">
        <w:r>
          <w:rPr>
            <w:rStyle w:val="Hyperlink"/>
          </w:rPr>
          <w:t xml:space="preserve">https://doi.org/10.1007/bf02294416</w:t>
        </w:r>
      </w:hyperlink>
      <w:r>
        <w:t xml:space="preserve">.</w:t>
      </w:r>
    </w:p>
    <w:bookmarkEnd w:id="45"/>
    <w:bookmarkStart w:id="47"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46">
        <w:r>
          <w:rPr>
            <w:rStyle w:val="Hyperlink"/>
          </w:rPr>
          <w:t xml:space="preserve">https://doi.org/10.3758/brm.42.1.55</w:t>
        </w:r>
      </w:hyperlink>
      <w:r>
        <w:t xml:space="preserve">.</w:t>
      </w:r>
    </w:p>
    <w:bookmarkEnd w:id="47"/>
    <w:bookmarkStart w:id="48"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48"/>
    <w:bookmarkStart w:id="50"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49">
        <w:r>
          <w:rPr>
            <w:rStyle w:val="Hyperlink"/>
          </w:rPr>
          <w:t xml:space="preserve">https://doi.org/10.1177/0146167200265009</w:t>
        </w:r>
      </w:hyperlink>
      <w:r>
        <w:t xml:space="preserve">.</w:t>
      </w:r>
    </w:p>
    <w:bookmarkEnd w:id="50"/>
    <w:bookmarkStart w:id="51"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51"/>
    <w:bookmarkStart w:id="53"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52">
        <w:r>
          <w:rPr>
            <w:rStyle w:val="Hyperlink"/>
          </w:rPr>
          <w:t xml:space="preserve">https://doi.org/10.1080/10705519909540118</w:t>
        </w:r>
      </w:hyperlink>
      <w:r>
        <w:t xml:space="preserve">.</w:t>
      </w:r>
    </w:p>
    <w:bookmarkEnd w:id="53"/>
    <w:bookmarkStart w:id="55"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54">
        <w:r>
          <w:rPr>
            <w:rStyle w:val="Hyperlink"/>
          </w:rPr>
          <w:t xml:space="preserve">https://oce.ovid.com/article/00006823-198707000-00013/HTML</w:t>
        </w:r>
      </w:hyperlink>
      <w:r>
        <w:t xml:space="preserve">.</w:t>
      </w:r>
    </w:p>
    <w:bookmarkEnd w:id="55"/>
    <w:bookmarkStart w:id="57"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56">
        <w:r>
          <w:rPr>
            <w:rStyle w:val="Hyperlink"/>
          </w:rPr>
          <w:t xml:space="preserve">https://doi.org/10.1016/j.buildenv.2022.109403</w:t>
        </w:r>
      </w:hyperlink>
      <w:r>
        <w:t xml:space="preserve">.</w:t>
      </w:r>
    </w:p>
    <w:bookmarkEnd w:id="57"/>
    <w:bookmarkStart w:id="59"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58">
        <w:r>
          <w:rPr>
            <w:rStyle w:val="Hyperlink"/>
          </w:rPr>
          <w:t xml:space="preserve">https://doi.org/10.1016/j.apacoust.2023.109338</w:t>
        </w:r>
      </w:hyperlink>
      <w:r>
        <w:t xml:space="preserve">.</w:t>
      </w:r>
    </w:p>
    <w:bookmarkEnd w:id="59"/>
    <w:bookmarkStart w:id="61" w:name="ref-RCT2018R"/>
    <w:p>
      <w:pPr>
        <w:pStyle w:val="Bibliography"/>
      </w:pPr>
      <w:r>
        <w:t xml:space="preserve">R Core Team. 2018.</w:t>
      </w:r>
      <w:r>
        <w:t xml:space="preserve"> </w:t>
      </w:r>
      <w:r>
        <w:rPr>
          <w:i/>
          <w:iCs/>
        </w:rPr>
        <w:t xml:space="preserve">R</w:t>
      </w:r>
      <w:r>
        <w:rPr>
          <w:i/>
          <w:iCs/>
        </w:rPr>
        <w:t xml:space="preserve">:</w:t>
      </w:r>
      <w:r>
        <w:rPr>
          <w:i/>
          <w:iCs/>
        </w:rPr>
        <w:t xml:space="preserve"> </w:t>
      </w:r>
      <w:r>
        <w:rPr>
          <w:i/>
          <w:iCs/>
        </w:rPr>
        <w:t xml:space="preserve">A</w:t>
      </w:r>
      <w:r>
        <w:rPr>
          <w:i/>
          <w:iCs/>
        </w:rPr>
        <w:t xml:space="preserve"> </w:t>
      </w:r>
      <w:r>
        <w:rPr>
          <w:i/>
          <w:iCs/>
        </w:rPr>
        <w:t xml:space="preserve">L</w:t>
      </w:r>
      <w:r>
        <w:rPr>
          <w:i/>
          <w:iCs/>
        </w:rPr>
        <w:t xml:space="preserve">anguage and</w:t>
      </w:r>
      <w:r>
        <w:rPr>
          <w:i/>
          <w:iCs/>
        </w:rPr>
        <w:t xml:space="preserve"> </w:t>
      </w:r>
      <w:r>
        <w:rPr>
          <w:i/>
          <w:iCs/>
        </w:rPr>
        <w:t xml:space="preserve">E</w:t>
      </w:r>
      <w:r>
        <w:rPr>
          <w:i/>
          <w:iCs/>
        </w:rPr>
        <w:t xml:space="preserve">nvironment for</w:t>
      </w:r>
      <w:r>
        <w:rPr>
          <w:i/>
          <w:iCs/>
        </w:rPr>
        <w:t xml:space="preserve"> </w:t>
      </w:r>
      <w:r>
        <w:rPr>
          <w:i/>
          <w:iCs/>
        </w:rPr>
        <w:t xml:space="preserve">S</w:t>
      </w:r>
      <w:r>
        <w:rPr>
          <w:i/>
          <w:iCs/>
        </w:rPr>
        <w:t xml:space="preserve">tatistical</w:t>
      </w:r>
      <w:r>
        <w:rPr>
          <w:i/>
          <w:iCs/>
        </w:rPr>
        <w:t xml:space="preserve"> </w:t>
      </w:r>
      <w:r>
        <w:rPr>
          <w:i/>
          <w:iCs/>
        </w:rPr>
        <w:t xml:space="preserve">C</w:t>
      </w:r>
      <w:r>
        <w:rPr>
          <w:i/>
          <w:iCs/>
        </w:rPr>
        <w:t xml:space="preserve">omputing</w:t>
      </w:r>
      <w:r>
        <w:t xml:space="preserve">. Vienna, Austria: R Foundation for Statistical Computing.</w:t>
      </w:r>
      <w:r>
        <w:t xml:space="preserve"> </w:t>
      </w:r>
      <w:hyperlink r:id="rId60">
        <w:r>
          <w:rPr>
            <w:rStyle w:val="Hyperlink"/>
          </w:rPr>
          <w:t xml:space="preserve">https://www.R-project.org/</w:t>
        </w:r>
      </w:hyperlink>
      <w:r>
        <w:t xml:space="preserve">.</w:t>
      </w:r>
    </w:p>
    <w:bookmarkEnd w:id="61"/>
    <w:bookmarkStart w:id="63"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62">
        <w:r>
          <w:rPr>
            <w:rStyle w:val="Hyperlink"/>
          </w:rPr>
          <w:t xml:space="preserve">https://doi.org/10.1016/j.paid.2019.109775</w:t>
        </w:r>
      </w:hyperlink>
      <w:r>
        <w:t xml:space="preserve">.</w:t>
      </w:r>
    </w:p>
    <w:bookmarkEnd w:id="63"/>
    <w:bookmarkStart w:id="65"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64">
        <w:r>
          <w:rPr>
            <w:rStyle w:val="Hyperlink"/>
          </w:rPr>
          <w:t xml:space="preserve">https://doi.org/10.1006/jvbe.1999.1738</w:t>
        </w:r>
      </w:hyperlink>
      <w:r>
        <w:t xml:space="preserve">.</w:t>
      </w:r>
    </w:p>
    <w:bookmarkEnd w:id="65"/>
    <w:bookmarkStart w:id="67"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66">
        <w:r>
          <w:rPr>
            <w:rStyle w:val="Hyperlink"/>
          </w:rPr>
          <w:t xml:space="preserve">https://doi.org/10.1016/j.buildenv.2020.107490</w:t>
        </w:r>
      </w:hyperlink>
      <w:r>
        <w:t xml:space="preserve">.</w:t>
      </w:r>
    </w:p>
    <w:bookmarkEnd w:id="67"/>
    <w:bookmarkStart w:id="69"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68">
        <w:r>
          <w:rPr>
            <w:rStyle w:val="Hyperlink"/>
          </w:rPr>
          <w:t xml:space="preserve">https://doi.org/10.1177/0013164497057001012</w:t>
        </w:r>
      </w:hyperlink>
      <w:r>
        <w:t xml:space="preserve">.</w:t>
      </w:r>
    </w:p>
    <w:bookmarkEnd w:id="69"/>
    <w:bookmarkStart w:id="70"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70"/>
    <w:bookmarkStart w:id="72"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71">
        <w:r>
          <w:rPr>
            <w:rStyle w:val="Hyperlink"/>
          </w:rPr>
          <w:t xml:space="preserve">https://doi.org/10.1207/s15327906mbr3902_4</w:t>
        </w:r>
      </w:hyperlink>
      <w:r>
        <w:t xml:space="preserve">.</w:t>
      </w:r>
    </w:p>
    <w:bookmarkEnd w:id="72"/>
    <w:bookmarkEnd w:id="73"/>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1">
    <w:p>
      <w:pPr>
        <w:pStyle w:val="FootnoteText"/>
      </w:pPr>
      <w:r>
        <w:rPr>
          <w:rStyle w:val="FootnoteReference"/>
        </w:rPr>
        <w:footnoteRef/>
      </w:r>
      <w:r>
        <w:t xml:space="preserve"> </w:t>
      </w:r>
      <w:r>
        <w:t xml:space="preserve">The version of CircE originally developed by Grassi is no longer maintained and fails on installation in R. As such, the specific version of CircE with bug fixes implemented by the authors used for this analysis is hosted separately on Github at:</w:t>
      </w:r>
      <w:r>
        <w:t xml:space="preserve"> </w:t>
      </w:r>
      <w:hyperlink r:id="rId32">
        <w:r>
          <w:rPr>
            <w:rStyle w:val="Hyperlink"/>
          </w:rPr>
          <w:t xml:space="preserve">https://github.com/MitchellAcoustics/CircE-R</w:t>
        </w:r>
      </w:hyperlink>
    </w:p>
  </w:footnote>
  <w:footnote w:id="33">
    <w:p>
      <w:pPr>
        <w:pStyle w:val="FootnoteText"/>
      </w:pPr>
      <w:r>
        <w:rPr>
          <w:rStyle w:val="FootnoteReference"/>
        </w:rPr>
        <w:footnoteRef/>
      </w:r>
      <w:r>
        <w:t xml:space="preserve"> </w:t>
      </w:r>
      <w:r>
        <w:t xml:space="preserve">“it is worth noting that the RMSEA may not be best suited to evaluate circumplex models. It becomes biased in the case of high correlations between proximal variables, as found in circumplex models, and should be interpreted with caution.”</w:t>
      </w:r>
      <w:r>
        <w:t xml:space="preserve"> </w:t>
      </w:r>
      <w:r>
        <w:t xml:space="preserve">(Rogoza, Cieciuch, and Strus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6/jvbe.1999.1738" TargetMode="External" /><Relationship Type="http://schemas.openxmlformats.org/officeDocument/2006/relationships/hyperlink" Id="rId44" Target="https://doi.org/10.1007/bf02294416" TargetMode="External" /><Relationship Type="http://schemas.openxmlformats.org/officeDocument/2006/relationships/hyperlink" Id="rId40" Target="https://doi.org/10.1007/s10260-023-00689-y" TargetMode="External" /><Relationship Type="http://schemas.openxmlformats.org/officeDocument/2006/relationships/hyperlink" Id="rId58" Target="https://doi.org/10.1016/j.apacoust.2023.109338" TargetMode="External" /><Relationship Type="http://schemas.openxmlformats.org/officeDocument/2006/relationships/hyperlink" Id="rId66" Target="https://doi.org/10.1016/j.buildenv.2020.107490" TargetMode="External" /><Relationship Type="http://schemas.openxmlformats.org/officeDocument/2006/relationships/hyperlink" Id="rId56" Target="https://doi.org/10.1016/j.buildenv.2022.109403" TargetMode="External" /><Relationship Type="http://schemas.openxmlformats.org/officeDocument/2006/relationships/hyperlink" Id="rId62" Target="https://doi.org/10.1016/j.paid.2019.109775" TargetMode="External" /><Relationship Type="http://schemas.openxmlformats.org/officeDocument/2006/relationships/hyperlink" Id="rId52" Target="https://doi.org/10.1080/10705519909540118" TargetMode="External" /><Relationship Type="http://schemas.openxmlformats.org/officeDocument/2006/relationships/hyperlink" Id="rId68" Target="https://doi.org/10.1177/0013164497057001012" TargetMode="External" /><Relationship Type="http://schemas.openxmlformats.org/officeDocument/2006/relationships/hyperlink" Id="rId49" Target="https://doi.org/10.1177/0146167200265009" TargetMode="External" /><Relationship Type="http://schemas.openxmlformats.org/officeDocument/2006/relationships/hyperlink" Id="rId71" Target="https://doi.org/10.1207/s15327906mbr3902_4" TargetMode="External" /><Relationship Type="http://schemas.openxmlformats.org/officeDocument/2006/relationships/hyperlink" Id="rId42" Target="https://doi.org/10.12732/ijpam.v99i3.7" TargetMode="External" /><Relationship Type="http://schemas.openxmlformats.org/officeDocument/2006/relationships/hyperlink" Id="rId46" Target="https://doi.org/10.3758/brm.42.1.55" TargetMode="External" /><Relationship Type="http://schemas.openxmlformats.org/officeDocument/2006/relationships/hyperlink" Id="rId32" Target="https://github.com/MitchellAcoustics/CircE-R" TargetMode="External" /><Relationship Type="http://schemas.openxmlformats.org/officeDocument/2006/relationships/hyperlink" Id="rId54" Target="https://oce.ovid.com/article/00006823-198707000-00013/HTML" TargetMode="External" /><Relationship Type="http://schemas.openxmlformats.org/officeDocument/2006/relationships/hyperlink" Id="rId38" Target="https://tensorly.org/stable/modules/generated/tensorly.metrics.factors.congruence_coefficient.html"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Procedure for testing and adjusting translations of the Soundscape (quasi-)Circumplex Model</dc:title>
  <dc:creator>Andrew Mitchell; Francesco Aletta</dc:creator>
  <cp:keywords/>
  <dcterms:created xsi:type="dcterms:W3CDTF">2026-02-24T23:42:51Z</dcterms:created>
  <dcterms:modified xsi:type="dcterms:W3CDTF">2026-02-24T23:42:51Z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outlines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results are presented with a three-tier confidence level system (Low, Medium, High) to indicate the reliability of the circumplex structure in the translated versions. To enable normalisation across different translations of the circumplex attributes, “adjusted angles” are derived, which are a measure proposed to correct the SCM structure (i.e., the pleasant-eventful coordinate space proposed in the ISO 12913 series) of a given language.Results reveal that most languages successfully maintain the quasi-circumplex structure of the original soundscape model, ensuring robust cross-cultural validity.…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