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CROSS-BORDER DATA PARTNERSHIP MUTUAL NON-DISCLOSURE AGREEMENT</w:t>
      </w:r>
    </w:p>
    <w:p>
      <w:pPr>
        <w:spacing w:after="160"/>
      </w:pPr>
      <w:r>
        <w:t xml:space="preserve">This Mutual Non-Disclosure Agreement (this "Agreement") is entered into as of the Effective Date by and between Meridian Health Systems, Inc., a Delaware corporation ("Meridian"), and Helix Data Labs, Ltd., a company incorporated in England and Wales ("Helix"). Each party may be a "Disclosing Party" or a "Receiving Party."</w:t>
      </w:r>
    </w:p>
    <w:p>
      <w:pPr>
        <w:spacing w:after="160"/>
      </w:pPr>
      <w:r>
        <w:t xml:space="preserve">1. Purpose and Recitals. Meridian wishes to disclose certain de-identified and identifiable patient datasets to Helix so that Helix may perform the Evaluation described in Exhibit A. The parties acknowledge that, although this Agreement is styled as mutual, in practice Meridian will be the primary Disclosing Party and Helix the primary Receiving Party for the duration of the Evaluation.</w:t>
      </w:r>
    </w:p>
    <w:p>
      <w:pPr>
        <w:spacing w:after="160"/>
      </w:pPr>
      <w:r>
        <w:t xml:space="preserve">2. Definition of Confidential Information. "Confidential Information" means all information disclosed by the Disclosing Party to the Receiving Party, in any form and whether or not marked or identified as confidential, including without limitation the datasets, Personal Data, technical and clinical information, pricing, and the existence and terms of this Agreement. Confidential Information may be disclosed by the Disclosing Party or by any of its Affiliates.</w:t>
      </w:r>
    </w:p>
    <w:p>
      <w:pPr>
        <w:spacing w:after="160"/>
      </w:pPr>
      <w:r>
        <w:t xml:space="preserve">3. Exclusions. Confidential Information does not include information that: (a) is or becomes public through no fault of the Receiving Party; (b) was rightfully known to the Receiving Party before disclosure; (c) is rightfully received from a third party without a duty of confidentiality; or (d) is independently developed by the Receiving Party.</w:t>
      </w:r>
    </w:p>
    <w:p>
      <w:pPr>
        <w:spacing w:after="160"/>
      </w:pPr>
      <w:r>
        <w:t xml:space="preserve">4. Permitted Use and Recipients. The Receiving Party shall use the Confidential Information solely for the Purpose and may disclose it to its Representatives and to its Affiliates on a need-to-know basis, provided each is bound by obligations no less protective than those herein.</w:t>
      </w:r>
    </w:p>
    <w:p>
      <w:pPr>
        <w:spacing w:after="160"/>
      </w:pPr>
      <w:r>
        <w:t xml:space="preserve">5. Cross-Border Data Transfer and Data Protection. The Receiving Party shall comply with all applicable data protection laws, including the UK GDPR and the EU GDPR, in connection with any Personal Data, and shall implement appropriate Standard Contractual Clauses for any transfer of Personal Data outside the United Kingdom or the European Economic Area. The Receiving Party shall notify the Disclosing Party of any personal data breach without undue delay.</w:t>
      </w:r>
    </w:p>
    <w:p>
      <w:pPr>
        <w:spacing w:after="160"/>
      </w:pPr>
      <w:r>
        <w:t xml:space="preserve">6. Term and Survival. This Agreement terminates two (2) years after the Effective Date. The confidentiality obligations of the Receiving Party survive for three (3) years following such termination. Trade secrets shall remain protected for so long as they qualify as trade secrets under applicable law.</w:t>
      </w:r>
    </w:p>
    <w:p>
      <w:pPr>
        <w:spacing w:after="160"/>
      </w:pPr>
      <w:r>
        <w:t xml:space="preserve">7. Compelled Disclosure. If the Receiving Party is required by law, regulation, or legal process to disclose any Confidential Information, it shall provide the Disclosing Party with prompt written notice prior to disclosure so that the Disclosing Party may seek a protective order.</w:t>
      </w:r>
    </w:p>
    <w:p>
      <w:pPr>
        <w:spacing w:after="160"/>
      </w:pPr>
      <w:r>
        <w:t xml:space="preserve">8. Non-Solicitation. During the term of this Agreement and for twenty-four (24) months thereafter, neither party shall, directly or indirectly, solicit for employment any employee of the other party with whom it had contact in connection with the Purpose.</w:t>
      </w:r>
    </w:p>
    <w:p>
      <w:pPr>
        <w:spacing w:after="160"/>
      </w:pPr>
      <w:r>
        <w:t xml:space="preserve">9. Residuals. Notwithstanding anything to the contrary, either party may use for any purpose the Residuals resulting from access to the other party's Confidential Information, where "Residuals" means information retained in the unaided memory of its Representatives who have had access to such Confidential Information.</w:t>
      </w:r>
    </w:p>
    <w:p>
      <w:pPr>
        <w:spacing w:after="160"/>
      </w:pPr>
      <w:r>
        <w:t xml:space="preserve">10. Return or Destruction. Upon termination or written request, the Receiving Party shall return or destroy all Confidential Information, except for one archival copy and the limited categories of information the Receiving Party is permitted to retain under Section 4.2.</w:t>
      </w:r>
    </w:p>
    <w:p>
      <w:pPr>
        <w:spacing w:after="160"/>
      </w:pPr>
      <w:r>
        <w:t xml:space="preserve">11. Injunctive Relief. The Disclosing Party may seek injunctive relief in the event of a breach or threatened breach of this Agreement, upon posting of a bond in such amount as the court may require.</w:t>
      </w:r>
    </w:p>
    <w:p>
      <w:pPr>
        <w:spacing w:after="160"/>
      </w:pPr>
      <w:r>
        <w:t xml:space="preserve">12. No License; No Warranty. No license to any intellectual property is granted under this Agreement. All Confidential Information is provided "as is" without warranty of any kind.</w:t>
      </w:r>
    </w:p>
    <w:p>
      <w:pPr>
        <w:spacing w:after="160"/>
      </w:pPr>
      <w:r>
        <w:t xml:space="preserve">13. Limitation of Liability. Notwithstanding anything to the contrary in this Agreement, each party's total aggregate liability and all of its obligations under this Agreement shall terminate, and be of no further force or effect, three (3) years after the Effective Date.</w:t>
      </w:r>
    </w:p>
    <w:p>
      <w:pPr>
        <w:spacing w:after="160"/>
      </w:pPr>
      <w:r>
        <w:t xml:space="preserve">14. Miscellaneous. This Agreement is governed by the laws of the State of Delaware, without regard to its conflict of laws principles. This Agreement may be executed in counterparts. All notices must be in writing and sent to the addresses set forth on the signature page. This Agreement constitutes the entire agreement between the parties with respect to its subject matter and supersedes all prior discussions.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2026-06-05T03:21:41.474Z</dcterms:created>
  <dcterms:modified xsi:type="dcterms:W3CDTF">2026-06-05T03:21:41.475Z</dcterms:modified>
</cp:coreProperties>
</file>

<file path=docProps/custom.xml><?xml version="1.0" encoding="utf-8"?>
<Properties xmlns="http://schemas.openxmlformats.org/officeDocument/2006/custom-properties" xmlns:vt="http://schemas.openxmlformats.org/officeDocument/2006/docPropsVTypes"/>
</file>