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MUTUAL NON-DISCLOSURE AGREEMENT</w:t>
      </w:r>
    </w:p>
    <w:p>
      <w:pPr>
        <w:spacing w:after="160"/>
      </w:pPr>
      <w:r>
        <w:t xml:space="preserve">This Mutual Non-Disclosure Agreement (this "Agreement") is entered into as of the Effective Date by and between Lumen Data Systems, Inc., a Delaware corporation ("Lumen"), and Brookfield Partners, LLC, a Delaware limited liability company ("Brookfield"). The parties wish to exchange certain confidential information in connection with evaluating Brookfield's potential use of Lumen's data analytics platform (the "Purpose").</w:t>
      </w:r>
    </w:p>
    <w:p>
      <w:pPr>
        <w:spacing w:after="160"/>
      </w:pPr>
      <w:r>
        <w:t xml:space="preserve">1. Definition of Confidential Information. "Confidential Information" means all non-public information disclosed by one party (the "Disclosing Party") to the other party (the "Receiving Party"), in any form and whether or not marked or designated as confidential, including business plans, pricing, product roadmaps, customer lists, software, and technical information.</w:t>
      </w:r>
    </w:p>
    <w:p>
      <w:pPr>
        <w:spacing w:after="160"/>
      </w:pPr>
      <w:r>
        <w:t xml:space="preserve">2. Exclusions. Confidential Information does not include information that: (a) is or becomes publicly available through no fault of the Receiving Party; (b) was known to the Receiving Party before disclosure; (c) is rightfully received from a third party without a duty of confidentiality; or (d) is independently developed by the Receiving Party.</w:t>
      </w:r>
    </w:p>
    <w:p>
      <w:pPr>
        <w:spacing w:after="160"/>
      </w:pPr>
      <w:r>
        <w:t xml:space="preserve">3. Obligations of the Receiving Party. The Receiving Party shall use the Confidential Information solely for the Purpose and shall not disclose it to any third party. The Receiving Party may disclose Confidential Information to its employees and Affiliates who need to know it for the Purpose.</w:t>
      </w:r>
    </w:p>
    <w:p>
      <w:pPr>
        <w:spacing w:after="160"/>
      </w:pPr>
      <w:r>
        <w:t xml:space="preserve">4. Term. This Agreement and the confidentiality obligations set forth herein shall continue for a period of five (5) years from the Effective Date.</w:t>
      </w:r>
    </w:p>
    <w:p>
      <w:pPr>
        <w:spacing w:after="160"/>
      </w:pPr>
      <w:r>
        <w:t xml:space="preserve">5. Compelled Disclosure. If the Receiving Party is required by law or legal process to disclose any Confidential Information, the Receiving Party shall notify the Disclosing Party prior to disclosure so that the Disclosing Party may seek a protective order.</w:t>
      </w:r>
    </w:p>
    <w:p>
      <w:pPr>
        <w:spacing w:after="160"/>
      </w:pPr>
      <w:r>
        <w:t xml:space="preserve">6. Return or Destruction. Upon the Disclosing Party's written request, the Receiving Party shall promptly return or destroy all Confidential Information in its possession or control.</w:t>
      </w:r>
    </w:p>
    <w:p>
      <w:pPr>
        <w:spacing w:after="160"/>
      </w:pPr>
      <w:r>
        <w:t xml:space="preserve">7. Non-Solicitation. During the term of this Agreement and for a period of twenty-four (24) months thereafter, neither party shall solicit for employment any employee of the other party with whom it had contact in connection with the Purpose.</w:t>
      </w:r>
    </w:p>
    <w:p>
      <w:pPr>
        <w:spacing w:after="160"/>
      </w:pPr>
      <w:r>
        <w:t xml:space="preserve">8. Injunctive Relief. Each party acknowledges that a breach of this Agreement may cause irreparable harm for which monetary damages would be an inadequate remedy, and that the non-breaching party shall be entitled to seek injunctive relief in addition to any other remedies available at law or in equity.</w:t>
      </w:r>
    </w:p>
    <w:p>
      <w:pPr>
        <w:spacing w:after="160"/>
      </w:pPr>
      <w:r>
        <w:t xml:space="preserve">9. No License. Nothing in this Agreement grants either party any license or right to the other party's intellectual property, except the limited right to use the Confidential Information for the Purpose.</w:t>
      </w:r>
    </w:p>
    <w:p>
      <w:pPr>
        <w:spacing w:after="160"/>
      </w:pPr>
      <w:r>
        <w:t xml:space="preserve">10. Governing Law. This Agreement shall be governed by the laws of the State of Delaware, without regard to its conflict of laws principles.</w:t>
      </w:r>
    </w:p>
    <w:p>
      <w:pPr>
        <w:spacing w:after="160"/>
      </w:pPr>
      <w:r>
        <w:t xml:space="preserve">11. Miscellaneous. This Agreement constitutes the entire agreement between the parties with respect to its subject matter and supersedes all prior understandings. This Agreement may be executed in counterparts. Any amendment must be in writing and signed by both parties.</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2026-06-05T17:46:10.332Z</dcterms:created>
  <dcterms:modified xsi:type="dcterms:W3CDTF">2026-06-05T17:46:10.332Z</dcterms:modified>
</cp:coreProperties>
</file>

<file path=docProps/custom.xml><?xml version="1.0" encoding="utf-8"?>
<Properties xmlns="http://schemas.openxmlformats.org/officeDocument/2006/custom-properties" xmlns:vt="http://schemas.openxmlformats.org/officeDocument/2006/docPropsVTypes"/>
</file>