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Business Requirement Document (BRD)</w:t>
      </w:r>
    </w:p>
    <w:p>
      <w:pPr>
        <w:pStyle w:val="Heading2"/>
        <w:spacing w:after="300"/>
        <w:jc w:val="center"/>
      </w:pPr>
      <w:r>
        <w:t xml:space="preserve">SVR Indian Oil Service Station – Daily Sales Report Data Entry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1F4E78" w:val="clear"/>
          </w:tcPr>
          <w:p>
            <w:r>
              <w:rPr>
                <w:b/>
                <w:bCs/>
                <w:color w:val="FFFFFF"/>
              </w:rPr>
              <w:t xml:space="preserve">Field</w:t>
            </w:r>
          </w:p>
        </w:tc>
        <w:tc>
          <w:tcPr>
            <w:tcW w:type="dxa" w:w="6233"/>
            <w:shd w:fill="1F4E78" w:val="clear"/>
          </w:tcPr>
          <w:p>
            <w:r>
              <w:rPr>
                <w:b/>
                <w:bCs/>
                <w:color w:val="FFFFFF"/>
              </w:rPr>
              <w:t xml:space="preserve">Detail</w:t>
            </w:r>
          </w:p>
        </w:tc>
      </w:tr>
      <w:tr>
        <w:tc>
          <w:tcPr>
            <w:tcW w:type="dxa" w:w="3117"/>
          </w:tcPr>
          <w:p>
            <w:r>
              <w:rPr>
                <w:b w:val="false"/>
                <w:bCs w:val="false"/>
              </w:rPr>
              <w:t xml:space="preserve">Phase</w:t>
            </w:r>
          </w:p>
        </w:tc>
        <w:tc>
          <w:tcPr>
            <w:tcW w:type="dxa" w:w="6233"/>
          </w:tcPr>
          <w:p>
            <w:r>
              <w:rPr>
                <w:b w:val="false"/>
                <w:bCs w:val="false"/>
              </w:rPr>
              <w:t xml:space="preserve">Requirement Gathering</w:t>
            </w:r>
          </w:p>
        </w:tc>
      </w:tr>
      <w:tr>
        <w:tc>
          <w:tcPr>
            <w:tcW w:type="dxa" w:w="3117"/>
          </w:tcPr>
          <w:p>
            <w:r>
              <w:rPr>
                <w:b w:val="false"/>
                <w:bCs w:val="false"/>
              </w:rPr>
              <w:t xml:space="preserve">Framework</w:t>
            </w:r>
          </w:p>
        </w:tc>
        <w:tc>
          <w:tcPr>
            <w:tcW w:type="dxa" w:w="6233"/>
          </w:tcPr>
          <w:p>
            <w:r>
              <w:rPr>
                <w:b w:val="false"/>
                <w:bCs w:val="false"/>
              </w:rPr>
              <w:t xml:space="preserve">CRAFT (Context, Role, Action, Format, Target), CI/CD, CER (Correctness, Efficiency, Reliability) Standards</w:t>
            </w:r>
          </w:p>
        </w:tc>
      </w:tr>
      <w:tr>
        <w:tc>
          <w:tcPr>
            <w:tcW w:type="dxa" w:w="3117"/>
          </w:tcPr>
          <w:p>
            <w:r>
              <w:rPr>
                <w:b w:val="false"/>
                <w:bCs w:val="false"/>
              </w:rPr>
              <w:t xml:space="preserve">Repository</w:t>
            </w:r>
          </w:p>
        </w:tc>
        <w:tc>
          <w:tcPr>
            <w:tcW w:type="dxa" w:w="6233"/>
          </w:tcPr>
          <w:p>
            <w:r>
              <w:rPr>
                <w:b w:val="false"/>
                <w:bCs w:val="false"/>
              </w:rPr>
              <w:t xml:space="preserve">https://github.com/Mithendra/IOCL_SVR</w:t>
            </w:r>
          </w:p>
        </w:tc>
      </w:tr>
      <w:tr>
        <w:tc>
          <w:tcPr>
            <w:tcW w:type="dxa" w:w="3117"/>
          </w:tcPr>
          <w:p>
            <w:r>
              <w:rPr>
                <w:b w:val="false"/>
                <w:bCs w:val="false"/>
              </w:rPr>
              <w:t xml:space="preserve">Client</w:t>
            </w:r>
          </w:p>
        </w:tc>
        <w:tc>
          <w:tcPr>
            <w:tcW w:type="dxa" w:w="6233"/>
          </w:tcPr>
          <w:p>
            <w:r>
              <w:rPr>
                <w:b w:val="false"/>
                <w:bCs w:val="false"/>
              </w:rPr>
              <w:t xml:space="preserve">SVR Indian Oil Service Station, Ponnur (IOCL Branch)</w:t>
            </w:r>
          </w:p>
        </w:tc>
      </w:tr>
    </w:tbl>
    <w:p>
      <w:pPr>
        <w:pStyle w:val="Heading1"/>
        <w:spacing w:after="150" w:before="300"/>
      </w:pPr>
      <w:r>
        <w:t xml:space="preserve">1. Project Context (CRAFT – Context)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1F4E78" w:val="clear"/>
          </w:tcPr>
          <w:p>
            <w:r>
              <w:rPr>
                <w:b/>
                <w:bCs/>
                <w:color w:val="FFFFFF"/>
              </w:rPr>
              <w:t xml:space="preserve">Item</w:t>
            </w:r>
          </w:p>
        </w:tc>
        <w:tc>
          <w:tcPr>
            <w:tcW w:type="dxa" w:w="6233"/>
            <w:shd w:fill="1F4E78" w:val="clear"/>
          </w:tcPr>
          <w:p>
            <w:r>
              <w:rPr>
                <w:b/>
                <w:bCs/>
                <w:color w:val="FFFFFF"/>
              </w:rPr>
              <w:t xml:space="preserve">Detail</w:t>
            </w:r>
          </w:p>
        </w:tc>
      </w:tr>
      <w:tr>
        <w:tc>
          <w:tcPr>
            <w:tcW w:type="dxa" w:w="3117"/>
          </w:tcPr>
          <w:p>
            <w:r>
              <w:rPr>
                <w:b w:val="false"/>
                <w:bCs w:val="false"/>
              </w:rPr>
              <w:t xml:space="preserve">Business Unit</w:t>
            </w:r>
          </w:p>
        </w:tc>
        <w:tc>
          <w:tcPr>
            <w:tcW w:type="dxa" w:w="6233"/>
          </w:tcPr>
          <w:p>
            <w:r>
              <w:rPr>
                <w:b w:val="false"/>
                <w:bCs w:val="false"/>
              </w:rPr>
              <w:t xml:space="preserve">SVR Indian Oil Service Station Ponnur Pvt Ltd</w:t>
            </w:r>
          </w:p>
        </w:tc>
      </w:tr>
      <w:tr>
        <w:tc>
          <w:tcPr>
            <w:tcW w:type="dxa" w:w="3117"/>
          </w:tcPr>
          <w:p>
            <w:r>
              <w:rPr>
                <w:b w:val="false"/>
                <w:bCs w:val="false"/>
              </w:rPr>
              <w:t xml:space="preserve">Purpose</w:t>
            </w:r>
          </w:p>
        </w:tc>
        <w:tc>
          <w:tcPr>
            <w:tcW w:type="dxa" w:w="6233"/>
          </w:tcPr>
          <w:p>
            <w:r>
              <w:rPr>
                <w:b w:val="false"/>
                <w:bCs w:val="false"/>
              </w:rPr>
              <w:t xml:space="preserve">Digitize the Daily Sales Report data entry process currently done on paper by pump sales men</w:t>
            </w:r>
          </w:p>
        </w:tc>
      </w:tr>
      <w:tr>
        <w:tc>
          <w:tcPr>
            <w:tcW w:type="dxa" w:w="3117"/>
          </w:tcPr>
          <w:p>
            <w:r>
              <w:rPr>
                <w:b w:val="false"/>
                <w:bCs w:val="false"/>
              </w:rPr>
              <w:t xml:space="preserve">Application Type</w:t>
            </w:r>
          </w:p>
        </w:tc>
        <w:tc>
          <w:tcPr>
            <w:tcW w:type="dxa" w:w="6233"/>
          </w:tcPr>
          <w:p>
            <w:r>
              <w:rPr>
                <w:b w:val="false"/>
                <w:bCs w:val="false"/>
              </w:rPr>
              <w:t xml:space="preserve">Desktop application (with browser-based UI shell)</w:t>
            </w:r>
          </w:p>
        </w:tc>
      </w:tr>
      <w:tr>
        <w:tc>
          <w:tcPr>
            <w:tcW w:type="dxa" w:w="3117"/>
          </w:tcPr>
          <w:p>
            <w:r>
              <w:rPr>
                <w:b w:val="false"/>
                <w:bCs w:val="false"/>
              </w:rPr>
              <w:t xml:space="preserve">Code Repository</w:t>
            </w:r>
          </w:p>
        </w:tc>
        <w:tc>
          <w:tcPr>
            <w:tcW w:type="dxa" w:w="6233"/>
          </w:tcPr>
          <w:p>
            <w:r>
              <w:rPr>
                <w:b w:val="false"/>
                <w:bCs w:val="false"/>
              </w:rPr>
              <w:t xml:space="preserve">https://github.com/Mithendra/IOCL_SVR</w:t>
            </w:r>
          </w:p>
        </w:tc>
      </w:tr>
      <w:tr>
        <w:tc>
          <w:tcPr>
            <w:tcW w:type="dxa" w:w="3117"/>
          </w:tcPr>
          <w:p>
            <w:r>
              <w:rPr>
                <w:b w:val="false"/>
                <w:bCs w:val="false"/>
              </w:rPr>
              <w:t xml:space="preserve">AI Assistant Global Config</w:t>
            </w:r>
          </w:p>
        </w:tc>
        <w:tc>
          <w:tcPr>
            <w:tcW w:type="dxa" w:w="6233"/>
          </w:tcPr>
          <w:p>
            <w:r>
              <w:rPr>
                <w:b w:val="false"/>
                <w:bCs w:val="false"/>
              </w:rPr>
              <w:t xml:space="preserve">CLAUDE.md at repo root — pin model preference to Claude Sonnet 5 (cost-effective) for all AI-assisted development in this repo</w:t>
            </w:r>
          </w:p>
        </w:tc>
      </w:tr>
    </w:tbl>
    <w:p>
      <w:pPr>
        <w:pStyle w:val="Heading1"/>
        <w:spacing w:after="150" w:before="300"/>
      </w:pPr>
      <w:r>
        <w:t xml:space="preserve">2. Roles (CRAFT – Role)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1F4E78" w:val="clear"/>
          </w:tcPr>
          <w:p>
            <w:r>
              <w:rPr>
                <w:b/>
                <w:bCs/>
                <w:color w:val="FFFFFF"/>
              </w:rPr>
              <w:t xml:space="preserve">Role</w:t>
            </w:r>
          </w:p>
        </w:tc>
        <w:tc>
          <w:tcPr>
            <w:tcW w:type="dxa" w:w="6233"/>
            <w:shd w:fill="1F4E78" w:val="clear"/>
          </w:tcPr>
          <w:p>
            <w:r>
              <w:rPr>
                <w:b/>
                <w:bCs/>
                <w:color w:val="FFFFFF"/>
              </w:rPr>
              <w:t xml:space="preserve">Permissions</w:t>
            </w:r>
          </w:p>
        </w:tc>
      </w:tr>
      <w:tr>
        <w:tc>
          <w:tcPr>
            <w:tcW w:type="dxa" w:w="3117"/>
          </w:tcPr>
          <w:p>
            <w:r>
              <w:rPr>
                <w:b w:val="false"/>
                <w:bCs w:val="false"/>
              </w:rPr>
              <w:t xml:space="preserve">Manager</w:t>
            </w:r>
          </w:p>
        </w:tc>
        <w:tc>
          <w:tcPr>
            <w:tcW w:type="dxa" w:w="6233"/>
          </w:tcPr>
          <w:p>
            <w:r>
              <w:rPr>
                <w:b w:val="false"/>
                <w:bCs w:val="false"/>
              </w:rPr>
              <w:t xml:space="preserve">Full access: create/edit/delete entries, manage users, view reports</w:t>
            </w:r>
          </w:p>
        </w:tc>
      </w:tr>
      <w:tr>
        <w:tc>
          <w:tcPr>
            <w:tcW w:type="dxa" w:w="3117"/>
          </w:tcPr>
          <w:p>
            <w:r>
              <w:rPr>
                <w:b w:val="false"/>
                <w:bCs w:val="false"/>
              </w:rPr>
              <w:t xml:space="preserve">Super User</w:t>
            </w:r>
          </w:p>
        </w:tc>
        <w:tc>
          <w:tcPr>
            <w:tcW w:type="dxa" w:w="6233"/>
          </w:tcPr>
          <w:p>
            <w:r>
              <w:rPr>
                <w:b w:val="false"/>
                <w:bCs w:val="false"/>
              </w:rPr>
              <w:t xml:space="preserve">CONFIRMED (2026-08-16): Super User is the Dealership Owner ONLY — not a general elevated-permission tier available to other staff. Has all Administrator privileges (manage users, configure system) plus elevated oversight; inherits every permission granted to the Administrator role. Also the ONLY role permitted to update Rate Master (Section 5.11) — Manager, Administrator, and Data Entry cannot change rates, even though Manager/Administrator otherwise have broad access elsewhere in the system</w:t>
            </w:r>
          </w:p>
        </w:tc>
      </w:tr>
      <w:tr>
        <w:tc>
          <w:tcPr>
            <w:tcW w:type="dxa" w:w="3117"/>
          </w:tcPr>
          <w:p>
            <w:r>
              <w:rPr>
                <w:b w:val="false"/>
                <w:bCs w:val="false"/>
              </w:rPr>
              <w:t xml:space="preserve">Administrator</w:t>
            </w:r>
          </w:p>
        </w:tc>
        <w:tc>
          <w:tcPr>
            <w:tcW w:type="dxa" w:w="6233"/>
          </w:tcPr>
          <w:p>
            <w:r>
              <w:rPr>
                <w:b w:val="false"/>
                <w:bCs w:val="false"/>
              </w:rPr>
              <w:t xml:space="preserve">Full access: manage users, configure system; cannot delete daily uploaded forms</w:t>
            </w:r>
          </w:p>
        </w:tc>
      </w:tr>
      <w:tr>
        <w:tc>
          <w:tcPr>
            <w:tcW w:type="dxa" w:w="3117"/>
          </w:tcPr>
          <w:p>
            <w:r>
              <w:rPr>
                <w:b w:val="false"/>
                <w:bCs w:val="false"/>
              </w:rPr>
              <w:t xml:space="preserve">Data Entry (Pump Sales Man)</w:t>
            </w:r>
          </w:p>
        </w:tc>
        <w:tc>
          <w:tcPr>
            <w:tcW w:type="dxa" w:w="6233"/>
          </w:tcPr>
          <w:p>
            <w:r>
              <w:rPr>
                <w:b w:val="false"/>
                <w:bCs w:val="false"/>
              </w:rPr>
              <w:t xml:space="preserve">Create/upload/edit own daily entries, print forms; cannot delete daily uploaded forms. CONFIRMED (2026-08-16) — form access explicitly restricted: Pump Sales Man (Data Entry) has access to ONLY the Daily Sales Entry form (Section 5.4). Explicitly NO ACCESS to Inventory Tracking (Section 5.10) — even though that module has no separate role restriction defined elsewhere, this closes that gap. By the same "Daily Sales Entry only" rule, Data Entry also has no access to Manage Users, Rate Master, Daily Trial Balance, or Old Credit Accounts (New Credit Entry / Record Repayment) — consistent with those already being Manager/Administrator/Super User-scoped elsewhere in this table, now stated as an explicit allow-list for Data Entry rather than left implicit</w:t>
            </w:r>
          </w:p>
        </w:tc>
      </w:tr>
    </w:tbl>
    <w:p>
      <w:pPr>
        <w:pStyle w:val="Heading2"/>
        <w:spacing w:after="120" w:before="240"/>
      </w:pPr>
      <w:r>
        <w:t xml:space="preserve">2.1 Role Structure Revised: 4 Roles Now Sales / Manager / Owner / Read Only (2026-08-29)</w:t>
      </w:r>
    </w:p>
    <w:p>
      <w:pPr>
        <w:spacing w:after="120"/>
      </w:pPr>
      <w:r>
        <w:rPr>
          <w:i/>
          <w:iCs/>
        </w:rPr>
        <w:t xml:space="preserve">CLIENT REVISED the role structure directly, resolving an ambiguity that had been building since "Supervisor" started appearing in access-restriction requests (Sections 5.33, 5.37) without ever being defined as one of the original 4 roles above. The original table (Super User / Manager / Administrator / Data Entry) is SUPERSEDED by this new structure: SALES (renames Data Entry / Pump Sales Man — the station-floor role with the most restricted access), MANAGER (unchanged), OWNER (renames Super User — the Dealership Owner), and READ ONLY (NEW — replaces Administrator, specifically for whoever performs verification checks: can view data across forms but cannot edit or save). Every "Supervisor" reference in this BRD from Sections 5.33 onward should be read as this new structure, not as a 5th role or as a synonym for Manager as previously assumed without confirmation.</w:t>
      </w:r>
    </w:p>
    <w:p>
      <w:pPr>
        <w:pStyle w:val="ListParagraph"/>
        <w:numPr>
          <w:ilvl w:val="0"/>
          <w:numId w:val="1"/>
        </w:numPr>
        <w:spacing w:after="60"/>
      </w:pPr>
      <w:r>
        <w:t xml:space="preserve">IMPORTANT DISTINCTION not present in the original role table: Read Only introduces a genuine three-tier access model (no access / view-only / full access) where the earlier access gates built for Employee Master and Credit/Remittance Master (Sections 5.33, 5.37) only supported two tiers (blocked / full access). Existing gates need review against this new tier -- addressed in the sections below, not assumed automatically compatible</w:t>
      </w:r>
    </w:p>
    <w:p>
      <w:pPr>
        <w:spacing w:after="120"/>
      </w:pPr>
      <w:r>
        <w:rPr>
          <w:i/>
          <w:iCs/>
        </w:rPr>
        <w:t xml:space="preserve">SIMPLIFIED, same day: client eliminated the Read Only role immediately after it was introduced -- CONFIRMED FINAL: only 3 roles -- Sales, Manager, Owner. Explicit reasoning given: this is a small-footprint application with roughly 10 end users total, and the added Read Only tier was making access control more complex than the application's actual scale warrants. The three-tier VIEW-vs-EDIT distinction built into Rate Master (Section 5.37) is KEPT as-is (Sales blocked, Manager view-only, Owner full edit) since it matches this form's own already-confirmed "Owner only" rule and required no further change -- only the separate Read Only role/option itself was removed from the dropdown and all related messaging. Employee Master and Credit/Remittance Master's existing two-tier gates (blocked/full-access, Sections 5.33, 5.37) are explicitly UNCHANGED and NOT extended to a three-tier model, per direct client instruction not to make further changes beyond this simplification.</w:t>
      </w:r>
    </w:p>
    <w:p>
      <w:pPr>
        <w:spacing w:after="120"/>
      </w:pPr>
      <w:r>
        <w:rPr>
          <w:i/>
          <w:iCs/>
        </w:rPr>
        <w:t xml:space="preserve">Rule: Only the Manager role can delete an uploaded/submitted daily sales form. Administrator and Data Entry roles are restricted from deletion to preserve daily audit integrity.</w:t>
      </w:r>
    </w:p>
    <w:p>
      <w:pPr>
        <w:pStyle w:val="Heading1"/>
        <w:spacing w:after="150" w:before="300"/>
      </w:pPr>
      <w:r>
        <w:t xml:space="preserve">3. Hardware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1F4E78" w:val="clear"/>
          </w:tcPr>
          <w:p>
            <w:r>
              <w:rPr>
                <w:b/>
                <w:bCs/>
                <w:color w:val="FFFFFF"/>
              </w:rPr>
              <w:t xml:space="preserve">Component</w:t>
            </w:r>
          </w:p>
        </w:tc>
        <w:tc>
          <w:tcPr>
            <w:tcW w:type="dxa" w:w="6233"/>
            <w:shd w:fill="1F4E78" w:val="clear"/>
          </w:tcPr>
          <w:p>
            <w:r>
              <w:rPr>
                <w:b/>
                <w:bCs/>
                <w:color w:val="FFFFFF"/>
              </w:rPr>
              <w:t xml:space="preserve">Specification</w:t>
            </w:r>
          </w:p>
        </w:tc>
      </w:tr>
      <w:tr>
        <w:tc>
          <w:tcPr>
            <w:tcW w:type="dxa" w:w="3117"/>
          </w:tcPr>
          <w:p>
            <w:r>
              <w:rPr>
                <w:b w:val="false"/>
                <w:bCs w:val="false"/>
              </w:rPr>
              <w:t xml:space="preserve">Storage</w:t>
            </w:r>
          </w:p>
        </w:tc>
        <w:tc>
          <w:tcPr>
            <w:tcW w:type="dxa" w:w="6233"/>
          </w:tcPr>
          <w:p>
            <w:r>
              <w:rPr>
                <w:b w:val="false"/>
                <w:bCs w:val="false"/>
              </w:rPr>
              <w:t xml:space="preserve">500 GB</w:t>
            </w:r>
          </w:p>
        </w:tc>
      </w:tr>
      <w:tr>
        <w:tc>
          <w:tcPr>
            <w:tcW w:type="dxa" w:w="3117"/>
          </w:tcPr>
          <w:p>
            <w:r>
              <w:rPr>
                <w:b w:val="false"/>
                <w:bCs w:val="false"/>
              </w:rPr>
              <w:t xml:space="preserve">Processor</w:t>
            </w:r>
          </w:p>
        </w:tc>
        <w:tc>
          <w:tcPr>
            <w:tcW w:type="dxa" w:w="6233"/>
          </w:tcPr>
          <w:p>
            <w:r>
              <w:rPr>
                <w:b w:val="false"/>
                <w:bCs w:val="false"/>
              </w:rPr>
              <w:t xml:space="preserve">Intel i7 (or better)</w:t>
            </w:r>
          </w:p>
        </w:tc>
      </w:tr>
      <w:tr>
        <w:tc>
          <w:tcPr>
            <w:tcW w:type="dxa" w:w="3117"/>
          </w:tcPr>
          <w:p>
            <w:r>
              <w:rPr>
                <w:b w:val="false"/>
                <w:bCs w:val="false"/>
              </w:rPr>
              <w:t xml:space="preserve">RAM</w:t>
            </w:r>
          </w:p>
        </w:tc>
        <w:tc>
          <w:tcPr>
            <w:tcW w:type="dxa" w:w="6233"/>
          </w:tcPr>
          <w:p>
            <w:r>
              <w:rPr>
                <w:b w:val="false"/>
                <w:bCs w:val="false"/>
              </w:rPr>
              <w:t xml:space="preserve">16 GB</w:t>
            </w:r>
          </w:p>
        </w:tc>
      </w:tr>
      <w:tr>
        <w:tc>
          <w:tcPr>
            <w:tcW w:type="dxa" w:w="3117"/>
          </w:tcPr>
          <w:p>
            <w:r>
              <w:rPr>
                <w:b w:val="false"/>
                <w:bCs w:val="false"/>
              </w:rPr>
              <w:t xml:space="preserve">Peripheral</w:t>
            </w:r>
          </w:p>
        </w:tc>
        <w:tc>
          <w:tcPr>
            <w:tcW w:type="dxa" w:w="6233"/>
          </w:tcPr>
          <w:p>
            <w:r>
              <w:rPr>
                <w:b w:val="false"/>
                <w:bCs w:val="false"/>
              </w:rPr>
              <w:t xml:space="preserve">Attached printer (for printing entry forms and scanning handwritten copies)</w:t>
            </w:r>
          </w:p>
        </w:tc>
      </w:tr>
      <w:tr>
        <w:tc>
          <w:tcPr>
            <w:tcW w:type="dxa" w:w="3117"/>
          </w:tcPr>
          <w:p>
            <w:r>
              <w:rPr>
                <w:b w:val="false"/>
                <w:bCs w:val="false"/>
              </w:rPr>
              <w:t xml:space="preserve">External Storage Drive</w:t>
            </w:r>
          </w:p>
        </w:tc>
        <w:tc>
          <w:tcPr>
            <w:tcW w:type="dxa" w:w="6233"/>
          </w:tcPr>
          <w:p>
            <w:r>
              <w:rPr>
                <w:b w:val="false"/>
                <w:bCs w:val="false"/>
              </w:rPr>
              <w:t xml:space="preserve">Attached external drive for daily database backups (see Section 4.3 — Data Retention &amp; Backup Policy)</w:t>
            </w:r>
          </w:p>
        </w:tc>
      </w:tr>
      <w:tr>
        <w:tc>
          <w:tcPr>
            <w:tcW w:type="dxa" w:w="3117"/>
          </w:tcPr>
          <w:p>
            <w:r>
              <w:rPr>
                <w:b w:val="false"/>
                <w:bCs w:val="false"/>
              </w:rPr>
              <w:t xml:space="preserve">Fuel Dispensing Pumps</w:t>
            </w:r>
          </w:p>
        </w:tc>
        <w:tc>
          <w:tcPr>
            <w:tcW w:type="dxa" w:w="6233"/>
          </w:tcPr>
          <w:p>
            <w:r>
              <w:rPr>
                <w:b w:val="false"/>
                <w:bCs w:val="false"/>
              </w:rPr>
              <w:t xml:space="preserve">CONFIRMED: station has a maximum of 4 physical pumps, arranged as 2 dispensing machines — each machine has one Diesel (HS) pump and one Petrol (MS) pump</w:t>
            </w:r>
          </w:p>
        </w:tc>
      </w:tr>
    </w:tbl>
    <w:p>
      <w:pPr>
        <w:pStyle w:val="Heading1"/>
        <w:spacing w:after="150" w:before="300"/>
      </w:pPr>
      <w:r>
        <w:t xml:space="preserve">4. Software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1F4E78" w:val="clear"/>
          </w:tcPr>
          <w:p>
            <w:r>
              <w:rPr>
                <w:b/>
                <w:bCs/>
                <w:color w:val="FFFFFF"/>
              </w:rPr>
              <w:t xml:space="preserve">Layer</w:t>
            </w:r>
          </w:p>
        </w:tc>
        <w:tc>
          <w:tcPr>
            <w:tcW w:type="dxa" w:w="6233"/>
            <w:shd w:fill="1F4E78" w:val="clear"/>
          </w:tcPr>
          <w:p>
            <w:r>
              <w:rPr>
                <w:b/>
                <w:bCs/>
                <w:color w:val="FFFFFF"/>
              </w:rPr>
              <w:t xml:space="preserve">Technology</w:t>
            </w:r>
          </w:p>
        </w:tc>
      </w:tr>
      <w:tr>
        <w:tc>
          <w:tcPr>
            <w:tcW w:type="dxa" w:w="3117"/>
          </w:tcPr>
          <w:p>
            <w:r>
              <w:rPr>
                <w:b w:val="false"/>
                <w:bCs w:val="false"/>
              </w:rPr>
              <w:t xml:space="preserve">Backend / Database</w:t>
            </w:r>
          </w:p>
        </w:tc>
        <w:tc>
          <w:tcPr>
            <w:tcW w:type="dxa" w:w="6233"/>
          </w:tcPr>
          <w:p>
            <w:r>
              <w:rPr>
                <w:b w:val="false"/>
                <w:bCs w:val="false"/>
              </w:rPr>
              <w:t xml:space="preserve">SQLite</w:t>
            </w:r>
          </w:p>
        </w:tc>
      </w:tr>
      <w:tr>
        <w:tc>
          <w:tcPr>
            <w:tcW w:type="dxa" w:w="3117"/>
          </w:tcPr>
          <w:p>
            <w:r>
              <w:rPr>
                <w:b w:val="false"/>
                <w:bCs w:val="false"/>
              </w:rPr>
              <w:t xml:space="preserve">Database Indexing</w:t>
            </w:r>
          </w:p>
        </w:tc>
        <w:tc>
          <w:tcPr>
            <w:tcW w:type="dxa" w:w="6233"/>
          </w:tcPr>
          <w:p>
            <w:r>
              <w:rPr>
                <w:b w:val="false"/>
                <w:bCs w:val="false"/>
              </w:rPr>
              <w:t xml:space="preserve">CONFIRMED — proper indexes must be created on the SQLite database (e.g. on date, user/role, and form-type columns used for lookups and reports) to keep queries performant as records accumulate over the 1-year retention window (Section 4.3)</w:t>
            </w:r>
          </w:p>
        </w:tc>
      </w:tr>
      <w:tr>
        <w:tc>
          <w:tcPr>
            <w:tcW w:type="dxa" w:w="3117"/>
          </w:tcPr>
          <w:p>
            <w:r>
              <w:rPr>
                <w:b w:val="false"/>
                <w:bCs w:val="false"/>
              </w:rPr>
              <w:t xml:space="preserve">Application Coding</w:t>
            </w:r>
          </w:p>
        </w:tc>
        <w:tc>
          <w:tcPr>
            <w:tcW w:type="dxa" w:w="6233"/>
          </w:tcPr>
          <w:p>
            <w:r>
              <w:rPr>
                <w:b w:val="false"/>
                <w:bCs w:val="false"/>
              </w:rPr>
              <w:t xml:space="preserve">CONFIRMED — Python (application/business logic layer)</w:t>
            </w:r>
          </w:p>
        </w:tc>
      </w:tr>
      <w:tr>
        <w:tc>
          <w:tcPr>
            <w:tcW w:type="dxa" w:w="3117"/>
          </w:tcPr>
          <w:p>
            <w:r>
              <w:rPr>
                <w:b w:val="false"/>
                <w:bCs w:val="false"/>
              </w:rPr>
              <w:t xml:space="preserve">Frontend</w:t>
            </w:r>
          </w:p>
        </w:tc>
        <w:tc>
          <w:tcPr>
            <w:tcW w:type="dxa" w:w="6233"/>
          </w:tcPr>
          <w:p>
            <w:r>
              <w:rPr>
                <w:b w:val="false"/>
                <w:bCs w:val="false"/>
              </w:rPr>
              <w:t xml:space="preserve">CONFIRMED — ElectronJS (desktop UI framework, replaces the earlier "optional local HTML/Chrome-based UI shell" direction)</w:t>
            </w:r>
          </w:p>
        </w:tc>
      </w:tr>
      <w:tr>
        <w:tc>
          <w:tcPr>
            <w:tcW w:type="dxa" w:w="3117"/>
          </w:tcPr>
          <w:p>
            <w:r>
              <w:rPr>
                <w:b w:val="false"/>
                <w:bCs w:val="false"/>
              </w:rPr>
              <w:t xml:space="preserve">OCR Engine</w:t>
            </w:r>
          </w:p>
        </w:tc>
        <w:tc>
          <w:tcPr>
            <w:tcW w:type="dxa" w:w="6233"/>
          </w:tcPr>
          <w:p>
            <w:r>
              <w:rPr>
                <w:b w:val="false"/>
                <w:bCs w:val="false"/>
              </w:rPr>
              <w:t xml:space="preserve">CONFIRMED — Tesseract OCR (open-source); no change from Section 9 — restated here so the OCR engine is visible in Software Requirements rather than only in Open Items. See Section 9 for the handwriting-accuracy caveat and human-review recommendation</w:t>
            </w:r>
          </w:p>
        </w:tc>
      </w:tr>
      <w:tr>
        <w:tc>
          <w:tcPr>
            <w:tcW w:type="dxa" w:w="3117"/>
          </w:tcPr>
          <w:p>
            <w:r>
              <w:rPr>
                <w:b w:val="false"/>
                <w:bCs w:val="false"/>
              </w:rPr>
              <w:t xml:space="preserve">Desktop Icon</w:t>
            </w:r>
          </w:p>
        </w:tc>
        <w:tc>
          <w:tcPr>
            <w:tcW w:type="dxa" w:w="6233"/>
          </w:tcPr>
          <w:p>
            <w:r>
              <w:rPr>
                <w:b w:val="false"/>
                <w:bCs w:val="false"/>
              </w:rPr>
              <w:t xml:space="preserve">Yes — launches application via desktop shortcut or local HTML page in Chrome</w:t>
            </w:r>
          </w:p>
        </w:tc>
      </w:tr>
      <w:tr>
        <w:tc>
          <w:tcPr>
            <w:tcW w:type="dxa" w:w="3117"/>
          </w:tcPr>
          <w:p>
            <w:r>
              <w:rPr>
                <w:b w:val="false"/>
                <w:bCs w:val="false"/>
              </w:rPr>
              <w:t xml:space="preserve">Email Integration</w:t>
            </w:r>
          </w:p>
        </w:tc>
        <w:tc>
          <w:tcPr>
            <w:tcW w:type="dxa" w:w="6233"/>
          </w:tcPr>
          <w:p>
            <w:r>
              <w:rPr>
                <w:b w:val="false"/>
                <w:bCs w:val="false"/>
              </w:rPr>
              <w:t xml:space="preserve">CONFIRMED — required for daily email delivery of the Trial Balance Report to management (Section 5.8); exact service/provider (SMTP relay, SendGrid, or similar) to be selected in the design phase</w:t>
            </w:r>
          </w:p>
        </w:tc>
      </w:tr>
      <w:tr>
        <w:tc>
          <w:tcPr>
            <w:tcW w:type="dxa" w:w="3117"/>
          </w:tcPr>
          <w:p>
            <w:r>
              <w:rPr>
                <w:b w:val="false"/>
                <w:bCs w:val="false"/>
              </w:rPr>
              <w:t xml:space="preserve">Service Auto-Start &amp; Logging</w:t>
            </w:r>
          </w:p>
        </w:tc>
        <w:tc>
          <w:tcPr>
            <w:tcW w:type="dxa" w:w="6233"/>
          </w:tcPr>
          <w:p>
            <w:r>
              <w:rPr>
                <w:b w:val="false"/>
                <w:bCs w:val="false"/>
              </w:rPr>
              <w:t xml:space="preserve">CONFIRMED — this is a desktop/laptop small-business application. On machine startup, all application components must auto-start as Windows Services (via services.msc), not require manual launch. If any component service fails to start, each component must write to its own dedicated log file location (one log file per component, not a single shared log) so failures can be diagnosed per-component</w:t>
            </w:r>
          </w:p>
        </w:tc>
      </w:tr>
      <w:tr>
        <w:tc>
          <w:tcPr>
            <w:tcW w:type="dxa" w:w="3117"/>
          </w:tcPr>
          <w:p>
            <w:r>
              <w:rPr>
                <w:b w:val="false"/>
                <w:bCs w:val="false"/>
              </w:rPr>
              <w:t xml:space="preserve">Project Skills File</w:t>
            </w:r>
          </w:p>
        </w:tc>
        <w:tc>
          <w:tcPr>
            <w:tcW w:type="dxa" w:w="6233"/>
          </w:tcPr>
          <w:p>
            <w:r>
              <w:rPr>
                <w:b w:val="false"/>
                <w:bCs w:val="false"/>
              </w:rPr>
              <w:t xml:space="preserve">CORRECTED to match Anthropic's Agent Skills standard (per "The Complete Guide to Building Skills for Claude"): a skill is a FOLDER (kebab-case name, e.g. skills/svr-daily-sales/), not a single file. Each skill folder contains: SKILL.md (required, exact filename, case-sensitive — NOT "SKILLS.md") with YAML frontmatter (name in kebab-case matching the folder, and a description stating both what the skill does and when to use it, under 1024 characters, no angle brackets); scripts/ (optional executable code); references/ (optional documentation, loaded only as needed); assets/ (optional templates/icons used in output). No README.md inside the skill folder — documentation goes in SKILL.md or references/. Keep SKILL.md itself under ~5,000 words, moving detail into references/ (progressive disclosure). This sits alongside the existing project-root CLAUDE.md (Section 1), which is a separate, valid concept for repo-wide AI-assistant configuration — CLAUDE.md is not a skill and does not need this folder structure</w:t>
            </w:r>
          </w:p>
        </w:tc>
      </w:tr>
      <w:tr>
        <w:tc>
          <w:tcPr>
            <w:tcW w:type="dxa" w:w="3117"/>
          </w:tcPr>
          <w:p>
            <w:r>
              <w:rPr>
                <w:b w:val="false"/>
                <w:bCs w:val="false"/>
              </w:rPr>
              <w:t xml:space="preserve">Open design question — Skills scope</w:t>
            </w:r>
          </w:p>
        </w:tc>
        <w:tc>
          <w:tcPr>
            <w:tcW w:type="dxa" w:w="6233"/>
          </w:tcPr>
          <w:p>
            <w:r>
              <w:rPr>
                <w:b w:val="false"/>
                <w:bCs w:val="false"/>
              </w:rPr>
              <w:t xml:space="preserve">Which specific workflows in this project warrant their own skill folder (e.g. a "daily-sales-entry" skill, a "trial-balance-reconciliation" skill) is not yet defined — to be scoped in the design phase, ideally using Anthropic's skill-creator tool to generate and validate the first draft of each</w:t>
            </w:r>
          </w:p>
        </w:tc>
      </w:tr>
    </w:tbl>
    <w:p>
      <w:pPr>
        <w:pStyle w:val="Heading2"/>
        <w:spacing w:after="120" w:before="240"/>
      </w:pPr>
      <w:r>
        <w:t xml:space="preserve">4.1 Environment Setup (Bootstrap Requirements)</w:t>
      </w:r>
    </w:p>
    <w:p>
      <w:pPr>
        <w:pStyle w:val="ListParagraph"/>
        <w:numPr>
          <w:ilvl w:val="0"/>
          <w:numId w:val="1"/>
        </w:numPr>
        <w:spacing w:after="60"/>
      </w:pPr>
      <w:r>
        <w:t xml:space="preserve">On first run, check and install Python if not already present</w:t>
      </w:r>
    </w:p>
    <w:p>
      <w:pPr>
        <w:pStyle w:val="ListParagraph"/>
        <w:numPr>
          <w:ilvl w:val="0"/>
          <w:numId w:val="1"/>
        </w:numPr>
        <w:spacing w:after="60"/>
      </w:pPr>
      <w:r>
        <w:t xml:space="preserve">On first run, check and install SQLite if not already present</w:t>
      </w:r>
    </w:p>
    <w:p>
      <w:pPr>
        <w:pStyle w:val="ListParagraph"/>
        <w:numPr>
          <w:ilvl w:val="0"/>
          <w:numId w:val="1"/>
        </w:numPr>
        <w:spacing w:after="60"/>
      </w:pPr>
      <w:r>
        <w:t xml:space="preserve">On system restart, Python service and SQLite service must auto-start (run as background/startup services by default)</w:t>
      </w:r>
    </w:p>
    <w:p>
      <w:pPr>
        <w:pStyle w:val="ListParagraph"/>
        <w:numPr>
          <w:ilvl w:val="0"/>
          <w:numId w:val="1"/>
        </w:numPr>
        <w:spacing w:after="60"/>
      </w:pPr>
      <w:r>
        <w:t xml:space="preserve">CONFIRMED — on desktop/laptop startup, ALL application components (Python backend, SQLite, ElectronJS frontend, email integration, any other service) must auto-start via Windows Services (services.msc) — not left to manual launch or a login-script workaround</w:t>
      </w:r>
    </w:p>
    <w:p>
      <w:pPr>
        <w:pStyle w:val="ListParagraph"/>
        <w:numPr>
          <w:ilvl w:val="0"/>
          <w:numId w:val="1"/>
        </w:numPr>
        <w:spacing w:after="60"/>
      </w:pPr>
      <w:r>
        <w:t xml:space="preserve">CONFIRMED — if any component service fails to start, that failure must be captured in a dedicated log file location specific to that component (one log file per component), so a failed component can be diagnosed without digging through a shared/mixed log</w:t>
      </w:r>
    </w:p>
    <w:p>
      <w:pPr>
        <w:pStyle w:val="Heading2"/>
        <w:spacing w:after="120" w:before="240"/>
      </w:pPr>
      <w:r>
        <w:t xml:space="preserve">4.2 CI/CD Considerations</w:t>
      </w:r>
    </w:p>
    <w:p>
      <w:pPr>
        <w:pStyle w:val="ListParagraph"/>
        <w:numPr>
          <w:ilvl w:val="0"/>
          <w:numId w:val="1"/>
        </w:numPr>
        <w:spacing w:after="60"/>
      </w:pPr>
      <w:r>
        <w:t xml:space="preserve">Source-controlled in GitHub repo (SVR)</w:t>
      </w:r>
    </w:p>
    <w:p>
      <w:pPr>
        <w:pStyle w:val="ListParagraph"/>
        <w:numPr>
          <w:ilvl w:val="0"/>
          <w:numId w:val="1"/>
        </w:numPr>
        <w:spacing w:after="60"/>
      </w:pPr>
      <w:r>
        <w:t xml:space="preserve">Recommend GitHub Actions pipeline for: lint/test on push, packaging the Python app into a single Windows .exe installer (bundling Python + SQLite — confirmed strategy, see Section 9), and versioned releases; builds run on the GitHub-hosted windows-latest runner (confirmed, see Section 9)</w:t>
      </w:r>
    </w:p>
    <w:p>
      <w:pPr>
        <w:pStyle w:val="ListParagraph"/>
        <w:numPr>
          <w:ilvl w:val="0"/>
          <w:numId w:val="1"/>
        </w:numPr>
        <w:spacing w:after="60"/>
      </w:pPr>
      <w:r>
        <w:t xml:space="preserve">CER (Correctness, Efficiency, Reliability) checks: automated tests for data entry validation, DB read/write integrity, and service auto-restart behavior</w:t>
      </w:r>
    </w:p>
    <w:p>
      <w:pPr>
        <w:pStyle w:val="Heading2"/>
        <w:spacing w:after="120" w:before="240"/>
      </w:pPr>
      <w:r>
        <w:t xml:space="preserve">4.3 Data Retention &amp; Backup Policy</w:t>
      </w:r>
    </w:p>
    <w:p>
      <w:pPr>
        <w:pStyle w:val="ListParagraph"/>
        <w:numPr>
          <w:ilvl w:val="0"/>
          <w:numId w:val="1"/>
        </w:numPr>
        <w:spacing w:after="60"/>
      </w:pPr>
      <w:r>
        <w:t xml:space="preserve">CONFIRMED — Data volume: Daily Sales data entry is a small dataset (a handful of records per shift, up to two per day), so no special scaling or archival infrastructure is required</w:t>
      </w:r>
    </w:p>
    <w:p>
      <w:pPr>
        <w:pStyle w:val="ListParagraph"/>
        <w:numPr>
          <w:ilvl w:val="0"/>
          <w:numId w:val="1"/>
        </w:numPr>
        <w:spacing w:after="60"/>
      </w:pPr>
      <w:r>
        <w:t xml:space="preserve">CONFIRMED — Backup schedule: a daily backup of the SQLite database is taken and written to an attached external storage drive</w:t>
      </w:r>
    </w:p>
    <w:p>
      <w:pPr>
        <w:pStyle w:val="ListParagraph"/>
        <w:numPr>
          <w:ilvl w:val="0"/>
          <w:numId w:val="1"/>
        </w:numPr>
        <w:spacing w:after="60"/>
      </w:pPr>
      <w:r>
        <w:t xml:space="preserve">CONFIRMED — Retention period: data is retained for a maximum of 1 year; records older than 1 year may be purged or archived off the primary system</w:t>
      </w:r>
    </w:p>
    <w:p>
      <w:pPr>
        <w:pStyle w:val="ListParagraph"/>
        <w:numPr>
          <w:ilvl w:val="0"/>
          <w:numId w:val="1"/>
        </w:numPr>
        <w:spacing w:after="60"/>
      </w:pPr>
      <w:r>
        <w:t xml:space="preserve">Design-phase note: the external storage drive should be added as a listed peripheral in Section 3 (Hardware Requirements), and the daily backup job should be included alongside the auto-start services described in Section 4.1</w:t>
      </w:r>
    </w:p>
    <w:p>
      <w:pPr>
        <w:pStyle w:val="Heading2"/>
        <w:spacing w:after="120" w:before="240"/>
      </w:pPr>
      <w:r>
        <w:t xml:space="preserve">4.4 External Source Documents</w:t>
      </w:r>
    </w:p>
    <w:p>
      <w:pPr>
        <w:spacing w:after="120"/>
      </w:pPr>
      <w:r>
        <w:rPr>
          <w:i/>
          <w:iCs/>
        </w:rPr>
        <w:t xml:space="preserve">CONFIRMED: several sections across the Daily Sales Report and Daily Trial Balance Module are not self-contained — their values are reconciled against three external statements that arrive outside the system. These are inputs the reconciling user (pump sales man / manager) checks the on-screen or paper totals against, not files the system currently ingests automatically.</w:t>
      </w:r>
    </w:p>
    <w:p>
      <w:pPr>
        <w:pStyle w:val="ListParagraph"/>
        <w:numPr>
          <w:ilvl w:val="0"/>
          <w:numId w:val="1"/>
        </w:numPr>
        <w:spacing w:after="60"/>
      </w:pPr>
      <w:r>
        <w:t xml:space="preserve">Indian Bank Daily Statement — reconciles the Bank Balance (Indian Bank) figure in the Daily Sales Report / Trial Balance Cash &amp; Bank Reconciliation (Sections 5.4.1 and 5.8)</w:t>
      </w:r>
    </w:p>
    <w:p>
      <w:pPr>
        <w:pStyle w:val="ListParagraph"/>
        <w:numPr>
          <w:ilvl w:val="0"/>
          <w:numId w:val="1"/>
        </w:numPr>
        <w:spacing w:after="60"/>
      </w:pPr>
      <w:r>
        <w:t xml:space="preserve">Indian Oil Corporation Limited (IOC) Account Statement Report — reconciles the IOC / Credit Card entries in the Daily Sales Report's expense/credit-card block (Section 5.4.1) and the Fleet Card Balance section of the Trial Balance (Section 5.8)</w:t>
      </w:r>
    </w:p>
    <w:p>
      <w:pPr>
        <w:pStyle w:val="ListParagraph"/>
        <w:numPr>
          <w:ilvl w:val="0"/>
          <w:numId w:val="1"/>
        </w:numPr>
        <w:spacing w:after="60"/>
      </w:pPr>
      <w:r>
        <w:t xml:space="preserve">Yes Bank Daily Statement — reconciles the Bank Balance (Yes Bank / QR code amount) figure in the same Cash &amp; Bank Reconciliation sections</w:t>
      </w:r>
    </w:p>
    <w:p>
      <w:pPr>
        <w:pStyle w:val="ListParagraph"/>
        <w:numPr>
          <w:ilvl w:val="0"/>
          <w:numId w:val="1"/>
        </w:numPr>
        <w:spacing w:after="60"/>
      </w:pPr>
      <w:r>
        <w:t xml:space="preserve">CONFIRMED — File format: all three statements (Indian Bank Daily Statement, IOC Account Statement Report, Yes Bank Daily Statement) are PDF documents</w:t>
      </w:r>
    </w:p>
    <w:p>
      <w:pPr>
        <w:pStyle w:val="ListParagraph"/>
        <w:numPr>
          <w:ilvl w:val="0"/>
          <w:numId w:val="1"/>
        </w:numPr>
        <w:spacing w:after="60"/>
      </w:pPr>
      <w:r>
        <w:t xml:space="preserve">CONFIRMED — Direction: capture is feasible via the same Upload Mode pattern as the Daily Sales Report (Section 5.4) — the statement PDF is uploaded, the system extracts the relevant balance figure, and auto-fills the corresponding Trial Balance field (Bank balance Indian Bank / Yes Bank / IOC-Fleet Card), shown to the user for confirmation before it is saved, consistent with the human-review-before-save principle already applied to Daily Sales OCR (Section 9)</w:t>
      </w:r>
    </w:p>
    <w:p>
      <w:pPr>
        <w:pStyle w:val="ListParagraph"/>
        <w:numPr>
          <w:ilvl w:val="0"/>
          <w:numId w:val="1"/>
        </w:numPr>
        <w:spacing w:after="60"/>
      </w:pPr>
      <w:r>
        <w:t xml:space="preserve">CONFIRMED — Export type: all three statements are native digital PDF exports (not scanned images), so text-based extraction applies rather than OCR — this gives high extraction reliability, consistent with the Tesseract caveat in Section 9 that only applies to scanned/handwritten content</w:t>
      </w:r>
    </w:p>
    <w:p>
      <w:pPr>
        <w:pStyle w:val="ListParagraph"/>
        <w:numPr>
          <w:ilvl w:val="0"/>
          <w:numId w:val="1"/>
        </w:numPr>
        <w:spacing w:after="60"/>
      </w:pPr>
      <w:r>
        <w:t xml:space="preserve">CONFIRMED — Row mapping (from sample workbook GAS_STATION_-27-07-26.xlsx, consistent across every daily tab): Indian Bank Daily Statement → "Bank balance INDIAN BANK" row (Row 56 — verified correct by station); Yes Bank Daily Statement → "Bank balance YES BANK (QR CODE AMOUNT)" row (Row 57 — verified correct by station); IOC Account Statement Report → the "IOC" (Credit Card) row AND the Fleet Card rows ("Fleet card", "AIRTEL HARI", "NEW/Old Airttel Balance") — CONFIRMED: the "Airtel Fleet Card" labeling in the sample workbook refers to the same account as the IOC Account Statement Report, not a separate Airtel account; both should be sourced from the one IOC statement</w:t>
      </w:r>
    </w:p>
    <w:p>
      <w:pPr>
        <w:pStyle w:val="ListParagraph"/>
        <w:numPr>
          <w:ilvl w:val="0"/>
          <w:numId w:val="1"/>
        </w:numPr>
        <w:spacing w:after="60"/>
      </w:pPr>
      <w:r>
        <w:t xml:space="preserve">CONFIRMED — Entry mode: the system must support BOTH auto-fill on upload AND manual review/entry — not one or the other. Default flow: uploading the statement PDF auto-fills the extracted figure into the corresponding Trial Balance field; the user can review and override/correct that value before saving. The manual-entry path also remains available independently (entering or editing the figure directly without an upload), consistent with the Upload Mode / Manual Mode pattern already used for the Daily Sales Report (Section 5.4). CONFIRMED — Real-world usage: most of the time, all three fields (Indian Bank, IOC, Yes Bank) are entered MANUALLY rather than via PDF upload — manual entry is the predominant path in practice, not the exception. The digital system's Manual Mode for these three fields should therefore be the primary, well-supported flow, with PDF upload/auto-fill as a secondary convenience rather than the assumed default</w:t>
      </w:r>
    </w:p>
    <w:p>
      <w:pPr>
        <w:pStyle w:val="ListParagraph"/>
        <w:numPr>
          <w:ilvl w:val="0"/>
          <w:numId w:val="1"/>
        </w:numPr>
        <w:spacing w:after="60"/>
      </w:pPr>
      <w:r>
        <w:t xml:space="preserve">PENDING — Phone Pay settled vs. unsettled (awaiting client confirmation): per client, Phone Pay SETTLED amount is expected to be reflected in the Indian Bank Statement every day at 6:30 AM IST, so it should already be captured inside the "Bank balance INDIAN BANK" figure and does not need its own field. Only Phone Pay UNSETTLED amount is expected to appear in the Trial Balance Excel sheet as its own field. This matches the pattern seen in the sample workbook (Row 38 "Phone Pay UnSettled Amt" / Row 39 "Phone Pay Settled Amt — Already Reflects In Indian Bank Statement = 0"), but is marked PENDING rather than CONFIRMED until the client formally confirms the 6:30 AM IST timing and the settled-amount behavior</w:t>
      </w:r>
    </w:p>
    <w:p>
      <w:pPr>
        <w:pStyle w:val="ListParagraph"/>
        <w:numPr>
          <w:ilvl w:val="0"/>
          <w:numId w:val="1"/>
        </w:numPr>
        <w:spacing w:after="60"/>
      </w:pPr>
      <w:r>
        <w:t xml:space="preserve">CONFIRMED — Indian Bank field formula (from real sample statements, dated 27-Jul-2026): the Indian Bank account is an OVERDRAFT account, so the statement's ending balance is a drawn-down (DR) figure, not the usable balance directly. The Trial Balance "Bank balance INDIAN BANK" field = OD Limit − Statement Ending DR Balance, further adjusted for any blocked/uncleared amount. Verified example: OD Limit 1,800,000 − Ending DR Balance 1,354,103.79 = 445,896.21; the trial balance for that day recorded 432,530.00, a shortfall of 13,366.21 attributed to blocked/uncleared funds not reflected in the naive calculation. This means the digital system cannot simply extract "closing balance" from the PDF — it needs the station's OD Limit (not present in the statement itself, must be configured) and a blocked/uncleared adjustment as inputs to the formula</w:t>
      </w:r>
    </w:p>
    <w:p>
      <w:pPr>
        <w:pStyle w:val="ListParagraph"/>
        <w:numPr>
          <w:ilvl w:val="0"/>
          <w:numId w:val="1"/>
        </w:numPr>
        <w:spacing w:after="60"/>
      </w:pPr>
      <w:r>
        <w:t xml:space="preserve">CONFIRMED — IOC field mapping (verified from real sample statement): the IOC Account Statement Report's Closing Balance figure directly matches the Trial Balance's "Fleet card" cleared-amount field — sample statement Closing Balance Rs -188,501.27 vs. trial balance Fleet card field 188,501 for the same day, confirming a direct (absolute-value) pull, no formula needed</w:t>
      </w:r>
    </w:p>
    <w:p>
      <w:pPr>
        <w:pStyle w:val="ListParagraph"/>
        <w:numPr>
          <w:ilvl w:val="0"/>
          <w:numId w:val="1"/>
        </w:numPr>
        <w:spacing w:after="60"/>
      </w:pPr>
      <w:r>
        <w:t xml:space="preserve">CONFIRMED — Yes Bank field mapping (verified from real sample statement): the Yes Bank statement's Running Balance (last transaction) directly matches the Trial Balance's "Bank balance YES BANK (QR CODE AMOUNT)" field — sample Running Balance 686.50 vs. trial balance figure 686 for the same day, confirming a direct pull</w:t>
      </w:r>
    </w:p>
    <w:p>
      <w:pPr>
        <w:pStyle w:val="ListParagraph"/>
        <w:numPr>
          <w:ilvl w:val="0"/>
          <w:numId w:val="1"/>
        </w:numPr>
        <w:spacing w:after="60"/>
      </w:pPr>
      <w:r>
        <w:t xml:space="preserve">OPEN QUESTION raised by client: since the IOC Account Statement Report's Closing Balance already provides the reconciling "Fleet card" figure directly (confirmed above), the necessity of Section 5.8's separate "Fleet Card Balance Tracking" sub-section (New/Old Airtel Balance fields) is now in question — those two fields do not appear to derive from or map to anything in the IOC statement. To be confirmed with the station: what "New/Old Airtel Balance" actually tracks, and whether that sub-section should be removed/merged now that the IOC closing balance covers the reconciliation need</w:t>
      </w:r>
    </w:p>
    <w:p>
      <w:pPr>
        <w:pStyle w:val="ListParagraph"/>
        <w:numPr>
          <w:ilvl w:val="0"/>
          <w:numId w:val="1"/>
        </w:numPr>
        <w:spacing w:after="60"/>
      </w:pPr>
      <w:r>
        <w:t xml:space="preserve">CLOSED — sample PDFs received and verified for all three sources (Indian Bank, IOC, Yes Bank statements dated around 27-Jul-2026); field mappings and the Indian Bank OD formula above are derived from these real samples, not assumptions</w:t>
      </w:r>
    </w:p>
    <w:p>
      <w:pPr>
        <w:pStyle w:val="Heading2"/>
        <w:spacing w:after="120" w:before="240"/>
      </w:pPr>
      <w:r>
        <w:t xml:space="preserve">4.5 Testing / Test Cases</w:t>
      </w:r>
    </w:p>
    <w:p>
      <w:pPr>
        <w:spacing w:after="120"/>
      </w:pPr>
      <w:r>
        <w:rPr>
          <w:i/>
          <w:iCs/>
        </w:rPr>
        <w:t xml:space="preserve">CONFIRMED: formal test cases are required for this application, covering both automated (CI/CD, Section 4.2) and manual/scenario-based testing.</w:t>
      </w:r>
    </w:p>
    <w:p>
      <w:pPr>
        <w:pStyle w:val="ListParagraph"/>
        <w:numPr>
          <w:ilvl w:val="0"/>
          <w:numId w:val="1"/>
        </w:numPr>
        <w:spacing w:after="60"/>
      </w:pPr>
      <w:r>
        <w:t xml:space="preserve">OCR / Upload Mode test cases: the real handwriting scenarios already catalogued in Section 8 (scratch-work in cells, hand corrections/overwrites, free-text in structured fields, orphan/non-reconciling totals, missing totals, pre-printed toggle corrections, fully empty repeating sections) should be converted into formal, repeatable test cases against the Tesseract OCR pipeline</w:t>
      </w:r>
    </w:p>
    <w:p>
      <w:pPr>
        <w:pStyle w:val="ListParagraph"/>
        <w:numPr>
          <w:ilvl w:val="0"/>
          <w:numId w:val="1"/>
        </w:numPr>
        <w:spacing w:after="60"/>
      </w:pPr>
      <w:r>
        <w:t xml:space="preserve">Service reliability test cases: verify each application component (Python backend, SQLite, ElectronJS frontend, email integration) auto-starts correctly via Windows Services on startup, and that a forced failure of each component correctly writes to its own dedicated log file (Section 4)</w:t>
      </w:r>
    </w:p>
    <w:p>
      <w:pPr>
        <w:pStyle w:val="ListParagraph"/>
        <w:numPr>
          <w:ilvl w:val="0"/>
          <w:numId w:val="1"/>
        </w:numPr>
        <w:spacing w:after="60"/>
      </w:pPr>
      <w:r>
        <w:t xml:space="preserve">Data entry / reconciliation test cases: Daily Sales Data Entry (Section 5.4.1), Old Credit Accounts (Section 5.9), and Daily Trial Balance (Section 5.8) field validation, including the confirmed Indian Bank OD formula (Section 4.4) and the Phone Pay settled/unsettled behavior (pending confirmation, Section 4.4/5.8)</w:t>
      </w:r>
    </w:p>
    <w:p>
      <w:pPr>
        <w:pStyle w:val="ListParagraph"/>
        <w:numPr>
          <w:ilvl w:val="0"/>
          <w:numId w:val="1"/>
        </w:numPr>
        <w:spacing w:after="60"/>
      </w:pPr>
      <w:r>
        <w:t xml:space="preserve">Report/email test cases: verify the Daily Trial Balance Report (Section 5.8) and Daily/Weekly/Monthly Sales Reports (Section 5.7) generate correctly and, where applicable, send via email as designed</w:t>
      </w:r>
    </w:p>
    <w:p>
      <w:pPr>
        <w:pStyle w:val="ListParagraph"/>
        <w:numPr>
          <w:ilvl w:val="0"/>
          <w:numId w:val="1"/>
        </w:numPr>
        <w:spacing w:after="60"/>
      </w:pPr>
      <w:r>
        <w:t xml:space="preserve">Open design question: exact test framework/tooling (e.g. pytest for Python backend, a UI test tool for ElectronJS), and whether test cases are tracked in the GitHub repo (https://github.com/Mithendra/IOCL_SVR) alongside the CI/CD pipeline (Section 4.2) — to be confirmed in the design phase</w:t>
      </w:r>
    </w:p>
    <w:p>
      <w:pPr>
        <w:pStyle w:val="Heading2"/>
        <w:spacing w:after="120" w:before="240"/>
      </w:pPr>
      <w:r>
        <w:t xml:space="preserve">4.8 Remaining Pre-Development Items Resolved (2026-08-29)</w:t>
      </w:r>
    </w:p>
    <w:p>
      <w:pPr>
        <w:pStyle w:val="Heading3"/>
        <w:spacing w:after="100" w:before="180"/>
      </w:pPr>
      <w:r>
        <w:t xml:space="preserve">Cross-browser testing: RESOLVED, not needed</w:t>
      </w:r>
    </w:p>
    <w:p>
      <w:pPr>
        <w:pStyle w:val="ListParagraph"/>
        <w:numPr>
          <w:ilvl w:val="0"/>
          <w:numId w:val="1"/>
        </w:numPr>
        <w:spacing w:after="60"/>
      </w:pPr>
      <w:r>
        <w:t xml:space="preserve">CLIENT CONFIRMED: real Firefox/Safari testing is not needed for this application. Given the confirmed ElectronJS desktop architecture (Section 4), the application does not run in a general-purpose browser in production anyway -- this closes an item that could not have been tested in this environment regardless (Chromium was the only engine available)</w:t>
      </w:r>
    </w:p>
    <w:p>
      <w:pPr>
        <w:pStyle w:val="Heading3"/>
        <w:spacing w:after="100" w:before="180"/>
      </w:pPr>
      <w:r>
        <w:t xml:space="preserve">Test framework/tooling: RECOMMENDED, pending confirmation closer to development</w:t>
      </w:r>
    </w:p>
    <w:p>
      <w:pPr>
        <w:pStyle w:val="ListParagraph"/>
        <w:numPr>
          <w:ilvl w:val="0"/>
          <w:numId w:val="1"/>
        </w:numPr>
        <w:spacing w:after="60"/>
      </w:pPr>
      <w:r>
        <w:t xml:space="preserve">RECOMMENDED: pytest for the Python backend, Playwright for the ElectronJS UI -- the same tool used to test every HTML mockup throughout this entire BRD, so no new tooling needs to be learned by whoever picks up development. Not yet formally confirmed by the client as final -- offered as a low-friction default given the project's existing familiarity with Playwright, to be revisited if development tooling preferences differ once a developer is assigned</w:t>
      </w:r>
    </w:p>
    <w:p>
      <w:pPr>
        <w:pStyle w:val="Heading3"/>
        <w:spacing w:after="100" w:before="180"/>
      </w:pPr>
      <w:r>
        <w:t xml:space="preserve">Lower-risk BRD sections never directly diffed against HTML: RESOLVED, accepted as-is</w:t>
      </w:r>
    </w:p>
    <w:p>
      <w:pPr>
        <w:pStyle w:val="ListParagraph"/>
        <w:numPr>
          <w:ilvl w:val="0"/>
          <w:numId w:val="1"/>
        </w:numPr>
        <w:spacing w:after="60"/>
      </w:pPr>
      <w:r>
        <w:t xml:space="preserve">CLIENT CONFIRMED: acceptable as-is. The ~15 lower-risk sections (UI text, historical decisions) were never as high-priority as the formula-bearing sections already fully checked (Section 5.31) -- this closes the item rather than leaving it open indefinitely</w:t>
      </w:r>
    </w:p>
    <w:p>
      <w:pPr>
        <w:pStyle w:val="Heading3"/>
        <w:spacing w:after="100" w:before="180"/>
      </w:pPr>
      <w:r>
        <w:t xml:space="preserve">Tesseract OCR installer bundling: RESOLVED</w:t>
      </w:r>
    </w:p>
    <w:p>
      <w:pPr>
        <w:pStyle w:val="ListParagraph"/>
        <w:numPr>
          <w:ilvl w:val="0"/>
          <w:numId w:val="1"/>
        </w:numPr>
        <w:spacing w:after="60"/>
      </w:pPr>
      <w:r>
        <w:t xml:space="preserve">CLIENT CONFIRMED: bundle Tesseract into the single installer alongside Python, SQLite, and the ElectronJS frontend, given this does not add meaningful complexity -- Tesseract's own installers are straightforward to script into an installer build (e.g. via electron-builder's post-install hooks or a bundled portable Tesseract distribution). This resolves the open item flagged in the Software Install Guide (Section 5.22) -- Scan/Upload will work immediately after installation, with no separate setup step required</w:t>
      </w:r>
    </w:p>
    <w:p>
      <w:pPr>
        <w:pStyle w:val="Heading3"/>
        <w:spacing w:after="100" w:before="180"/>
      </w:pPr>
      <w:r>
        <w:t xml:space="preserve">Windows Service names: RESOLVED, 3 services (not 4)</w:t>
      </w:r>
    </w:p>
    <w:p>
      <w:pPr>
        <w:pStyle w:val="ListParagraph"/>
        <w:numPr>
          <w:ilvl w:val="0"/>
          <w:numId w:val="1"/>
        </w:numPr>
        <w:spacing w:after="60"/>
      </w:pPr>
      <w:r>
        <w:t xml:space="preserve">CONFIRMED FINAL: 3 Windows Services -- "SVR-IOCL Backend Service" (Python -- business logic, calculations, AND all SQLite access, since SQLite is a file accessed in-process rather than a separate server needing its own service), "SVR-IOCL Frontend Service" (ElectronJS desktop UI), and "SVR-IOCL Scheduler Service" (the 23:59 IST daily carry-forward job). Tesseract OCR does NOT get its own service -- it is a library the Backend Service calls on demand when Scan/Upload is used, not a continuously-running background process needing to auto-start. This matches and confirms the earlier tentative proposal in the Software Install Guide (Section 5.22) rather than changing it -- a 4th "SQLite service" and separate "Tesseract service" were considered and explicitly rejected as technically unnecessary, consistent with the client's explicit direction to keep this small-footprint application (~10 end users) simple rather than over-engineered</w:t>
      </w:r>
    </w:p>
    <w:p>
      <w:pPr>
        <w:pStyle w:val="Heading3"/>
        <w:spacing w:after="100" w:before="180"/>
      </w:pPr>
      <w:r>
        <w:t xml:space="preserve">Excel export format fidelity: RESOLVED</w:t>
      </w:r>
    </w:p>
    <w:p>
      <w:pPr>
        <w:pStyle w:val="ListParagraph"/>
        <w:numPr>
          <w:ilvl w:val="0"/>
          <w:numId w:val="1"/>
        </w:numPr>
        <w:spacing w:after="60"/>
      </w:pPr>
      <w:r>
        <w:t xml:space="preserve">CLIENT CONFIRMED: structured data export is sufficient -- does not need to visually replicate the paper form's exact layout (e.g. SVR_Gas_Station_Daily_Sales_Report_Aug23_Stock_Updated.pdf). A sample of that PDF's layout was offered as a reference point if closer visual fidelity is ever wanted later, but is not required for the confirmed scope</w:t>
      </w:r>
    </w:p>
    <w:p>
      <w:pPr>
        <w:pStyle w:val="Heading2"/>
        <w:spacing w:after="120" w:before="240"/>
      </w:pPr>
      <w:r>
        <w:t xml:space="preserve">4.6 Software Install Instructions &amp; Log File Locations</w:t>
      </w:r>
    </w:p>
    <w:p>
      <w:pPr>
        <w:spacing w:after="120"/>
      </w:pPr>
      <w:r>
        <w:rPr>
          <w:i/>
          <w:iCs/>
        </w:rPr>
        <w:t xml:space="preserve">NEW (2026-08-17): step-by-step desktop install guidance and per-component log file locations, building on the technology stack and Windows Services auto-start requirement already confirmed in Section 4. Exact paths and service names below are PROPOSED, following standard Windows conventions -- not yet implemented, pending confirmation in the design phase.</w:t>
      </w:r>
    </w:p>
    <w:p>
      <w:pPr>
        <w:pStyle w:val="Heading3"/>
        <w:spacing w:after="100" w:before="180"/>
      </w:pPr>
      <w:r>
        <w:t xml:space="preserve">Prerequisite Software</w:t>
      </w:r>
    </w:p>
    <w:p>
      <w:pPr>
        <w:pStyle w:val="ListParagraph"/>
        <w:numPr>
          <w:ilvl w:val="0"/>
          <w:numId w:val="1"/>
        </w:numPr>
        <w:spacing w:after="60"/>
      </w:pPr>
      <w:r>
        <w:t xml:space="preserve">End-user desktop (the station's PC): Windows 10/11 (64-bit). CONFIRMED (Section 4.2): the application ships as a single packaged Windows .exe installer bundling Python + SQLite + the ElectronJS frontend -- the end user does NOT separately install Python, Node.js, or SQLite; the installer handles this, consistent with Section 4.1's "on first run, check and install Python/SQLite if not already present" requirement</w:t>
      </w:r>
    </w:p>
    <w:p>
      <w:pPr>
        <w:pStyle w:val="ListParagraph"/>
        <w:numPr>
          <w:ilvl w:val="0"/>
          <w:numId w:val="1"/>
        </w:numPr>
        <w:spacing w:after="60"/>
      </w:pPr>
      <w:r>
        <w:t xml:space="preserve">Development/build machine only (not needed on the end-user PC): Python 3.x (exact version to be confirmed), Node.js + npm (to build the ElectronJS frontend), Git (source control, Section 4.2's GitHub repo at github.com/Mithendra/IOCL_SVR), and an Electron packaging tool (e.g. electron-builder) to produce the single .exe installer</w:t>
      </w:r>
    </w:p>
    <w:p>
      <w:pPr>
        <w:pStyle w:val="Heading3"/>
        <w:spacing w:after="100" w:before="180"/>
      </w:pPr>
      <w:r>
        <w:t xml:space="preserve">Desktop Install Steps (End User)</w:t>
      </w:r>
    </w:p>
    <w:p>
      <w:pPr>
        <w:pStyle w:val="ListParagraph"/>
        <w:numPr>
          <w:ilvl w:val="0"/>
          <w:numId w:val="3"/>
        </w:numPr>
        <w:spacing w:after="60"/>
      </w:pPr>
      <w:r>
        <w:t xml:space="preserve">Obtain the installer .exe (from the GitHub Actions release build, Section 4.2, or a distributed copy)</w:t>
      </w:r>
    </w:p>
    <w:p>
      <w:pPr>
        <w:pStyle w:val="ListParagraph"/>
        <w:numPr>
          <w:ilvl w:val="0"/>
          <w:numId w:val="3"/>
        </w:numPr>
        <w:spacing w:after="60"/>
      </w:pPr>
      <w:r>
        <w:t xml:space="preserve">Run the installer AS ADMINISTRATOR -- required because registering Windows Services (services.msc) needs elevated privileges</w:t>
      </w:r>
    </w:p>
    <w:p>
      <w:pPr>
        <w:pStyle w:val="ListParagraph"/>
        <w:numPr>
          <w:ilvl w:val="0"/>
          <w:numId w:val="3"/>
        </w:numPr>
        <w:spacing w:after="60"/>
      </w:pPr>
      <w:r>
        <w:t xml:space="preserve">Installer installs application files, creates the SQLite database file (first run) and the log directory structure below, then registers each component as a Windows Service with Automatic startup type</w:t>
      </w:r>
    </w:p>
    <w:p>
      <w:pPr>
        <w:pStyle w:val="ListParagraph"/>
        <w:numPr>
          <w:ilvl w:val="0"/>
          <w:numId w:val="3"/>
        </w:numPr>
        <w:spacing w:after="60"/>
      </w:pPr>
      <w:r>
        <w:t xml:space="preserve">On completion, all components should already be running -- CONFIRMED (Section 4): every component auto-starts on system startup afterward via Windows Services, no manual launch needed on subsequent restarts</w:t>
      </w:r>
    </w:p>
    <w:p>
      <w:pPr>
        <w:pStyle w:val="Heading3"/>
        <w:spacing w:after="100" w:before="180"/>
      </w:pPr>
      <w:r>
        <w:t xml:space="preserve">Manually Verifying Services (services.msc)</w:t>
      </w:r>
    </w:p>
    <w:p>
      <w:pPr>
        <w:pStyle w:val="ListParagraph"/>
        <w:numPr>
          <w:ilvl w:val="0"/>
          <w:numId w:val="4"/>
        </w:numPr>
        <w:spacing w:after="60"/>
      </w:pPr>
      <w:r>
        <w:t xml:space="preserve">Press Win+R, type services.msc, press Enter</w:t>
      </w:r>
    </w:p>
    <w:p>
      <w:pPr>
        <w:pStyle w:val="ListParagraph"/>
        <w:numPr>
          <w:ilvl w:val="0"/>
          <w:numId w:val="4"/>
        </w:numPr>
        <w:spacing w:after="60"/>
      </w:pPr>
      <w:r>
        <w:t xml:space="preserve">Locate the SVR-IOCL service entries (proposed naming: "SVR-IOCL Backend Service", "SVR-IOCL Frontend Service", "SVR-IOCL Scheduler Service" -- exact names to be finalized in design)</w:t>
      </w:r>
    </w:p>
    <w:p>
      <w:pPr>
        <w:pStyle w:val="ListParagraph"/>
        <w:numPr>
          <w:ilvl w:val="0"/>
          <w:numId w:val="4"/>
        </w:numPr>
        <w:spacing w:after="60"/>
      </w:pPr>
      <w:r>
        <w:t xml:space="preserve">Right-click then Properties shows Status (Running/Stopped) and Startup Type (should read Automatic) -- this confirms whether a component is UP, but does not show log content</w:t>
      </w:r>
    </w:p>
    <w:p>
      <w:pPr>
        <w:pStyle w:val="ListParagraph"/>
        <w:numPr>
          <w:ilvl w:val="0"/>
          <w:numId w:val="4"/>
        </w:numPr>
        <w:spacing w:after="60"/>
      </w:pPr>
      <w:r>
        <w:t xml:space="preserve">If a service shows Stopped or fails to start, open that component's dedicated log file (below) for the failure reason -- CONFIRMED (Section 4): each component logs to its OWN file, not a shared/mixed log</w:t>
      </w:r>
    </w:p>
    <w:p>
      <w:pPr>
        <w:pStyle w:val="Heading3"/>
        <w:spacing w:after="100" w:before="180"/>
      </w:pPr>
      <w:r>
        <w:t xml:space="preserve">Log File Locations (proposed, one per component)</w:t>
      </w:r>
    </w:p>
    <w:p>
      <w:pPr>
        <w:pStyle w:val="ListParagraph"/>
        <w:numPr>
          <w:ilvl w:val="0"/>
          <w:numId w:val="1"/>
        </w:numPr>
        <w:spacing w:after="60"/>
      </w:pPr>
      <w:r>
        <w:t xml:space="preserve">Python backend service: C:\ProgramData\SVR-IOCL\logs\backend-service.log</w:t>
      </w:r>
    </w:p>
    <w:p>
      <w:pPr>
        <w:pStyle w:val="ListParagraph"/>
        <w:numPr>
          <w:ilvl w:val="0"/>
          <w:numId w:val="1"/>
        </w:numPr>
        <w:spacing w:after="60"/>
      </w:pPr>
      <w:r>
        <w:t xml:space="preserve">SQLite / database layer: C:\ProgramData\SVR-IOCL\logs\database.log</w:t>
      </w:r>
    </w:p>
    <w:p>
      <w:pPr>
        <w:pStyle w:val="ListParagraph"/>
        <w:numPr>
          <w:ilvl w:val="0"/>
          <w:numId w:val="1"/>
        </w:numPr>
        <w:spacing w:after="60"/>
      </w:pPr>
      <w:r>
        <w:t xml:space="preserve">ElectronJS frontend: C:\ProgramData\SVR-IOCL\logs\frontend.log</w:t>
      </w:r>
    </w:p>
    <w:p>
      <w:pPr>
        <w:pStyle w:val="ListParagraph"/>
        <w:numPr>
          <w:ilvl w:val="0"/>
          <w:numId w:val="1"/>
        </w:numPr>
        <w:spacing w:after="60"/>
      </w:pPr>
      <w:r>
        <w:t xml:space="preserve">Scheduled job (23:59 IST auto-carry-forward, Section 5.4.1): C:\ProgramData\SVR-IOCL\logs\scheduler.log</w:t>
      </w:r>
    </w:p>
    <w:p>
      <w:pPr>
        <w:pStyle w:val="ListParagraph"/>
        <w:numPr>
          <w:ilvl w:val="0"/>
          <w:numId w:val="1"/>
        </w:numPr>
        <w:spacing w:after="60"/>
      </w:pPr>
      <w:r>
        <w:t xml:space="preserve">Email integration (Section 4, password reset and report delivery): C:\ProgramData\SVR-IOCL\logs\email-integration.log</w:t>
      </w:r>
    </w:p>
    <w:p>
      <w:pPr>
        <w:pStyle w:val="ListParagraph"/>
        <w:numPr>
          <w:ilvl w:val="0"/>
          <w:numId w:val="1"/>
        </w:numPr>
        <w:spacing w:after="60"/>
      </w:pPr>
      <w:r>
        <w:t xml:space="preserve">OCR / Tesseract processing (Section 5.4 Scan/Upload): C:\ProgramData\SVR-IOCL\logs\ocr-processing.log</w:t>
      </w:r>
    </w:p>
    <w:p>
      <w:pPr>
        <w:pStyle w:val="ListParagraph"/>
        <w:numPr>
          <w:ilvl w:val="0"/>
          <w:numId w:val="1"/>
        </w:numPr>
        <w:spacing w:after="60"/>
      </w:pPr>
      <w:r>
        <w:t xml:space="preserve">C:\ProgramData is used rather than a per-user folder because these run as system-level Windows Services, not tied to whichever Windows user happens to be logged in -- accessible regardless of which staff member is signed in on that shift</w:t>
      </w:r>
    </w:p>
    <w:p>
      <w:pPr>
        <w:pStyle w:val="Heading3"/>
        <w:spacing w:after="100" w:before="180"/>
      </w:pPr>
      <w:r>
        <w:t xml:space="preserve">Open Design Questions</w:t>
      </w:r>
    </w:p>
    <w:p>
      <w:pPr>
        <w:pStyle w:val="ListParagraph"/>
        <w:numPr>
          <w:ilvl w:val="0"/>
          <w:numId w:val="1"/>
        </w:numPr>
        <w:spacing w:after="60"/>
      </w:pPr>
      <w:r>
        <w:t xml:space="preserve">Whether these log files should follow the same 1-year retention policy already confirmed for application data (Section 4.3), or a shorter rotation given logs are typically higher-volume and lower-value long-term than transaction records</w:t>
      </w:r>
    </w:p>
    <w:p>
      <w:pPr>
        <w:pStyle w:val="ListParagraph"/>
        <w:numPr>
          <w:ilvl w:val="0"/>
          <w:numId w:val="1"/>
        </w:numPr>
        <w:spacing w:after="60"/>
      </w:pPr>
      <w:r>
        <w:t xml:space="preserve">Exact Windows Service names, the SQLite database file's own path, and whether ElectronJS runs as a true Windows Service or a startup application launched differently (Electron apps are more commonly configured as user-session startup items than true background services) -- not yet confirmed, to be settled in the design phase</w:t>
      </w:r>
    </w:p>
    <w:p>
      <w:pPr>
        <w:pStyle w:val="Heading2"/>
        <w:spacing w:after="120" w:before="240"/>
      </w:pPr>
      <w:r>
        <w:t xml:space="preserve">4.7 Development Process Recommendations: Claude Code Plan Mode &amp; CLAUDE.md (2026-08-27)</w:t>
      </w:r>
    </w:p>
    <w:p>
      <w:pPr>
        <w:spacing w:after="120"/>
      </w:pPr>
      <w:r>
        <w:rPr>
          <w:i/>
          <w:iCs/>
        </w:rPr>
        <w:t xml:space="preserve">Recommendations for whoever performs the actual development work on this project, given its scale and the number of interlinked formula chains discovered across this BRD. Sourced from Anthropic's official Claude Code documentation (code.claude.com/docs/en/memory, docs.anthropic.com/en/docs/claude-code/memory), not assumed from general knowledge.</w:t>
      </w:r>
    </w:p>
    <w:p>
      <w:pPr>
        <w:pStyle w:val="Heading3"/>
        <w:spacing w:after="100" w:before="180"/>
      </w:pPr>
      <w:r>
        <w:t xml:space="preserve">Plan Mode recommended for multi-file or architecturally significant changes</w:t>
      </w:r>
    </w:p>
    <w:p>
      <w:pPr>
        <w:pStyle w:val="ListParagraph"/>
        <w:numPr>
          <w:ilvl w:val="0"/>
          <w:numId w:val="1"/>
        </w:numPr>
        <w:spacing w:after="60"/>
      </w:pPr>
      <w:r>
        <w:t xml:space="preserve">Plan Mode is a read-only permission mode in Claude Code — Claude reads files, searches the codebase, and asks clarifying questions, but cannot edit code, write files, or run shell commands until a plan is reviewed and approved. RECOMMENDED for this project specifically: given the number of shared formula dependencies discovered across sessions (e.g. Section 1's Daily Testing deduction affecting Margin/Margin Total/Total Sale Amt; Oil Sales feeding both Trial Balance Section 2.6 and Section 1's "2T Sales"), a wrong edit in one place can silently break calculations elsewhere. Plan Mode's review-before-execution step is well suited to catching this kind of dependency before it becomes a live bug, rather than after</w:t>
      </w:r>
    </w:p>
    <w:p>
      <w:pPr>
        <w:pStyle w:val="ListParagraph"/>
        <w:numPr>
          <w:ilvl w:val="0"/>
          <w:numId w:val="1"/>
        </w:numPr>
        <w:spacing w:after="60"/>
      </w:pPr>
      <w:r>
        <w:t xml:space="preserve">Suggested usage: default to Plan Mode for new features, formula changes, and anything touching more than 2-3 files; switch to normal execution mode only for small, well-scoped, single-file edits where the blast radius of a mistake is obviously contained</w:t>
      </w:r>
    </w:p>
    <w:p>
      <w:pPr>
        <w:pStyle w:val="Heading3"/>
        <w:spacing w:after="100" w:before="180"/>
      </w:pPr>
      <w:r>
        <w:t xml:space="preserve">CLAUDE.md recommended at project level</w:t>
      </w:r>
    </w:p>
    <w:p>
      <w:pPr>
        <w:pStyle w:val="ListParagraph"/>
        <w:numPr>
          <w:ilvl w:val="0"/>
          <w:numId w:val="1"/>
        </w:numPr>
        <w:spacing w:after="60"/>
      </w:pPr>
      <w:r>
        <w:t xml:space="preserve">Claude Code supports four memory scopes: Enterprise (organization-wide, IT/DevOps-managed), Project (./CLAUDE.md, team-shared via source control), User (personal, across all of a developer's projects), and nested subdirectory-level files for module-specific instructions. RECOMMENDED for this project: a single project-level CLAUDE.md as the primary file, since this is one codebase with conventions every development session needs regardless of which form or module is being touched — e.g. the confirmed formula patterns (Sell Rate vs Buy Rate usage, the 23:59 IST carry-forward mechanism), the honest-demo pattern used for every backend-dependent feature (Save, cross-form sync buttons, OCR), and the requirement that every text/formula change be verified against real source data before being called correct. Module-level nested files are not recommended as a starting point — if the project later splits into genuinely distinct modules with their own separate conventions, nested files could layer on top of the project-level file at that point, but starting there risks fragmenting conventions that currently apply project-wide</w:t>
      </w:r>
    </w:p>
    <w:p>
      <w:pPr>
        <w:pStyle w:val="ListParagraph"/>
        <w:numPr>
          <w:ilvl w:val="0"/>
          <w:numId w:val="1"/>
        </w:numPr>
        <w:spacing w:after="60"/>
      </w:pPr>
      <w:r>
        <w:t xml:space="preserve">Per Anthropic's guidance, CLAUDE.md should stay concise (roughly under 200 lines) — it should capture facts and conventions Claude cannot derive from the codebase itself (rationale, pitfalls, non-obvious conventions), not directory listings or dependency lists the tool can already see</w:t>
      </w:r>
    </w:p>
    <w:p>
      <w:pPr>
        <w:pStyle w:val="Heading1"/>
        <w:spacing w:after="150" w:before="300"/>
      </w:pPr>
      <w:r>
        <w:t xml:space="preserve">5. Functional Requirements (CRAFT – Action)</w:t>
      </w:r>
    </w:p>
    <w:p>
      <w:pPr>
        <w:pStyle w:val="Heading2"/>
        <w:spacing w:after="120" w:before="240"/>
      </w:pPr>
      <w:r>
        <w:t xml:space="preserve">5.1 Authentication</w:t>
      </w:r>
    </w:p>
    <w:p>
      <w:pPr>
        <w:pStyle w:val="ListParagraph"/>
        <w:numPr>
          <w:ilvl w:val="0"/>
          <w:numId w:val="1"/>
        </w:numPr>
        <w:spacing w:after="60"/>
      </w:pPr>
      <w:r>
        <w:t xml:space="preserve">Login screen (virtual URL / local login page)</w:t>
      </w:r>
    </w:p>
    <w:p>
      <w:pPr>
        <w:pStyle w:val="ListParagraph"/>
        <w:numPr>
          <w:ilvl w:val="0"/>
          <w:numId w:val="1"/>
        </w:numPr>
        <w:spacing w:after="60"/>
      </w:pPr>
      <w:r>
        <w:t xml:space="preserve">Role-based access control (Manager / Administrator / Super User / Data Entry)</w:t>
      </w:r>
    </w:p>
    <w:p>
      <w:pPr>
        <w:pStyle w:val="ListParagraph"/>
        <w:numPr>
          <w:ilvl w:val="0"/>
          <w:numId w:val="1"/>
        </w:numPr>
        <w:spacing w:after="60"/>
      </w:pPr>
      <w:r>
        <w:t xml:space="preserve">CONFIRMED — Login identity: every user has their own personal email address on file (e.g. mithendra.pamulapati@gmail.com), from which a system-generated Login Name is derived — first initial + last name (e.g. "mpamulapati"). The email is used for account recovery/notifications; the Login Name is used to sign in</w:t>
      </w:r>
    </w:p>
    <w:p>
      <w:pPr>
        <w:pStyle w:val="ListParagraph"/>
        <w:numPr>
          <w:ilvl w:val="0"/>
          <w:numId w:val="1"/>
        </w:numPr>
        <w:spacing w:after="60"/>
      </w:pPr>
      <w:r>
        <w:t xml:space="preserve">CONFIRMED — Forgot Password / Password Reset: handled via email confirmation — a reset link is sent to the user's registered email address</w:t>
      </w:r>
    </w:p>
    <w:p>
      <w:pPr>
        <w:pStyle w:val="ListParagraph"/>
        <w:numPr>
          <w:ilvl w:val="0"/>
          <w:numId w:val="1"/>
        </w:numPr>
        <w:spacing w:after="60"/>
      </w:pPr>
      <w:r>
        <w:t xml:space="preserve">CONFIRMED — OTP (One-Time Password) is the recommended verification model for login/password reset, consistent with common practice in India; OTP can be delivered via email (SMS OTP would require a paid SMS gateway/telecom integration, to be evaluated in the design phase if needed)</w:t>
      </w:r>
    </w:p>
    <w:p>
      <w:pPr>
        <w:pStyle w:val="Heading2"/>
        <w:spacing w:after="120" w:before="240"/>
      </w:pPr>
      <w:r>
        <w:t xml:space="preserve">5.2 Home Page</w:t>
      </w:r>
    </w:p>
    <w:p>
      <w:pPr>
        <w:pStyle w:val="ListParagraph"/>
        <w:numPr>
          <w:ilvl w:val="0"/>
          <w:numId w:val="1"/>
        </w:numPr>
        <w:spacing w:after="60"/>
      </w:pPr>
      <w:r>
        <w:t xml:space="preserve">Branding: "SVR Indian Oil Service Station Ponnur Pvt Ltd"</w:t>
      </w:r>
    </w:p>
    <w:p>
      <w:pPr>
        <w:pStyle w:val="ListParagraph"/>
        <w:numPr>
          <w:ilvl w:val="0"/>
          <w:numId w:val="1"/>
        </w:numPr>
        <w:spacing w:after="60"/>
      </w:pPr>
      <w:r>
        <w:t xml:space="preserve">Landing page navigation with two primary tabs: Daily Sales and Manage Users</w:t>
      </w:r>
    </w:p>
    <w:p>
      <w:pPr>
        <w:pStyle w:val="ListParagraph"/>
        <w:numPr>
          <w:ilvl w:val="0"/>
          <w:numId w:val="1"/>
        </w:numPr>
        <w:spacing w:after="60"/>
      </w:pPr>
      <w:r>
        <w:t xml:space="preserve">Daily Sales tab: entry point to the Daily Sales Data Entry Module (Upload Mode / Manual Mode)</w:t>
      </w:r>
    </w:p>
    <w:p>
      <w:pPr>
        <w:pStyle w:val="ListParagraph"/>
        <w:numPr>
          <w:ilvl w:val="0"/>
          <w:numId w:val="1"/>
        </w:numPr>
        <w:spacing w:after="60"/>
      </w:pPr>
      <w:r>
        <w:t xml:space="preserve">Manage Users tab: entry point to the Manage Users Module (visible to Manager, Administrator &amp; Super User only)</w:t>
      </w:r>
    </w:p>
    <w:p>
      <w:pPr>
        <w:pStyle w:val="Heading2"/>
        <w:spacing w:after="120" w:before="240"/>
      </w:pPr>
      <w:r>
        <w:t xml:space="preserve">5.3 Manage Users Module</w:t>
      </w:r>
    </w:p>
    <w:p>
      <w:pPr>
        <w:pStyle w:val="ListParagraph"/>
        <w:numPr>
          <w:ilvl w:val="0"/>
          <w:numId w:val="1"/>
        </w:numPr>
        <w:spacing w:after="60"/>
      </w:pPr>
      <w:r>
        <w:t xml:space="preserve">Fields: Name, Email Address, Cell Phone Number, Login Name (auto-generated: first initial + last name, e.g. "mpamulapati" — editable if a collision occurs), Role</w:t>
      </w:r>
    </w:p>
    <w:p>
      <w:pPr>
        <w:pStyle w:val="ListParagraph"/>
        <w:numPr>
          <w:ilvl w:val="0"/>
          <w:numId w:val="1"/>
        </w:numPr>
        <w:spacing w:after="60"/>
      </w:pPr>
      <w:r>
        <w:t xml:space="preserve">Add / edit / view users (Manager, Administrator &amp; Super User only)</w:t>
      </w:r>
    </w:p>
    <w:p>
      <w:pPr>
        <w:pStyle w:val="ListParagraph"/>
        <w:numPr>
          <w:ilvl w:val="0"/>
          <w:numId w:val="1"/>
        </w:numPr>
        <w:spacing w:after="60"/>
      </w:pPr>
      <w:r>
        <w:t xml:space="preserve">CONFIRMED (2026-08-16) — admin-initiated Reset Password: the Manage Users form has a "Reset Password" action available per user in the User List, in addition to the self-service Forgot Password flow already confirmed in Section 5.1. Triggering it sends the SAME email-confirmation reset link described in Section 5.1 to that user's registered email — this action never displays, sets, or transmits an actual password value in the UI; it only triggers the secure link-based flow. Two cases this covers: (1) a NEWLY created user — rather than an admin choosing or knowing an initial password, Reset Password is used immediately after account creation so the new user sets their own password via the emailed link; (2) an EXISTING user who needs a reset (forgotten password, suspected compromise, etc.) — the admin can trigger it on the user's behalf without needing the user to first click Forgot Password themselves from the login screen</w:t>
      </w:r>
    </w:p>
    <w:p>
      <w:pPr>
        <w:pStyle w:val="Heading2"/>
        <w:spacing w:after="120" w:before="240"/>
      </w:pPr>
      <w:r>
        <w:t xml:space="preserve">5.4 Daily Sales Data Entry Module</w:t>
      </w:r>
    </w:p>
    <w:p>
      <w:pPr>
        <w:spacing w:after="120"/>
      </w:pPr>
      <w:r>
        <w:t xml:space="preserve">Each shift can have a maximum of two Daily Sales (pump sales man) people, and each person submits their own, separate Daily Sales form for that shift — the system must support up to two independent submissions per shift, not one combined entry. CONFIRMED: this count is variable, not fixed at two — on some days only one pump sales man is on shift (e.g. when a pump is out of order), and on others a substitute/replacement worker covers for someone who is sick. The system must allow any registered Data Entry user to submit a form for a given shift, without requiring exactly two submissions to consider the shift complete.</w:t>
      </w:r>
    </w:p>
    <w:p>
      <w:pPr>
        <w:spacing w:after="120"/>
      </w:pPr>
      <w:r>
        <w:t xml:space="preserve">Data entry supports the following scenarios:</w:t>
      </w:r>
    </w:p>
    <w:p>
      <w:pPr>
        <w:pStyle w:val="ListParagraph"/>
        <w:numPr>
          <w:ilvl w:val="0"/>
          <w:numId w:val="2"/>
        </w:numPr>
        <w:spacing w:after="80"/>
      </w:pPr>
      <w:r>
        <w:t xml:space="preserve">Scenario 1 — Pre-printed blank form filled by hand: an empty Daily Sales form is printed in advance; each of the (up to two) pump sales men fills out their own hard copy by hand during/after the shift</w:t>
      </w:r>
    </w:p>
    <w:p>
      <w:pPr>
        <w:pStyle w:val="ListParagraph"/>
        <w:numPr>
          <w:ilvl w:val="0"/>
          <w:numId w:val="2"/>
        </w:numPr>
        <w:spacing w:after="80"/>
      </w:pPr>
      <w:r>
        <w:t xml:space="preserve">Scenario 2 — Upload Mode: the two filled hard-copy forms are scanned using the attached HP printer/scanner and uploaded to the system as JPG, PNG, or PDF files. CONFIRMED (2026-08-16): the Daily Sales Entry form has an explicit "Scan / Upload (OCR)" button, giving pump sales men a direct UI entry point into this scenario rather than requiring a separate menu/screen. RELOCATED (2026-08-16): originally placed in the form's header; moved to sit directly alongside "Import from Excel" and "Export to Excel" in the Sections 1–7 action bar (see Section 5.5.1), since all three are alternative ways of getting data into or out of the same Sections 1–7</w:t>
      </w:r>
    </w:p>
    <w:p>
      <w:pPr>
        <w:pStyle w:val="ListParagraph"/>
        <w:numPr>
          <w:ilvl w:val="0"/>
          <w:numId w:val="2"/>
        </w:numPr>
        <w:spacing w:after="80"/>
      </w:pPr>
      <w:r>
        <w:t xml:space="preserve">Scenario 3 — OCR conversion: once the scanned forms are uploaded, the system extracts (OCR/translates) the handwritten data from each of the two uploaded copies and converts it into two separate digital Daily Sales Entry records, one per submitting pump sales man</w:t>
      </w:r>
    </w:p>
    <w:p>
      <w:pPr>
        <w:pStyle w:val="ListParagraph"/>
        <w:numPr>
          <w:ilvl w:val="0"/>
          <w:numId w:val="2"/>
        </w:numPr>
        <w:spacing w:after="80"/>
      </w:pPr>
      <w:r>
        <w:t xml:space="preserve">CONFIRMED (2026-08-15) — three data-entry modes: (1) Manual Entry, (2) Scan/Upload via Tesseract OCR (Scenario 3 above), (3) Excel import (Section 5.5.1). All three converge on the same underlying record structure — auto-calculation and validation (below) apply regardless of which mode populated the data</w:t>
      </w:r>
    </w:p>
    <w:p>
      <w:pPr>
        <w:pStyle w:val="ListParagraph"/>
        <w:numPr>
          <w:ilvl w:val="0"/>
          <w:numId w:val="2"/>
        </w:numPr>
        <w:spacing w:after="80"/>
      </w:pPr>
      <w:r>
        <w:t xml:space="preserve">CONFIRMED — Auto-calculation, to the possible extent, on every mode: wherever a row's Amount is mathematically derivable from other entered fields on that same row (Quantity/Consumption × Rate), the digital form computes and displays it automatically rather than requiring manual entry — this applies to Gas Sale(s) (Consumption × Rate Per Pump), Oil Sale(s) (Quantity × Rate), Today New Credit(s) (In Ltrs × Rate), and each section's own Total Amt row (sum of that section's line items). Example verified: HS consumption 1317.52 × rate 105.36 = 138,813.9072 — the same multiply-and-sum pattern applies to every row and every section total, not just this one</w:t>
      </w:r>
    </w:p>
    <w:p>
      <w:pPr>
        <w:pStyle w:val="ListParagraph"/>
        <w:numPr>
          <w:ilvl w:val="0"/>
          <w:numId w:val="2"/>
        </w:numPr>
        <w:spacing w:after="80"/>
      </w:pPr>
      <w:r>
        <w:t xml:space="preserve">CONFIRMED — Post-OCR validation: once OCR (Scenario 3) populates a record, the system re-runs the same auto-calculation logic against the extracted values and flags any row where the OCR-read Amount does not match the recomputed value (Quantity/Consumption × Rate) — this catches both OCR misreads and inconsistent handwritten totals, surfaced to the human reviewer before final save (see Section 9's human-review recommendation) rather than silently accepting whatever number OCR extracted</w:t>
      </w:r>
    </w:p>
    <w:p>
      <w:pPr>
        <w:pStyle w:val="ListParagraph"/>
        <w:numPr>
          <w:ilvl w:val="0"/>
          <w:numId w:val="2"/>
        </w:numPr>
        <w:spacing w:after="80"/>
      </w:pPr>
      <w:r>
        <w:t xml:space="preserve">CONFIRMED — Daily Sales Report is the critical input to the Daily Trial Balance (Section 5.8): both of the day's Daily Sales Entry records must be finalized before that day's Trial Balance can be completed, since Trial Balance Sections 1 and 3 pull directly from this data (see Section 4's Data Normalization discussion for the shared-table design this depends on)</w:t>
      </w:r>
    </w:p>
    <w:p>
      <w:pPr>
        <w:pStyle w:val="ListParagraph"/>
        <w:numPr>
          <w:ilvl w:val="0"/>
          <w:numId w:val="2"/>
        </w:numPr>
        <w:spacing w:after="80"/>
      </w:pPr>
      <w:r>
        <w:t xml:space="preserve">CONFIRMED — new in-form Daily Summary section: once Gas Sale(s) and Oil Sale(s) are populated (by any of the three entry modes), the Daily Sales Entry form itself displays a rollup Daily Summary section — NOT a separate report, part of the same form — showing Total HS, Total MS, and each of the 5 Oil Sale(s) items (2T/1.20 ML Total#, 2T/2.40 ML Total#, Acid Water Total 1 Lts, Acid Water Total 5 Lts, 20/40 Engine Total in Lts), all auto-pulled/computed from that same form's own Section 1 and Section 2 — added as a new numbered section (8) after the existing Summary - Cash Hand Off (Section 7)</w:t>
      </w:r>
    </w:p>
    <w:p>
      <w:pPr>
        <w:pStyle w:val="ListParagraph"/>
        <w:numPr>
          <w:ilvl w:val="0"/>
          <w:numId w:val="2"/>
        </w:numPr>
        <w:spacing w:after="80"/>
      </w:pPr>
      <w:r>
        <w:t xml:space="preserve">Scenario 4 — Manual Mode: alternatively, a pump sales man enters their Daily Sales data directly into the on-screen form instead of using a paper form at all</w:t>
      </w:r>
    </w:p>
    <w:p>
      <w:pPr>
        <w:pStyle w:val="ListParagraph"/>
        <w:numPr>
          <w:ilvl w:val="0"/>
          <w:numId w:val="2"/>
        </w:numPr>
        <w:spacing w:after="80"/>
      </w:pPr>
      <w:r>
        <w:t xml:space="preserve">Scenario 5 — Print from system: when data is entered directly in the system (Scenario 4), the pump sales man must be able to print that entry directly to the attached printer, producing a hard copy of the submitted form on demand</w:t>
      </w:r>
    </w:p>
    <w:p>
      <w:pPr>
        <w:pStyle w:val="Heading2"/>
        <w:spacing w:after="120" w:before="240"/>
      </w:pPr>
      <w:r>
        <w:t xml:space="preserve">5.4.1 Confirmed Field Structure (from Sample Forms)</w:t>
      </w:r>
    </w:p>
    <w:p>
      <w:pPr>
        <w:spacing w:after="120"/>
      </w:pPr>
      <w:r>
        <w:rPr>
          <w:i/>
          <w:iCs/>
        </w:rPr>
        <w:t xml:space="preserve">Confirmed against two handwritten sample Daily Sales Reports (Pump/Road Front shift and Office Front shift, dated 29–30 Jul 2026). The digital form must reproduce every section and field below. RECONFIRMED (2026-08-15) against "SVR_Gas_Station_Daily_Sales_Report_Option1_Final_Edit.pdf": this single template is used identically for BOTH of the day's two Daily Sales Reports (one per pump sales man, per Section 5.4) — there are not two different form layouts, one shared blank template filled twice per day.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1F4E78" w:val="clear"/>
          </w:tcPr>
          <w:p>
            <w:r>
              <w:rPr>
                <w:b/>
                <w:bCs/>
                <w:color w:val="FFFFFF"/>
              </w:rPr>
              <w:t xml:space="preserve">Section</w:t>
            </w:r>
          </w:p>
        </w:tc>
        <w:tc>
          <w:tcPr>
            <w:tcW w:type="dxa" w:w="6233"/>
            <w:shd w:fill="1F4E78" w:val="clear"/>
          </w:tcPr>
          <w:p>
            <w:r>
              <w:rPr>
                <w:b/>
                <w:bCs/>
                <w:color w:val="FFFFFF"/>
              </w:rPr>
              <w:t xml:space="preserve">Confirmed Fields / Columns</w:t>
            </w:r>
          </w:p>
        </w:tc>
      </w:tr>
      <w:tr>
        <w:tc>
          <w:tcPr>
            <w:tcW w:type="dxa" w:w="3117"/>
          </w:tcPr>
          <w:p>
            <w:r>
              <w:t xml:space="preserve">Header</w:t>
            </w:r>
          </w:p>
        </w:tc>
        <w:tc>
          <w:tcPr>
            <w:tcW w:type="dxa" w:w="6233"/>
          </w:tcPr>
          <w:p>
            <w:r>
              <w:t xml:space="preserve">Date, Name, Pump / Road Front / Office Front, Shift (Day / Night). FLAGGED (2026-08-15) — the "Option1_Final_Edit" PDF shows a restructured header: "Dt:", "Pump: Off/Rd Front:", and "Name:" on two lines, with labels abbreviated. The Shift field does NOT appear anywhere in this version. This is NOT silently applied — needs client confirmation: is Shift intentionally removed (e.g. because tracking is now handled by which of the day's two reports is being filled, per Section 5.4), or was it dropped unintentionally in this edit? Until confirmed, Shift remains a required field in this BRD. RESOLVED (2026-08-23, client confirmed via the "Option1_Final_Aug23" PDF, which also drops Shift and additionally restructures the Pump field into "Pump Serial#"): Shift is intentionally removed, not an accidental drop. Header is now confirmed as Date, Name, and Pump Serial# only — no Shift field anywhere on the Daily Sales Entry form</w:t>
            </w:r>
          </w:p>
        </w:tc>
      </w:tr>
      <w:tr>
        <w:tc>
          <w:tcPr>
            <w:tcW w:type="dxa" w:w="3117"/>
          </w:tcPr>
          <w:p>
            <w:r>
              <w:t xml:space="preserve">Gas Sale(s)</w:t>
            </w:r>
          </w:p>
        </w:tc>
        <w:tc>
          <w:tcPr>
            <w:tcW w:type="dxa" w:w="6233"/>
          </w:tcPr>
          <w:p>
            <w:r>
              <w:t xml:space="preserve">Rows: Diesel (HS), Petrol (MS). Columns: Current Reading, Last Shift Reading, Cons[Last-Current], Rate, Amount; plus Total Amt row. CLIENT OVERRIDE (2026-08-16): column header changed from "Rate Per Pump" to "Rate" — this is a deliberate deviation from the literal Option1_Final_Edit paper form wording, per explicit client instruction, not a re-reading of the source document. CONFIRMED — Last Shift Reading auto-carry-forward: by default, each day's Current Reading becomes the next day's Last Shift Reading automatically, via a scheduled process at 23:59 IST — the pump sales man never manually enters Last Shift Reading for Diesel (HS) or Petrol (MS). CONFIRMED FEASIBLE (2026-08-16), given the confirmed technology stack (Section 4: Python backend, SQLite, ElectronJS frontend): the Python backend runs a scheduled job (e.g. via APScheduler or equivalent) inside the same always-on Windows Service already confirmed in Section 4 (Service Auto-Start), explicitly using the Asia/Kolkata timezone rather than the host machine's default timezone. At 23:59 IST it reads that day's Current Reading for Diesel/Petrol and writes it as the next day's Last Shift Reading directly in SQLite; the ElectronJS frontend does no scheduling itself, it simply displays whatever the backend has already written when the form is opened.</w:t>
            </w:r>
          </w:p>
          <w:p>
            <w:pPr>
              <w:pStyle w:val="ListParagraph"/>
              <w:numPr>
                <w:ilvl w:val="0"/>
                <w:numId w:val="1"/>
              </w:numPr>
              <w:spacing w:after="60"/>
            </w:pPr>
            <w:r>
              <w:t xml:space="preserve">OPEN QUESTIONS (2026-08-16) — three real edge cases in this design, not yet resolved: (1) Missed rollover — if the application/PC is not running at 23:59 IST (station closed, machine powered off overnight), the scheduled job will not fire; needs a "catch-up on startup" rule that checks whether today's carry-forward already ran and performs it on next app launch if not. (2) Gap days — if a pump had zero activity on a given day (e.g. out of service, no Daily Sales Report submitted), there is no Current Reading from that day to carry forward; the logic must skip back to the most recent day that actually has a value, not assume literally "yesterday." (3) Post-rollover corrections — if a manager edits a Current Reading AFTER the 23:59 rollover has already copied the old value forward, it is not yet decided whether the already-carried next-day Last Shift Reading should be corrected automatically or requires manual re-sync. To be confirmed with the client before this feature is built</w:t>
            </w:r>
          </w:p>
          <w:p>
            <w:pPr>
              <w:pStyle w:val="ListParagraph"/>
              <w:numPr>
                <w:ilvl w:val="0"/>
                <w:numId w:val="1"/>
              </w:numPr>
              <w:spacing w:after="60"/>
            </w:pPr>
            <w:r>
              <w:t xml:space="preserve">CONFIRMED — Rate auto-sourced from the new Rate Master module (Section 5.11), not manually entered on this form. UPDATED (2026-08-16): specifically Sell Rate HS (Diesel) and Sell Rate MS (Petrol) — Rate Master's Buy Rate HS/MS are NOT pulled here, since Buy Rate is what SVR pays IOCL, not what the customer pays at the pump. CONFIRMED — Amount recalculates the instant Current Reading is entered — since Last Shift Reading and Rate are both already populated by the time the pump sales man opens the form, Current Reading is effectively the only manual input needed to drive the full Gas Sale(s) calculation chain. Separately, for historical traceability: the column labels themselves were "Yesterday Reading" / "Diff [Yesterday−Current]" / "Rate"; the Aug 15, 2026 "Option1_Final_Edit" version REVERTS to the original wording confirmed here — "Last Shift Reading", "Cons[Last-Current]", and "Rate Per Pump" are the CURRENT confirmed labels. Same underlying meaning throughout, just terminology that changed twice. Note: with 4 physical pumps across 2 machines confirmed (see Section 3), the current sample forms show one combined Diesel row and one combined Petrol row per shift — to be confirmed in Design phase whether readings should be captured per physical pump/machine (4 rows) or kept aggregated as on the paper form (2 rows)</w:t>
            </w:r>
          </w:p>
        </w:tc>
      </w:tr>
      <w:tr>
        <w:tc>
          <w:tcPr>
            <w:tcW w:type="dxa" w:w="3117"/>
          </w:tcPr>
          <w:p>
            <w:r>
              <w:t xml:space="preserve">Oil Sale(s)</w:t>
            </w:r>
          </w:p>
        </w:tc>
        <w:tc>
          <w:tcPr>
            <w:tcW w:type="dxa" w:w="6233"/>
          </w:tcPr>
          <w:p>
            <w:r>
              <w:t xml:space="preserve">Rows: UPDATED (2026-08-15) — SPLIT from 3 combined rows to 5 separate SKU rows, matching the Inventory Tracking Module (Section 5.10): 2T/1.20 ML Total#, 2T/2.40 ML Total#, Acid Water Total 1 Lts, Acid Water Total 5 Lts, 20/40 Engine Total in Lts. This resolves the SKU granularity mismatch flagged as an open question in Section 5.10 — the Daily Sales Report now matches the Inventory module's 5-SKU structure rather than combining sizes into one row each. Columns unchanged: Quantity, Rate, Opening Stock, Closing Stock, Amount; plus Total Amt Oil(s) row. CONFIRMED (2026-08-16): Rate is auto-sourced from the Rate Master module (Section 5.11), not manually entered. Opening Stock is auto-sourced from the Inventory Tracking Module's (Section 5.10) current Closing Stock for that SKU; Closing Stock is computed as Opening Stock minus Quantity, and that computed value feeds back into Inventory Tracking as the new Closing Stock — this closes the loop between the two modules rather than each independently tracking stock. Only Quantity is manually entered per row; Amount recalculates automatically the instant Quantity is entered</w:t>
            </w:r>
          </w:p>
        </w:tc>
      </w:tr>
      <w:tr>
        <w:tc>
          <w:tcPr>
            <w:tcW w:type="dxa" w:w="3117"/>
          </w:tcPr>
          <w:p>
            <w:r>
              <w:t xml:space="preserve">Expenses</w:t>
            </w:r>
          </w:p>
        </w:tc>
        <w:tc>
          <w:tcPr>
            <w:tcW w:type="dxa" w:w="6233"/>
          </w:tcPr>
          <w:p>
            <w:r>
              <w:t xml:space="preserve">Description / Amount rows: Daily Diesel (5L) &amp; Petrol (5L) + Density Testing + Beta = Total Amt; Any Other Expenses; Last Night Cash Hand-off Amount; Last Night Cash Hand-off Person's Name &amp; Signature; Total Amt Expenses. Note: workers commonly write the breakdown as an inline sum (e.g. "527+588+100=1215") in the Amount cell — entry form should accept free-text/expression input here, not a plain number. UPDATED (2026-08-15): the two rows "Last Night Cash Hand-off Amount" and "Last Night Cash Hand-off Person's Name &amp; Signature" are MERGED into a single row, "Last Night Cash Hand-off Persons Name-Signature-Amount", to save vertical space for print fit — same underlying data, one combined field/row instead of two</w:t>
            </w:r>
          </w:p>
        </w:tc>
      </w:tr>
      <w:tr>
        <w:tc>
          <w:tcPr>
            <w:tcW w:type="dxa" w:w="3117"/>
          </w:tcPr>
          <w:p>
            <w:r>
              <w:t xml:space="preserve">Credit Card Swiping(s)</w:t>
            </w:r>
          </w:p>
        </w:tc>
        <w:tc>
          <w:tcPr>
            <w:tcW w:type="dxa" w:w="6233"/>
          </w:tcPr>
          <w:p>
            <w:r>
              <w:t xml:space="preserve">Repeating rows (7 lines on the paper form): Card Holder / Terminal ID, Card Type, Rate, Transaction/Receipt #, Amount; plus Total Amt Credit Cards row. SUPERSEDED then REVERTED: the Aug 5, 2026 revision briefly renamed "Card Holder / Terminal ID" to "Card Holder Name" and replaced "Rate" with "In Lts"; the Aug 15, 2026 "Option1_Final_Edit" version REVERTS to the original "Card Holder / Terminal ID" and "Rate" columns confirmed here — this is the CURRENT confirmed structure. Row count on this latest version not explicitly shown (blank template); default row count in the digital form remains 2 (reduced from 5 on 2026-08-15 for print fit, Section 5.5), with "+ Add row" available</w:t>
            </w:r>
          </w:p>
        </w:tc>
      </w:tr>
      <w:tr>
        <w:tc>
          <w:tcPr>
            <w:tcW w:type="dxa" w:w="3117"/>
          </w:tcPr>
          <w:p>
            <w:r>
              <w:t xml:space="preserve">Today New Credit(s)</w:t>
            </w:r>
          </w:p>
        </w:tc>
        <w:tc>
          <w:tcPr>
            <w:tcW w:type="dxa" w:w="6233"/>
          </w:tcPr>
          <w:p>
            <w:r>
              <w:t xml:space="preserve">Repeating rows: Creditor Name, Type (1. Diesel / 2. Petrol), In Ltrs, Rate, Amount, Signature; plus Total Amt New Credits Today row</w:t>
            </w:r>
          </w:p>
        </w:tc>
      </w:tr>
      <w:tr>
        <w:tc>
          <w:tcPr>
            <w:tcW w:type="dxa" w:w="3117"/>
          </w:tcPr>
          <w:p>
            <w:r>
              <w:t xml:space="preserve">Old / Pending Credit Received</w:t>
            </w:r>
          </w:p>
        </w:tc>
        <w:tc>
          <w:tcPr>
            <w:tcW w:type="dxa" w:w="6233"/>
          </w:tcPr>
          <w:p>
            <w:r>
              <w:t xml:space="preserve">Repeating rows: Customer Name, Amount, Old Credit Given Date, Signature. Confirmed as excluded from today's Daily Sales Report total</w:t>
            </w:r>
          </w:p>
        </w:tc>
      </w:tr>
      <w:tr>
        <w:tc>
          <w:tcPr>
            <w:tcW w:type="dxa" w:w="3117"/>
          </w:tcPr>
          <w:p>
            <w:r>
              <w:t xml:space="preserve">Summary — Cash Hand Off</w:t>
            </w:r>
          </w:p>
        </w:tc>
        <w:tc>
          <w:tcPr>
            <w:tcW w:type="dxa" w:w="6233"/>
          </w:tcPr>
          <w:p>
            <w:r>
              <w:t xml:space="preserve">Cash (Gas + Oils) Total Amt; Expenses Total Amt; Phone Pay Settled Total Amt (as of 6:30 AM); Phone Pay Not Settled Total Amt (as of today, time-stamped); New Credits Total Amt; Credit Cards Swiping Total Amt; Night Cash Hand-off Total Amt; Net Bal Hand-off (Cash − Expenses + Phone Pay Not Settled + New Credits + Card Swiping + Night Cash Hand-off); Total Amt − Old Credit Amt (excluded from today's total, shown for reference only)</w:t>
            </w:r>
          </w:p>
        </w:tc>
      </w:tr>
      <w:tr>
        <w:tc>
          <w:tcPr>
            <w:tcW w:type="dxa" w:w="3117"/>
          </w:tcPr>
          <w:p>
            <w:r>
              <w:t xml:space="preserve">Verified By</w:t>
            </w:r>
          </w:p>
        </w:tc>
        <w:tc>
          <w:tcPr>
            <w:tcW w:type="dxa" w:w="6233"/>
          </w:tcPr>
          <w:p>
            <w:r>
              <w:t xml:space="preserve">Mgr Name, Signature, Date</w:t>
            </w:r>
          </w:p>
        </w:tc>
      </w:tr>
    </w:tbl>
    <w:p>
      <w:pPr>
        <w:spacing w:after="120" w:before="120"/>
      </w:pPr>
      <w:r>
        <w:rPr>
          <w:i/>
          <w:iCs/>
        </w:rPr>
        <w:t xml:space="preserve">Observation from samples: pump sales men sometimes leave a section entirely blank with a dash (e.g. no oil sales, no credit cards) on shifts with no such activity — the digital form must allow all row/table sections to be submitted empty rather than requiring a value in every field.</w:t>
      </w:r>
    </w:p>
    <w:p>
      <w:pPr>
        <w:pStyle w:val="Heading2"/>
        <w:spacing w:after="120" w:before="240"/>
      </w:pPr>
      <w:r>
        <w:t xml:space="preserve">5.4.2 Header Restructured Again, Pump Serial# Confirmed, Nozzle IDs Added (2026-08-23)</w:t>
      </w:r>
    </w:p>
    <w:p>
      <w:pPr>
        <w:spacing w:after="120"/>
      </w:pPr>
      <w:r>
        <w:rPr>
          <w:i/>
          <w:iCs/>
        </w:rPr>
        <w:t xml:space="preserve">Client provided a further-updated source PDF ("Option1_Final_Aug23") confirming several changes and surfacing one real discrepancy against a previously confirmed client override.</w:t>
      </w:r>
    </w:p>
    <w:p>
      <w:pPr>
        <w:pStyle w:val="ListParagraph"/>
        <w:numPr>
          <w:ilvl w:val="0"/>
          <w:numId w:val="1"/>
        </w:numPr>
        <w:spacing w:after="60"/>
      </w:pPr>
      <w:r>
        <w:t xml:space="preserve">CONFIRMED: header field "Pump / Road Front / Office Front" replaced with "Pump Serial#", showing the station's actual physical pump hardware identifiers (12BC4523V for the Office/Off pump, 11CC2012V for the Road pump) rather than a free-text location description. The "Print Blank Form" buttons (Section 5.4) now populate this field with the correct SPECIFIC serial number for whichever pump was selected, replacing the earlier generic "Road Front"/"Office Front" text — more precise and directly useful as equipment identification, not just a location label</w:t>
      </w:r>
    </w:p>
    <w:p>
      <w:pPr>
        <w:pStyle w:val="ListParagraph"/>
        <w:numPr>
          <w:ilvl w:val="0"/>
          <w:numId w:val="1"/>
        </w:numPr>
        <w:spacing w:after="60"/>
      </w:pPr>
      <w:r>
        <w:t xml:space="preserve">CONFIRMED: Diesel and Petrol rows in Gas Sale(s) renamed to "Diesel(HS-Nz1)" and "Petrol(MS-Nz-2)", adding nozzle identifiers matching the source PDF exactly</w:t>
      </w:r>
    </w:p>
    <w:p>
      <w:pPr>
        <w:pStyle w:val="ListParagraph"/>
        <w:numPr>
          <w:ilvl w:val="0"/>
          <w:numId w:val="1"/>
        </w:numPr>
        <w:spacing w:after="60"/>
      </w:pPr>
      <w:r>
        <w:t xml:space="preserve">DISCREPANCY FOUND AND FLAGGED, NOT SILENTLY CHANGED: the new source PDF shows the Gas Sale(s) Rate column header as "Rate Per Pump" — but this BRD (Section 5.4.1) documents "Rate" as a deliberate CLIENT OVERRIDE from 2026-08-16, explicitly described as "a deliberate deviation from the literal Option1_Final_Edit paper form wording, per explicit client instruction." The new PDF's reversion to "Rate Per Pump" was NOT applied to the digital form, since reverting a previously explicit override based on a paper form's wording alone risks undoing a deliberate decision. Needs explicit client confirmation: keep "Rate" per the standing override, or revert to "Rate Per Pump" to match this newest source exactly. RESOLVED (2026-08-23, same day): a further-updated source PDF (SVR_Gas_Station_Daily_Sales_Report_Aug23.pdf) shows the column simply as "Rate" again, matching this BRD's standing client override exactly — no change needed. This confirms the override was correct and the "Rate Per Pump" text in the intervening PDF was not a lasting reversion</w:t>
      </w:r>
    </w:p>
    <w:p>
      <w:pPr>
        <w:pStyle w:val="ListParagraph"/>
        <w:numPr>
          <w:ilvl w:val="0"/>
          <w:numId w:val="1"/>
        </w:numPr>
        <w:spacing w:after="60"/>
      </w:pPr>
      <w:r>
        <w:t xml:space="preserve">Full section-by-section comparison against the new PDF found no other discrepancies: Oil Sale(s) item names, Expenses (including the merged Last Night Cash Hand-off row), Credit Cards Swiping(s) columns, Today New Credit(s), Old/Pending Credit Received, Summary - Cash Hand Off, and Verified By all match exactly, no changes needed</w:t>
      </w:r>
    </w:p>
    <w:p>
      <w:pPr>
        <w:pStyle w:val="Heading2"/>
        <w:spacing w:after="120" w:before="240"/>
      </w:pPr>
      <w:r>
        <w:t xml:space="preserve">5.4.3 Three Data-Entry Modes Reconfirmed, Excel Export Format Fidelity Flagged (2026-08-23)</w:t>
      </w:r>
    </w:p>
    <w:p>
      <w:pPr>
        <w:spacing w:after="120"/>
      </w:pPr>
      <w:r>
        <w:rPr>
          <w:i/>
          <w:iCs/>
        </w:rPr>
        <w:t xml:space="preserve">Client asked for confirmation that all three data-entry modes are supported, and specifically that exporting entered data produces output matching this exact Excel/PDF sheet format.</w:t>
      </w:r>
    </w:p>
    <w:p>
      <w:pPr>
        <w:pStyle w:val="ListParagraph"/>
        <w:numPr>
          <w:ilvl w:val="0"/>
          <w:numId w:val="1"/>
        </w:numPr>
        <w:spacing w:after="60"/>
      </w:pPr>
      <w:r>
        <w:t xml:space="preserve">Mode 1 — Direct manual entry into the digital form: CONFIRMED, already fully built and tested (Section 5.4 Scenario 4, and the working auto-calculation engine confirmed across many sessions in this log)</w:t>
      </w:r>
    </w:p>
    <w:p>
      <w:pPr>
        <w:pStyle w:val="ListParagraph"/>
        <w:numPr>
          <w:ilvl w:val="0"/>
          <w:numId w:val="1"/>
        </w:numPr>
        <w:spacing w:after="60"/>
      </w:pPr>
      <w:r>
        <w:t xml:space="preserve">Mode 2 — Hand-written paper scanned and OCR-converted to digital: CONFIRMED, already documented (Section 5.4 Scenarios 2 and 3, Tesseract OCR engine, Section 4) and exposed on the form itself via the "Scan / Upload (OCR)" button</w:t>
      </w:r>
    </w:p>
    <w:p>
      <w:pPr>
        <w:pStyle w:val="ListParagraph"/>
        <w:numPr>
          <w:ilvl w:val="0"/>
          <w:numId w:val="1"/>
        </w:numPr>
        <w:spacing w:after="60"/>
      </w:pPr>
      <w:r>
        <w:t xml:space="preserve">Mode 3 — Export entered data to Excel in the SAME FORMAT as this exact PDF/Excel sheet: PARTIALLY CONFIRMED, ONE POINT NEEDS CLARIFICATION. Excel export itself is already confirmed (Section 5.5.1) and an "Export to Excel" button exists on the form. However, this BRD has never explicitly specified whether the exported .xlsx file's VISUAL LAYOUT must replicate this exact PDF template (same cell positions, section groupings, and formatting as the paper form) or whether a straightforward data export (same fields and values, standard spreadsheet layout) is sufficient. This is a real, unresolved design question — not assumed either way — since matching a specific paper-form layout in an exported spreadsheet is a meaningfully different (and larger) engineering task than a plain data export. Needs explicit client confirmation before backend implementation</w:t>
      </w:r>
    </w:p>
    <w:p>
      <w:pPr>
        <w:pStyle w:val="ListParagraph"/>
        <w:numPr>
          <w:ilvl w:val="0"/>
          <w:numId w:val="1"/>
        </w:numPr>
        <w:spacing w:after="60"/>
      </w:pPr>
      <w:r>
        <w:t xml:space="preserve">CONFIRMED: all three modes are required to converge on the same underlying record — this is already the confirmed design (Section 5.4: "all three converge on the same underlying record structure"), so a record entered via any of the three modes produces the same data, available for export via any other mode</w:t>
      </w:r>
    </w:p>
    <w:p>
      <w:pPr>
        <w:pStyle w:val="Heading2"/>
        <w:spacing w:after="120" w:before="240"/>
      </w:pPr>
      <w:r>
        <w:t xml:space="preserve">5.4.4 Date Field Now Captures Time, IOCL # Column Added to Gas Sale(s) (2026-08-23, later same day)</w:t>
      </w:r>
    </w:p>
    <w:p>
      <w:pPr>
        <w:spacing w:after="120"/>
      </w:pPr>
      <w:r>
        <w:rPr>
          <w:i/>
          <w:iCs/>
        </w:rPr>
        <w:t xml:space="preserve">Client provided a further-updated source PDF the same day, confirming two more changes.</w:t>
      </w:r>
    </w:p>
    <w:p>
      <w:pPr>
        <w:pStyle w:val="ListParagraph"/>
        <w:numPr>
          <w:ilvl w:val="0"/>
          <w:numId w:val="1"/>
        </w:numPr>
        <w:spacing w:after="60"/>
      </w:pPr>
      <w:r>
        <w:t xml:space="preserve">CONFIRMED: header field renamed from "Date" to "Dt &amp; Time" — the form now captures both the date AND the time of entry, not date alone. Only the header field changed; the separate "Date" field in the Verified By block (Section 5.4.1) is unaffected, confirmed by the source PDF which still shows plain "Date" there</w:t>
      </w:r>
    </w:p>
    <w:p>
      <w:pPr>
        <w:pStyle w:val="ListParagraph"/>
        <w:numPr>
          <w:ilvl w:val="0"/>
          <w:numId w:val="1"/>
        </w:numPr>
        <w:spacing w:after="60"/>
      </w:pPr>
      <w:r>
        <w:t xml:space="preserve">CONFIRMED: new "IOCL #" column added to Gas Sale(s) (Section 5.4.1), one per fuel row (Diesel, Petrol) — a manually-entered IOCL reference number. Exact meaning/source of this number (e.g. an IOCL transaction ID, receipt number, or reporting reference) not specified by the client and not assumed — implemented as a plain reference field, no validation or auto-population logic attached, pending further detail if any is needed</w:t>
      </w:r>
    </w:p>
    <w:p>
      <w:pPr>
        <w:pStyle w:val="ListParagraph"/>
        <w:numPr>
          <w:ilvl w:val="0"/>
          <w:numId w:val="1"/>
        </w:numPr>
        <w:spacing w:after="60"/>
      </w:pPr>
      <w:r>
        <w:t xml:space="preserve">Full comparison against this newest source PDF confirms no other changes — Oil Sale(s), Expenses, Credit Cards, New Credit, Old Credit, Summary, and Verified By all still match exactly, consistent with the 2026-08-23 comparison earlier the same day (Section 5.4.2)</w:t>
      </w:r>
    </w:p>
    <w:p>
      <w:pPr>
        <w:pStyle w:val="Heading2"/>
        <w:spacing w:after="120" w:before="240"/>
      </w:pPr>
      <w:r>
        <w:t xml:space="preserve">5.4.5 Oil Sale(s) Stock Columns Renamed (2026-08-25)</w:t>
      </w:r>
    </w:p>
    <w:p>
      <w:pPr>
        <w:spacing w:after="120"/>
      </w:pPr>
      <w:r>
        <w:rPr>
          <w:i/>
          <w:iCs/>
        </w:rPr>
        <w:t xml:space="preserve">A further source PDF ("Stock_Updated") showed "Opening Stock" and "Closing Stock" text trailing after the Verified By block, disconnected from the Oil Sale(s) table itself where the inline header still read "Before Stock"/"After Sale Stock". Genuinely ambiguous on first read — could have been a PDF text-extraction artifact or an intentional rename landed in the wrong place — so it was flagged rather than guessed at. CONFIRMED (client follow-up): intentional rename. "Before Stock" -&gt; "Opening Stock" and "After Sale Stock" -&gt; "Closing Stock" applied to the Oil Sale(s) table header and its explanatory note. This brings Daily Sales Entry into terminology alignment with Daily Trial Balance, which already uses "Opening Stock"/"Closing Stock" since the AUG25 rebuild (Section 5.8.5) — the two forms now use consistent language for the same underlying concept. Field IDs and the underlying auto-calculation logic (Opening Stock pulled from Inventory Tracking's Closing Stock; Closing Stock = Opening Stock minus Quantity, feeding back to Inventory) are UNCHANGED — only the display labels and BRD wording were updated, confirmed via regression test after the change</w:t>
      </w:r>
    </w:p>
    <w:p>
      <w:pPr>
        <w:pStyle w:val="Heading2"/>
        <w:spacing w:after="120" w:before="240"/>
      </w:pPr>
      <w:r>
        <w:t xml:space="preserve">5.4.6 Save Button Confirmed Missing, Print Blank Form and Scan/Upload Made Functional (2026-08-25)</w:t>
      </w:r>
    </w:p>
    <w:p>
      <w:pPr>
        <w:pStyle w:val="Heading3"/>
        <w:spacing w:after="100" w:before="180"/>
      </w:pPr>
      <w:r>
        <w:t xml:space="preserve">Save button — confirmed missing, project-wide</w:t>
      </w:r>
    </w:p>
    <w:p>
      <w:pPr>
        <w:pStyle w:val="ListParagraph"/>
        <w:numPr>
          <w:ilvl w:val="0"/>
          <w:numId w:val="1"/>
        </w:numPr>
        <w:spacing w:after="60"/>
      </w:pPr>
      <w:r>
        <w:t xml:space="preserve">CONFIRMED by checking, not assumed: NONE of the 12 forms in this project currently have a Save button — Daily Sales Entry included. Every form has Print/Import/Export/etc., but no explicit persistence action anywhere. This is a genuine, project-wide gap flagged for a planned cross-check, not fixed in this session pending that review</w:t>
      </w:r>
    </w:p>
    <w:p>
      <w:pPr>
        <w:pStyle w:val="Heading3"/>
        <w:spacing w:after="100" w:before="180"/>
      </w:pPr>
      <w:r>
        <w:t xml:space="preserve">Print Blank Form — labels, Last Shift Reading, and Dt &amp; Time</w:t>
      </w:r>
    </w:p>
    <w:p>
      <w:pPr>
        <w:pStyle w:val="ListParagraph"/>
        <w:numPr>
          <w:ilvl w:val="0"/>
          <w:numId w:val="1"/>
        </w:numPr>
        <w:spacing w:after="60"/>
      </w:pPr>
      <w:r>
        <w:t xml:space="preserve">CONFIRMED: button labels updated to show the serial numbers directly -- "Print Blank Form - 11CC2012V-RDF" and "Print Blank Form - 12BC4523V-OFF" -- OFF for Office Front, RDF for Road Front, per client's explicit naming. Pump Serial# and Last Shift Reading (per fuel, per pump -- already correctly differentiated since Section 64) both still populate correctly on click, reconfirmed via test</w:t>
      </w:r>
    </w:p>
    <w:p>
      <w:pPr>
        <w:pStyle w:val="ListParagraph"/>
        <w:numPr>
          <w:ilvl w:val="0"/>
          <w:numId w:val="1"/>
        </w:numPr>
        <w:spacing w:after="60"/>
      </w:pPr>
      <w:r>
        <w:t xml:space="preserve">NEW: Dt &amp; Time now auto-fills on click with the GENUINE current date/time (read from the browser's own clock, not a hardcoded demo value) -- tested and confirmed to show the actual current date at time of testing, not a placeholder</w:t>
      </w:r>
    </w:p>
    <w:p>
      <w:pPr>
        <w:pStyle w:val="Heading3"/>
        <w:spacing w:after="100" w:before="180"/>
      </w:pPr>
      <w:r>
        <w:t xml:space="preserve">Scan/Upload -- made genuinely functional, with an honest limitation stated</w:t>
      </w:r>
    </w:p>
    <w:p>
      <w:pPr>
        <w:pStyle w:val="ListParagraph"/>
        <w:numPr>
          <w:ilvl w:val="0"/>
          <w:numId w:val="1"/>
        </w:numPr>
        <w:spacing w:after="60"/>
      </w:pPr>
      <w:r>
        <w:t xml:space="preserve">REAL GAP FOUND AND FIXED: this button previously had NO onclick handler at all -- clicking it did nothing. Now genuinely triggers the browser's native OS file picker (a hidden file input, accepting .jpg/.jpeg/.pdf), confirmed working by simulating a real file selection in testing</w:t>
      </w:r>
    </w:p>
    <w:p>
      <w:pPr>
        <w:pStyle w:val="ListParagraph"/>
        <w:numPr>
          <w:ilvl w:val="0"/>
          <w:numId w:val="1"/>
        </w:numPr>
        <w:spacing w:after="60"/>
      </w:pPr>
      <w:r>
        <w:t xml:space="preserve">HONEST LIMITATION STATED, not glossed over: no website can force a file picker to open to a specific default folder -- this is a browser/OS security restriction that applies universally, not something achievable with any code on this page. In practice browsers remember the last folder a user picked from, so if the HP LaserJet's scan output always saves to the same folder, the picker will tend to land there after the first manual navigation -- but that is OS/browser behavior, not a feature this page can implement or guarantee</w:t>
      </w:r>
    </w:p>
    <w:p>
      <w:pPr>
        <w:pStyle w:val="ListParagraph"/>
        <w:numPr>
          <w:ilvl w:val="0"/>
          <w:numId w:val="1"/>
        </w:numPr>
        <w:spacing w:after="60"/>
      </w:pPr>
      <w:r>
        <w:t xml:space="preserve">CONFIRMED: once a file is selected, it is tagged with the current Pump Serial# and Last Shift Reading (HS and MS), per the requirement that a scanned document should carry that context -- tested and confirmed the tag correctly reflects whichever Print Blank Form button was clicked beforehand. No real OCR runs in this static mockup; Tesseract processing remains a backend concern (Section 4)</w:t>
      </w:r>
    </w:p>
    <w:p>
      <w:pPr>
        <w:pStyle w:val="Heading3"/>
        <w:spacing w:after="100" w:before="180"/>
      </w:pPr>
      <w:r>
        <w:t xml:space="preserve">Print -- already does what was asked</w:t>
      </w:r>
    </w:p>
    <w:p>
      <w:pPr>
        <w:pStyle w:val="ListParagraph"/>
        <w:numPr>
          <w:ilvl w:val="0"/>
          <w:numId w:val="1"/>
        </w:numPr>
        <w:spacing w:after="60"/>
      </w:pPr>
      <w:r>
        <w:t xml:space="preserve">CONFIRMED, no change needed: both the general "Print" button and both "Print Blank Form" buttons already call the browser's native window.print(), which by default prompts the OS's installed-printer selection dialog -- this is standard browser behavior requiring no additional code</w:t>
      </w:r>
    </w:p>
    <w:p>
      <w:pPr>
        <w:pStyle w:val="Heading2"/>
        <w:spacing w:after="120" w:before="240"/>
      </w:pPr>
      <w:r>
        <w:t xml:space="preserve">5.4.7 Cross-Form Sync (Daily Sales &lt;-&gt; Trial Balance) and IOCL# Max Recommendation (2026-08-25)</w:t>
      </w:r>
    </w:p>
    <w:p>
      <w:pPr>
        <w:pStyle w:val="ListParagraph"/>
        <w:numPr>
          <w:ilvl w:val="0"/>
          <w:numId w:val="1"/>
        </w:numPr>
        <w:spacing w:after="60"/>
      </w:pPr>
      <w:r>
        <w:t xml:space="preserve">CONFIRMED: buttons added on BOTH forms, per the client's "vice versa" request -- "Update Daily Trial Balance" on Daily Sales Entry, and "Update from Daily Sales" on Trial Balance's Section 2. Both are honestly labeled demos, not working sync -- separate static HTML files genuinely cannot exchange live data (no shared backend exists in these mockups, and browser storage such as localStorage is deliberately not used per the artifact platform's restrictions). Each button's demo message states specifically what data WOULD move and in which direction, and both state plainly that real sync requires the shared backend database already planned (Section 4), not a button on either static file</w:t>
      </w:r>
    </w:p>
    <w:p>
      <w:pPr>
        <w:pStyle w:val="ListParagraph"/>
        <w:numPr>
          <w:ilvl w:val="0"/>
          <w:numId w:val="1"/>
        </w:numPr>
        <w:spacing w:after="60"/>
      </w:pPr>
      <w:r>
        <w:t xml:space="preserve">RECOMMENDATION GIVEN for the IOCL# Max question, with reasoning: the pull button was placed on Trial Balance's Section 1 (IOCL Stock Readings), not Daily Sales Entry, because each individual Daily Sales Entry submission only has visibility into its OWN IOCL# (Section 5.4.2) -- but a given day has TWO submissions (Off pump and Road pump), and Trial Balance's IOCL Current Reading needs the MAXIMUM IOCL# across both, separately for Diesel and Petrol. This aggregation only makes sense from the side that can see both submissions at once -- Trial Balance, which is already the confirmed daily rollup point for this project, not either individual Daily Sales Entry submission in isolation. Implemented as "Pull IOCL Current Reading (Max)", same honest demo-only pattern as the sync buttons above</w:t>
      </w:r>
    </w:p>
    <w:p>
      <w:pPr>
        <w:spacing w:after="120"/>
      </w:pPr>
      <w:r>
        <w:rPr>
          <w:i/>
          <w:iCs/>
        </w:rPr>
        <w:t xml:space="preserve">POSITIONING CORRECTED (2026-08-25, same day): both buttons moved from inline in their section's title bar to the bottom-right corner of their respective section instead, matching the established pattern used for other section-level action buttons throughout this form. "Pull IOCL Current Reading (Max)" now sits at the end of Section 1's content; "Update from Daily Sales" at the end of Section 2's. Retested after the move — both still function identically from their new position</w:t>
      </w:r>
    </w:p>
    <w:p>
      <w:pPr>
        <w:pStyle w:val="Heading2"/>
        <w:spacing w:after="120" w:before="240"/>
      </w:pPr>
      <w:r>
        <w:t xml:space="preserve">5.5 Print Functionality</w:t>
      </w:r>
    </w:p>
    <w:p>
      <w:pPr>
        <w:pStyle w:val="ListParagraph"/>
        <w:numPr>
          <w:ilvl w:val="0"/>
          <w:numId w:val="1"/>
        </w:numPr>
        <w:spacing w:after="60"/>
      </w:pPr>
      <w:r>
        <w:t xml:space="preserve">Ability to print a blank Daily Sales Entry form (for handwriting first, then later scanning)</w:t>
      </w:r>
    </w:p>
    <w:p>
      <w:pPr>
        <w:pStyle w:val="ListParagraph"/>
        <w:numPr>
          <w:ilvl w:val="0"/>
          <w:numId w:val="1"/>
        </w:numPr>
        <w:spacing w:after="60"/>
      </w:pPr>
      <w:r>
        <w:t xml:space="preserve">Ability to print a filled entry as hard copy after manual data entry</w:t>
      </w:r>
    </w:p>
    <w:p>
      <w:pPr>
        <w:pStyle w:val="ListParagraph"/>
        <w:numPr>
          <w:ilvl w:val="0"/>
          <w:numId w:val="1"/>
        </w:numPr>
        <w:spacing w:after="60"/>
      </w:pPr>
      <w:r>
        <w:t xml:space="preserve">SUPERSEDED (2026-08-15) — see the corrected finding below. Original reasoning kept here for traceability: A4 Landscape (297mm x 210mm) was initially chosen because the form's widest tables (Gas Sale(s), Oil Sale(s), Credit Cards Swiping(s)) have 5-6 columns each, which looked cramped in portrait A4; landscape gave roughly 40% more horizontal room at no extra cost/paper-size change.</w:t>
      </w:r>
    </w:p>
    <w:p>
      <w:pPr>
        <w:pStyle w:val="ListParagraph"/>
        <w:numPr>
          <w:ilvl w:val="0"/>
          <w:numId w:val="1"/>
        </w:numPr>
        <w:spacing w:after="60"/>
      </w:pPr>
      <w:r>
        <w:t xml:space="preserve">CORRECTED AND CONFIRMED (2026-08-15) — Page orientation: A4 PORTRAIT (210mm x 297mm), not landscape. This reverses the earlier decision above. Reasoning: (1) the actual physical Daily Sales Report form already in use at the station is confirmed A4 Portrait, 1 page (verified directly from the uploaded PDF: 595.3 x 841.89 pts = A4 portrait) — the digital form should match the paper the station already prints and stocks; (2) once print-specific compressed typography was built (see below), A4 Portrait was tested and rendered the full form, including all 7 sections and the expanded 5-row Oil Sale(s) table, on exactly ONE page with no cramped or overflowing columns — verified by rendering an actual print-mode PDF and inspecting it, not estimated from screen height. Print CSS sets @page size to A4 portrait with an 8mm margin, hides interactive-only elements ("+ Add row" buttons, language toggle, Manual Entry Mode tag) when printing, and uses print-specific compressed font sizes/padding (roughly 8-9px) distinct from the larger on-screen sizes — the on-screen digital data-entry experience is unaffected by any of this, since all compression is scoped to the print media query only</w:t>
      </w:r>
    </w:p>
    <w:p>
      <w:pPr>
        <w:spacing w:after="120"/>
      </w:pPr>
      <w:r>
        <w:rPr>
          <w:i/>
          <w:iCs/>
        </w:rPr>
        <w:t xml:space="preserve">REVERSED AGAIN, this time by direct real-world confirmation (2026-08-28): during a documentation-drift check, this BRD's own "corrected to Portrait" claim above was found NOT to match the actual file, which had Landscape. Before treating the code as the bug, tested both orientations directly with real print-media PDF generation -- neither actually fits the form on one page anymore, given how much has been added since this claim was last verified (Save button, Last Updated bar, Logged-in-as selector, IOCL# column, all added across many later sessions). Given that ambiguity, checked with the client rather than assume the BRD was right and the code was wrong. CLIENT CONFIRMED DIRECTLY: Landscape is correct and is what is actually in production use today, successfully printing on a single A4 page -- the Portrait claim above was itself the stale one, not the code. No change made to the file; it remains Landscape, as confirmed correct. This is a genuine lesson for this BRD's own reliability: written documentation of a "confirmed, corrected" decision is not automatically more trustworthy than the current working code, especially across a project this long-running -- when the two disagree, checking with the client beats assuming either source is automatically right</w:t>
      </w:r>
    </w:p>
    <w:p>
      <w:pPr>
        <w:pStyle w:val="ListParagraph"/>
        <w:numPr>
          <w:ilvl w:val="0"/>
          <w:numId w:val="1"/>
        </w:numPr>
        <w:spacing w:after="60"/>
      </w:pPr>
      <w:r>
        <w:t xml:space="preserve">REJECTED fallback — Legal size: initially considered as a fallback if A4 felt tight, but REJECTED after research: Legal (216mm x 356mm) is a North American paper standard, not commonly stocked in India — multiple sources confirm A4 has been actively displacing Legal/Foolscap in India even at the institutional level (e.g. India's Supreme Court mandated A4 instead of legal-size paper for filings). There is also a real naming trap: "legal size" in India colloquially often means Foolscap (8.5 x 13.5in), which is NOT the same as US Legal (8.5 x 14in) — sourcing "legal paper" locally risks getting the wrong dimensions. Legal Landscape was also tested directly and found to add only 6mm of height over A4 Landscape (216mm vs 210mm) — nowhere near enough to solve the overflow. A3 Landscape was tested and does work (1 page), but requires a printer many small businesses do not have; not pursued given the station's hardware is a standard attached printer (Section 3)</w:t>
      </w:r>
    </w:p>
    <w:p>
      <w:pPr>
        <w:pStyle w:val="ListParagraph"/>
        <w:numPr>
          <w:ilvl w:val="0"/>
          <w:numId w:val="1"/>
        </w:numPr>
        <w:spacing w:after="60"/>
      </w:pPr>
      <w:r>
        <w:t xml:space="preserve">Row-count reductions applied to help reach one page: Credit Cards Swiping(s) default rows reduced from 5 to 2, Today New Credit(s) from 3 to 2, Old/Pending Credit Received from 3 to 2 — each retains its "+ Add row" control so busier days are not capped, only the default/blank starting count was reduced</w:t>
      </w:r>
    </w:p>
    <w:p>
      <w:pPr>
        <w:pStyle w:val="ListParagraph"/>
        <w:numPr>
          <w:ilvl w:val="0"/>
          <w:numId w:val="1"/>
        </w:numPr>
        <w:spacing w:after="60"/>
      </w:pPr>
      <w:r>
        <w:t xml:space="preserve">Technical note: an early print-compression attempt had no effect because the @media print CSS block was positioned before the base (unconditional) styles in the stylesheet — with equal CSS specificity, the later unconditional rule wins the cascade regardless of the print media condition. Fixed by moving the @media print block to the end of the stylesheet, after which the compression rules correctly took effect. Worth checking for the same ordering issue if similar print CSS is added to the other 5 forms</w:t>
      </w:r>
    </w:p>
    <w:p>
      <w:pPr>
        <w:pStyle w:val="Heading2"/>
        <w:spacing w:after="120" w:before="240"/>
      </w:pPr>
      <w:r>
        <w:t xml:space="preserve">5.5.1 Excel Sheet Export</w:t>
      </w:r>
    </w:p>
    <w:p>
      <w:pPr>
        <w:spacing w:after="120"/>
      </w:pPr>
      <w:r>
        <w:rPr>
          <w:i/>
          <w:iCs/>
        </w:rPr>
        <w:t xml:space="preserve">CONFIRMED: both the Daily Sales Entry form and the Daily Trial Balance form require an Excel (.xlsx) export option, in addition to print/PDF. This is a new requirement, separate from Section 5.7's emailed reports.</w:t>
      </w:r>
    </w:p>
    <w:p>
      <w:pPr>
        <w:pStyle w:val="ListParagraph"/>
        <w:numPr>
          <w:ilvl w:val="0"/>
          <w:numId w:val="1"/>
        </w:numPr>
        <w:spacing w:after="60"/>
      </w:pPr>
      <w:r>
        <w:t xml:space="preserve">Daily Sales Entry form: an "Export to Excel" option producing a single-sheet .xlsx matching the form's field structure (Section 5.4.1), for the currently displayed/submitted entry</w:t>
      </w:r>
    </w:p>
    <w:p>
      <w:pPr>
        <w:pStyle w:val="ListParagraph"/>
        <w:numPr>
          <w:ilvl w:val="0"/>
          <w:numId w:val="1"/>
        </w:numPr>
        <w:spacing w:after="60"/>
      </w:pPr>
      <w:r>
        <w:t xml:space="preserve">CONFIRMED (2026-08-15) — Excel Import (Daily Sales Entry form): the reverse of the export above — if a Daily Sales record was filled/prepared in Excel, the form must be able to import that .xlsx and populate all columns and rows, as a fourth practical route into the same underlying record structure alongside Manual Entry, OCR Upload, and (now) Excel Export. Same auto-calculation and validation rules apply after import as after OCR (see Section 5.4) — an imported sheet's Amount values are recomputed and any mismatch is flagged, not silently trusted</w:t>
      </w:r>
    </w:p>
    <w:p>
      <w:pPr>
        <w:pStyle w:val="ListParagraph"/>
        <w:numPr>
          <w:ilvl w:val="0"/>
          <w:numId w:val="1"/>
        </w:numPr>
        <w:spacing w:after="60"/>
      </w:pPr>
      <w:r>
        <w:t xml:space="preserve">CONFIRMED (2026-08-16) — action bar scope: on the Daily Sales Entry form, Print Blank Form, Scan/Upload (OCR), Import from Excel, and Export to Excel all apply to Sections 1–7 only (Gas Sale(s) through Summary - Cash Hand Off) — NOT to Section 8 (Daily Summary), since that section is entirely auto-computed/read-only and has nothing to import, export, scan, or blank-print independently of Sections 1–7. All four sit together in one action bar, positioned between Section 7 and Section 8</w:t>
      </w:r>
    </w:p>
    <w:p>
      <w:pPr>
        <w:pStyle w:val="ListParagraph"/>
        <w:numPr>
          <w:ilvl w:val="0"/>
          <w:numId w:val="1"/>
        </w:numPr>
        <w:spacing w:after="60"/>
      </w:pPr>
      <w:r>
        <w:t xml:space="preserve">CONFIRMED (2026-08-16) — new feature: Print Blank Form. Generates a printable blank copy of the Daily Sales Entry form (Sections 1–7 plus the header meta fields and Verified By block) for cases where a pump sales man needs a paper form to fill by hand before later scanning it back in (Scenario 1/2, Section 5.4) — reference template is the confirmed "Option1_Final_Edit" layout (Section 5.4.1). This is distinct from the general print/PDF capability already confirmed in this section: that covers printing a FILLED entry as a hard copy; Print Blank Form specifically produces an EMPTY one, on demand, without needing to first clear a filled form</w:t>
      </w:r>
    </w:p>
    <w:p>
      <w:pPr>
        <w:pStyle w:val="ListParagraph"/>
        <w:numPr>
          <w:ilvl w:val="0"/>
          <w:numId w:val="1"/>
        </w:numPr>
        <w:spacing w:after="60"/>
      </w:pPr>
      <w:r>
        <w:t xml:space="preserve">CONFIRMED (2026-08-16) — split into two location-specific print options: "Print Blank Form – Road Front" and "Print Blank Form – Off Front", replacing the single generic button. Reason: Road Front and Off Front are different physical pumps (Section 5.4.1's confirmed Office Near by Pump 1 / Road Side Pump 2 mapping) with genuinely different Last Shift Reading histories — a single blank form cannot correctly pre-fill both. Each print option pre-fills the Pump/Road Front/Office Front header field and the Last Shift Reading for that specific pump's Diesel and Petrol readings (auto-carried, per Section 5.4.1's 23:59 IST rule), while leaving Current Reading blank for the worker to fill by hand. The same principle applies to Oil Sale(s): Opening Stock is pre-filled from Inventory Tracking's (Section 5.10) current Closing Stock — identical on both print options, since oil inventory is shared at the station level, not split per pump — while Quantity stays blank. RESOLVED (2026-08-16, client confirmed YES): Rate (Gas Sale and Oil Sale) DOES pre-fill on the printed blank form, sourced from the Rate Master module (Section 5.11) — identical on both Road Front and Off Front print options, since rates aren't pump-specific. Rate alone does not cause Amount to compute on the printed form; Amount still correctly stays blank until Current Reading (Gas Sale) or Quantity (Oil Sale) is filled in, since Rate is only one of the two required inputs</w:t>
      </w:r>
    </w:p>
    <w:p>
      <w:pPr>
        <w:pStyle w:val="ListParagraph"/>
        <w:numPr>
          <w:ilvl w:val="0"/>
          <w:numId w:val="1"/>
        </w:numPr>
        <w:spacing w:after="60"/>
      </w:pPr>
      <w:r>
        <w:t xml:space="preserve">Daily Trial Balance form: an "Export to Excel" option producing a single-sheet .xlsx covering all 10 confirmed sections (Section 5.8), matching the client's existing GAS_STATION workbook layout so the exported file is familiar/comparable to the manual spreadsheet process it replaces</w:t>
      </w:r>
    </w:p>
    <w:p>
      <w:pPr>
        <w:pStyle w:val="ListParagraph"/>
        <w:numPr>
          <w:ilvl w:val="0"/>
          <w:numId w:val="1"/>
        </w:numPr>
        <w:spacing w:after="60"/>
      </w:pPr>
      <w:r>
        <w:t xml:space="preserve">CONFIRMED — dedicated export for Section 10 (Daily Mgmt Summary): in addition to the full Trial Balance export above, Section 10 needs its OWN separate, standalone Excel export option — not bundled only inside the full-form export. Rationale (inferred from Section 10's role): it is the condensed, management-facing rollup of the other 9 sections (Yesterday's/Today's Cash Value, Total Stock + Cash Value, Difference-over-Rs-100 alert), so management or the owner may want just this summary exported/shared on its own rather than the full 10-section workbook</w:t>
      </w:r>
    </w:p>
    <w:p>
      <w:pPr>
        <w:pStyle w:val="ListParagraph"/>
        <w:numPr>
          <w:ilvl w:val="0"/>
          <w:numId w:val="1"/>
        </w:numPr>
        <w:spacing w:after="60"/>
      </w:pPr>
      <w:r>
        <w:t xml:space="preserve">Open design questions: exact target format for the Section 10 export (single-row daily summary vs. a running multi-day table like Section 9's Daily Mgr Calculation log), file naming convention, and whether this dedicated export uses the same "Export to Excel" control relocated next to Section 10 or a separate menu action — to be confirmed in the design phase</w:t>
      </w:r>
    </w:p>
    <w:p>
      <w:pPr>
        <w:pStyle w:val="Heading2"/>
        <w:spacing w:after="120" w:before="240"/>
      </w:pPr>
      <w:r>
        <w:t xml:space="preserve">5.6 Language Support</w:t>
      </w:r>
    </w:p>
    <w:p>
      <w:pPr>
        <w:pStyle w:val="ListParagraph"/>
        <w:numPr>
          <w:ilvl w:val="0"/>
          <w:numId w:val="1"/>
        </w:numPr>
        <w:spacing w:after="60"/>
      </w:pPr>
      <w:r>
        <w:t xml:space="preserve">Toggle between English and Telugu on the data entry form (UI language switch)</w:t>
      </w:r>
    </w:p>
    <w:p>
      <w:pPr>
        <w:pStyle w:val="ListParagraph"/>
        <w:numPr>
          <w:ilvl w:val="0"/>
          <w:numId w:val="1"/>
        </w:numPr>
        <w:spacing w:after="60"/>
      </w:pPr>
      <w:r>
        <w:t xml:space="preserve">Translation source: static, pre-translated labels bundled with the app (not a dynamic/external translation service). The moment the user selects Telugu on the toggle, all section headers and field labels switch instantly to their pre-defined Telugu text</w:t>
      </w:r>
    </w:p>
    <w:p>
      <w:pPr>
        <w:pStyle w:val="ListParagraph"/>
        <w:numPr>
          <w:ilvl w:val="0"/>
          <w:numId w:val="1"/>
        </w:numPr>
        <w:spacing w:after="60"/>
      </w:pPr>
      <w:r>
        <w:t xml:space="preserve">CONFIRMED — UI design: an English / Telugu pill-style toggle sits in the top-right of the header bar, matching the pattern already built in the approved Daily_Sales_Data_Entry.html deliverable. Toggle scope is section headings only (the 7 numbered sections plus Summary) — field labels and table column headers remain in English, consistent with the original deliverable's stated scope</w:t>
      </w:r>
    </w:p>
    <w:p>
      <w:pPr>
        <w:pStyle w:val="Heading2"/>
        <w:spacing w:after="120" w:before="240"/>
      </w:pPr>
      <w:r>
        <w:t xml:space="preserve">5.6.1 UI Branding &amp; Color Palette</w:t>
      </w:r>
    </w:p>
    <w:p>
      <w:pPr>
        <w:spacing w:after="120"/>
      </w:pPr>
      <w:r>
        <w:rPr>
          <w:i/>
          <w:iCs/>
        </w:rPr>
        <w:t xml:space="preserve">CONFIRMED: form design finalized as an HTML prototype (Daily_Sales_Data_Entry.html), later revised to match the confirmed Section 5.4.1 field structure, numbered sections, expandable rows, A4 Landscape print layout, and the color corrections below.</w:t>
      </w:r>
    </w:p>
    <w:p>
      <w:pPr>
        <w:pStyle w:val="ListParagraph"/>
        <w:numPr>
          <w:ilvl w:val="0"/>
          <w:numId w:val="1"/>
        </w:numPr>
        <w:spacing w:after="60"/>
      </w:pPr>
      <w:r>
        <w:t xml:space="preserve">Header bar: blue gradient (#0033a0 to #00246e), white IndianOil dealer logo mark, white subtitle text ("PONNUR • DAILY SALES REPORT — DATA ENTRY"), with the language toggle and a "Manual Entry Mode" status tag on the right</w:t>
      </w:r>
    </w:p>
    <w:p>
      <w:pPr>
        <w:pStyle w:val="ListParagraph"/>
        <w:numPr>
          <w:ilvl w:val="0"/>
          <w:numId w:val="1"/>
        </w:numPr>
        <w:spacing w:after="60"/>
      </w:pPr>
      <w:r>
        <w:t xml:space="preserve">Section headings (all 7 — Gas Sale(s) through Summary — Cash Hand Off): CORRECTED to Vivid Tangelo orange (#F37022), matching IndianOil's officially documented logo color (verified against multiple independent brand-color references, since iocl.com itself is JavaScript-rendered and could not be scraped directly for exact hex values). Originally built with an approximate "flame red" (#e31e24) carried over from the earlier HTML prototype; corrected once the official 3-color logo palette (Vivid Tangelo orange #F37022, Oxford Blue #02164F, White #FEFEFE — no red) was identified</w:t>
      </w:r>
    </w:p>
    <w:p>
      <w:pPr>
        <w:pStyle w:val="ListParagraph"/>
        <w:numPr>
          <w:ilvl w:val="0"/>
          <w:numId w:val="1"/>
        </w:numPr>
        <w:spacing w:after="60"/>
      </w:pPr>
      <w:r>
        <w:t xml:space="preserve">Top accent bar and the "Net Bal Hand off" emphasis line retain the flame-red (#e31e24) accent from the original approved prototype, since only the section headings were corrected to orange — open question: whether these two remaining red accents should also move to orange or to the official Oxford Blue for full consistency with the verified logo palette, to be confirmed with the client</w:t>
      </w:r>
    </w:p>
    <w:p>
      <w:pPr>
        <w:pStyle w:val="ListParagraph"/>
        <w:numPr>
          <w:ilvl w:val="0"/>
          <w:numId w:val="1"/>
        </w:numPr>
        <w:spacing w:after="60"/>
      </w:pPr>
      <w:r>
        <w:t xml:space="preserve">Total-amount rows and table headers use light-blue tints (#eef1fa) for visual grouping without introducing a third hue; all remaining UI chrome (borders, backgrounds, input fields) stays within blue, orange/red accent, and white/near-white — no other colors used, per client direction</w:t>
      </w:r>
    </w:p>
    <w:p>
      <w:pPr>
        <w:pStyle w:val="ListParagraph"/>
        <w:numPr>
          <w:ilvl w:val="0"/>
          <w:numId w:val="1"/>
        </w:numPr>
        <w:spacing w:after="60"/>
      </w:pPr>
      <w:r>
        <w:t xml:space="preserve">Expandable rows: Credit Cards Swiping(s), Today New Credit(s), and Old/Pending Credit Received (Section 5.4.1) each include a "+ Add row" control below the table, since these sections may have a variable number of entries per shift rather than a fixed row count</w:t>
      </w:r>
    </w:p>
    <w:p>
      <w:pPr>
        <w:pStyle w:val="ListParagraph"/>
        <w:numPr>
          <w:ilvl w:val="0"/>
          <w:numId w:val="1"/>
        </w:numPr>
        <w:spacing w:after="60"/>
      </w:pPr>
      <w:r>
        <w:t xml:space="preserve">CONFIRMED — Form design applied consistently across ALL 5 system forms (Section 6 Format &amp; Output), not just the Daily Sales Entry form. Same header, color palette, A4 Landscape layout, and English/Telugu toggle pattern used for: (1) Daily Sales Entry Form (daily_sales_report_branded.html); (2) Manage Users form — Add/Edit User plus User List, with the auto-derived Login Name field shown as read-only (Section 5.3); (3) Old Credit Accounts — New Credit Entry form, with an expandable row table and a Creditor Record field for selecting/adding a creditor (Section 5.9); (4) Old Credit Accounts — Record Repayment form, with Payment Credited, Date, and Payment Collected By fields tied to the selected creditor record (Section 5.9); (5) Daily Trial Balance form, all 9 confirmed sections (Section 5.8) plus the standalone Fleet Card Balance Tracking block, with pulled-in sections (IOCL Computer Vs Pump Readings, Day Sales Report/Oil Sales) shown as disabled/read-only fields to visually reinforce that they are not re-entered</w:t>
      </w:r>
    </w:p>
    <w:p>
      <w:pPr>
        <w:pStyle w:val="Heading2"/>
        <w:spacing w:after="120" w:before="240"/>
      </w:pPr>
      <w:r>
        <w:t xml:space="preserve">5.7 Reporting (Daily / Weekly / Monthly Sales Reports)</w:t>
      </w:r>
    </w:p>
    <w:p>
      <w:pPr>
        <w:pStyle w:val="ListParagraph"/>
        <w:numPr>
          <w:ilvl w:val="0"/>
          <w:numId w:val="1"/>
        </w:numPr>
        <w:spacing w:after="60"/>
      </w:pPr>
      <w:r>
        <w:t xml:space="preserve">CONFIRMED — Daily Sales Report: a consolidated daily report (combining both pump sales men' submitted entries for the day) is required for the station owner and the bank, on a daily basis</w:t>
      </w:r>
    </w:p>
    <w:p>
      <w:pPr>
        <w:pStyle w:val="ListParagraph"/>
        <w:numPr>
          <w:ilvl w:val="0"/>
          <w:numId w:val="1"/>
        </w:numPr>
        <w:spacing w:after="60"/>
      </w:pPr>
      <w:r>
        <w:t xml:space="preserve">CONFIRMED — Weekly Total Sales Report: aggregated sales totals across each 7-day week</w:t>
      </w:r>
    </w:p>
    <w:p>
      <w:pPr>
        <w:pStyle w:val="ListParagraph"/>
        <w:numPr>
          <w:ilvl w:val="0"/>
          <w:numId w:val="1"/>
        </w:numPr>
        <w:spacing w:after="60"/>
      </w:pPr>
      <w:r>
        <w:t xml:space="preserve">CONFIRMED — Monthly Sales Report: aggregated sales totals across each calendar month</w:t>
      </w:r>
    </w:p>
    <w:p>
      <w:pPr>
        <w:pStyle w:val="ListParagraph"/>
        <w:numPr>
          <w:ilvl w:val="0"/>
          <w:numId w:val="1"/>
        </w:numPr>
        <w:spacing w:after="60"/>
      </w:pPr>
      <w:r>
        <w:t xml:space="preserve">Design-phase note: delivery mechanism (e.g. auto-generated PDF for print/email, in-app dashboard view, scheduled email to the owner/bank) and exact figures to be included (e.g. gross sales, expenses, net cash hand-off, credit totals) are open for the System Design &amp; Architecture phase</w:t>
      </w:r>
    </w:p>
    <w:p>
      <w:pPr>
        <w:pStyle w:val="Heading2"/>
        <w:spacing w:after="120" w:before="240"/>
      </w:pPr>
      <w:r>
        <w:t xml:space="preserve">5.8 Daily Trial Balance Module</w:t>
      </w:r>
    </w:p>
    <w:p>
      <w:pPr>
        <w:spacing w:after="120"/>
      </w:pPr>
      <w:r>
        <w:t xml:space="preserve">CONFIRMED — reviewed against an uploaded sample workbook (GAS_STATION_-27-07-26.xlsx), which contains one tab per day (~280 tabs spanning Oct 2025–Jul 2026), each following the same layout. The Trial Balance is a fuller daily reconciliation than the Daily Sales Report — it combines pump reconciliation, fuel delivery tracking, stock valuation, and cash/bank reconciliation. Several of its sections duplicate data already captured on the Daily Sales Report; the table below identifies what should be pulled/linked from existing Daily Sales Report records rather than re-entered, and what is genuinely new to this module.</w:t>
      </w:r>
    </w:p>
    <w:p>
      <w:pPr>
        <w:spacing w:after="120"/>
      </w:pPr>
      <w:r>
        <w:rPr>
          <w:i/>
          <w:iCs/>
        </w:rPr>
        <w:t xml:space="preserve">Form outline — RE-VERIFIED 2026-08-04 directly against the live AUG03 tab (GAS_STATION_-03-08-26.xlsx), which carries the client's own in-sheet numbering (1–9). Corrected from the earlier 8-section outline below: 1. IOCL Computer Vs Pump Readings (duplicate — renamed from "Pump Reconciliation") → 2. Load/Unload Details (new) → 3. Day Sales Report (duplicate — covers Oil Sales) → 4. Daily Cash Value (new — On Hand/Night/Morning cash handoffs, IOCL/bank balances, credits) → 5. Cash Value Reconciliation (new — a short 5-line check: Yesterday's Cash Value + Daily Sales Amt After Exp = Total, vs. Actually Accounted, with a Difference line) → 6. Stock Value (new) → 7. Trail Balance (new — Cash Value + Stock Value totals) → 8. Trail Balance – IOCL Computer Vs Pump Readings (new — separate from Section 1; carries the pump-vs-computer profit/loss trial balance and Difference calc) → 9. Daily Mgmt Summary (new — placed in column E alongside Section 4 rather than its own column-A block; cross-checks Yesterday's/Today's Cash Value by Book against the Daily Sales paperwork and flags any difference over Rs 100). Sections 7 and 8 are BOTH labeled "Trail Balance" in the sheet but are functionally distinct — the earlier BRD pass under-documented rows 59–71 as a single section when they are two. See the detail table below for what each section captures and its data source; the original 8-item outline is retained beneath it for traceability.</w:t>
      </w:r>
    </w:p>
    <w:p>
      <w:pPr>
        <w:spacing w:after="120"/>
      </w:pPr>
      <w:r>
        <w:rPr>
          <w:i/>
          <w:iCs/>
        </w:rPr>
        <w:t xml:space="preserve">RE-VERIFIED AGAIN 2026-08-12 against the live AUG12 tab (GAS_STATION_-12-08-26.xlsx), confirming exact field-level structure through Section 10 (client instructed: update through Section 10 only, no other changes). Confirmed section titles and columns: 1. IOCL Computer &amp; Pump Readings - Daily Tracking Summary (columns: IOCL Yesterday Reading, IOCL Current Reading, Diff [Yesterday-Current], Consumption, Computer/Pump Diff Consumption, Benefit/Loss, Deduct Testing/Density) → 2. Load/Unload Details, applicable only when IOCL delivers the load (columns: After Unload Comp, Old Computer, New Computer, Load, Lost, Total) → 3. Day Sales Report (Today Reading, Last Shift Reading, Consumption {Last-Current}, Rate, Per Pump, per pump per fuel, plus Oil items and Daily Sales Total Amt) → 4. Daily Cash Value (On Hand Old Cash, Night/Morning Cash Hand-off, IOCL Card End Balance, Indian Bank/Yes Bank ending balances, Phone Pay Unsettled/Settled, Cash Advances/New Credits by creditor name) → 5. Cash Value Reconciliation → 6. Stock Value → 7. Trail Balance → 8. Trail Balance - Profit Pump Vs Computer Readings → 9. Daily Mgr Calculation (CONFIRMED: this is the historical daily-summary log, now implemented as ONE running table with a row per date rather than repeated per tab — resolves the historical-log duplication issue flagged earlier in this section) → 10. Daily Mgmt Summary (placed in column E alongside Section 4 in the sheet, not its own column-A block, consistent with the 2026-08-04 finding).</w:t>
      </w:r>
    </w:p>
    <w:p>
      <w:pPr>
        <w:spacing w:after="120"/>
      </w:pPr>
      <w:r>
        <w:rPr>
          <w:i/>
          <w:iCs/>
        </w:rPr>
        <w:t xml:space="preserve">CONFIRMED (2026-08-16) — row numbering within each section: every row across Sections 1–8 and 10 is numbered X.Y (section number, dot, row number within that section), e.g. Section 1's two rows are 1.1 Diesel (HS) and 1.2 Petrol (MS); Section 4's sixteen rows run 4.1 through 4.16, including its two total rows and the Cash Advances/New Credits sub-header and its creditor entry rows. Numbering restarts at .1 for each new section and includes every row type (data rows, total rows, sub-headers) in the order they appear — not just data rows. EXCEPTION: Section 9 (Daily Mgr Calculation) is NOT sub-numbered — it is a wide 26-column running ledger (one row per date, not a fixed set of labeled fields), so the X.Y field-numbering pattern does not apply there; only its section-level "9." heading remains.</w:t>
      </w:r>
    </w:p>
    <w:p>
      <w:pPr>
        <w:spacing w:after="120"/>
      </w:pPr>
      <w:r>
        <w:rPr>
          <w:i/>
          <w:iCs/>
        </w:rPr>
        <w:t xml:space="preserve">EXCEPTION ADDED (2026-08-16): Section 2 (Load/Unload Details) is also NOT sub-numbered, per explicit client instruction — its two rows (Diesel (HS) - Vehicle, Petrol (MS) - Vehicle) remain unnumbered while every other section (1, 3–8, 10) keeps X.Y numbering. No stated reason was given; treated as a client preference for this specific section rather than inferred logic, since Section 2's rows are structurally identical to Section 1's (fuel-labeled rows in a small table) and would otherwise fit the same pattern.</w:t>
      </w:r>
    </w:p>
    <w:p>
      <w:pPr>
        <w:spacing w:after="120"/>
      </w:pPr>
      <w:r>
        <w:rPr>
          <w:b/>
          <w:bCs/>
        </w:rPr>
        <w:t xml:space="preserve">CONFIRMED BUSINESS LOGIC (2026-08-16) — derived from the real AUG11/AUG12 tabs and cross-verified: every formula below was checked against BOTH days' actual figures, then re-verified by seeding the exact AUG12 inputs into the working HTML mockup and confirming every computed output matched AUG12's real recorded totals to the cent (22 of 22 checks passed). This is a substantially stronger confirmation than a single day's numbers matching by coincidence.</w:t>
      </w:r>
    </w:p>
    <w:p>
      <w:pPr>
        <w:pStyle w:val="ListParagraph"/>
        <w:numPr>
          <w:ilvl w:val="0"/>
          <w:numId w:val="1"/>
        </w:numPr>
        <w:spacing w:after="60"/>
      </w:pPr>
      <w:r>
        <w:t xml:space="preserve">Section 1 (IOCL Computer &amp; Pump Readings): Diff [1.3] = Yesterday Reading [1.1col] − Current Reading [1.2col]. Consumption [column 5] is NOT independently entered — it is auto-pulled from Section 3's per-fuel combined total (Office + Road Side pumps). Computer/Pump Diff Consumption = Consumption − Diff. Benefit/Loss = Consumption + Computer/Pump Diff Consumption. Deduct Testing/Density = Consumption − 10.5 (a fixed daily density-testing sample: 5L Diesel + 5L Petrol + 0.5L beta, matching the Daily Sales Report's Expenses line and Section 9's identical MS/HS Deduct Testing columns — confirmed as the exact same 10.5 figure in both places)</w:t>
      </w:r>
    </w:p>
    <w:p>
      <w:pPr>
        <w:pStyle w:val="ListParagraph"/>
        <w:numPr>
          <w:ilvl w:val="0"/>
          <w:numId w:val="1"/>
        </w:numPr>
        <w:spacing w:after="60"/>
      </w:pPr>
      <w:r>
        <w:t xml:space="preserve">Section 3 (Day Sales Report): per-pump Consumption = Today Reading − Last Shift Reading; per-pump Amount = Consumption × Rate. The Diesel/Petrol Total rows sum both pumps (Office + Road Side). 3.9 Daily Sales Total Amt = combined fuel Total Amount + the three oil line amounts (3.6+3.7+3.8)</w:t>
      </w:r>
    </w:p>
    <w:p>
      <w:pPr>
        <w:pStyle w:val="ListParagraph"/>
        <w:numPr>
          <w:ilvl w:val="0"/>
          <w:numId w:val="1"/>
        </w:numPr>
        <w:spacing w:after="60"/>
      </w:pPr>
      <w:r>
        <w:t xml:space="preserve">Section 4 (Daily Cash Value): 4.5 Total = sum of 4.1–4.4. 4.6 Old Cash + Current Day Total = 4.5 (auto-carried, same value). 4.12 Total Amt = 4.6 + 4.7 + 4.8 + 4.9 + 4.10 + 4.11. 4.16 Total Balance = 4.12 + sum of all Cash Advances/New Credits creditor amounts (4.14 onward — this list is variable-length, 4 creditors on AUG11 and 5 on AUG12, so the digital form's creditor rows must be expandable, not fixed at 2)</w:t>
      </w:r>
    </w:p>
    <w:p>
      <w:pPr>
        <w:pStyle w:val="ListParagraph"/>
        <w:numPr>
          <w:ilvl w:val="0"/>
          <w:numId w:val="1"/>
        </w:numPr>
        <w:spacing w:after="60"/>
      </w:pPr>
      <w:r>
        <w:t xml:space="preserve">REAL DATA-QUALITY FINDING confirmed during this verification: the actual AUG12 sheet has 4.6 recorded as 0 instead of the correct carried-forward value (128,995, matching 4.5 that day) — an apparent human data-entry gap, since AUG11's own sheet shows 4.6 exactly equal to 4.5 as expected. This is exactly the kind of error the digital system's auto-calculation prevents: by computing 4.6 automatically from 4.5 rather than requiring separate manual entry, this class of mistake becomes structurally impossible rather than merely discouraged</w:t>
      </w:r>
    </w:p>
    <w:p>
      <w:pPr>
        <w:pStyle w:val="ListParagraph"/>
        <w:numPr>
          <w:ilvl w:val="0"/>
          <w:numId w:val="1"/>
        </w:numPr>
        <w:spacing w:after="60"/>
      </w:pPr>
      <w:r>
        <w:t xml:space="preserve">Section 5 (Cash Value Reconciliation): 5.3 Total = 5.1 + 5.2. 5.4 Today's Book Value Accounted = Section 4's 4.16 Total Balance (pulled, not independently entered). 5.5 Difference = 5.4 − 5.3</w:t>
      </w:r>
    </w:p>
    <w:p>
      <w:pPr>
        <w:pStyle w:val="ListParagraph"/>
        <w:numPr>
          <w:ilvl w:val="0"/>
          <w:numId w:val="1"/>
        </w:numPr>
        <w:spacing w:after="60"/>
      </w:pPr>
      <w:r>
        <w:t xml:space="preserve">Section 6 (Stock Value): Amount = Ltrs × Rate per fuel; Total Stock Value = sum of both fuels. NOTE: the Rate used here (verified as a CONSTANT ₹102.75/HS and ₹113.56/MS across both AUG11 and AUG12) is neither the Sell Rate (₹105.36/₹117.70, confirmed in Section 5.11) nor confirmed to be the new Buy Rate HS/MS (Section 5.11) — it appears to be a separate stock-valuation rate. RESOLVED (2026-08-17, client confirmed): this Rate auto-pulls from Rate Master (Section 5.11) — same principle already established for Gas Sale(s) and Oil Sale(s) Rate columns elsewhere in this BRD. CORRECTED (2026-08-17, client explicitly confirmed): Sell Rate HS/MS, NOT Buy Rate HS/MS as previously recommended on accounting-convention grounds. The client's instruction was explicit this time ("the rate col should come from Rate Master Sell Rates"), overriding the earlier Buy Rate recommendation. IMPORTANT DIVERGENCE FROM HISTORICAL DATA, noted for transparency: the real AUG11/AUG12 sheets show Stock Value using a rate of ₹102.75 (HS) / ₹113.56 (MS) — neither the confirmed Sell Rate (₹105.36/₹117.70) nor a Buy Rate figure we have on record. Going forward with Sell Rate as instructed means computed Stock Value (and everything downstream: Section 7 Total Amount, Section 8 Difference) will no longer exactly match what the historical AUG11/AUG12 sheets recorded for those figures — this is the expected and correct result of changing the rate methodology, not an error in the formula chain, which remains independently verified (Ltrs x Rate, sum for Total)</w:t>
      </w:r>
    </w:p>
    <w:p>
      <w:pPr>
        <w:pStyle w:val="ListParagraph"/>
        <w:numPr>
          <w:ilvl w:val="0"/>
          <w:numId w:val="1"/>
        </w:numPr>
        <w:spacing w:after="60"/>
      </w:pPr>
      <w:r>
        <w:t xml:space="preserve">Section 7 (Trail Balance): 7.1 Cash Value from Above Accounted = Section 5's 5.4 (= Section 4's 4.16, chained). 7.2 Stock Value from Above = Section 6's Total Stock Value (6.3). 7.3 Total Amount = 7.1 + 7.2</w:t>
      </w:r>
    </w:p>
    <w:p>
      <w:pPr>
        <w:pStyle w:val="ListParagraph"/>
        <w:numPr>
          <w:ilvl w:val="0"/>
          <w:numId w:val="1"/>
        </w:numPr>
        <w:spacing w:after="60"/>
      </w:pPr>
      <w:r>
        <w:t xml:space="preserve">Section 8 (Trail Balance - Profit Pump Vs Computer Readings): 8.1 As of Yesterday Trail Balance = the PRIOR DAY's own Section 7 Total Amount (7.3) — confirmed via the AUG11→AUG12 day-to-day chain (AUG11's 7.3 exactly equals AUG12's 8.1). 8.2 Today's Actual Profit = Section 10's 10.6 Daily Profit (pulled). 8.3 Total = 8.1 + 8.2. 8.4 Difference = Section 7's 7.3 (same-day) − 8.3. RESOLVED (2026-08-17, client confirmed): the source sheet's second column (D) is confirmed NOT needed — the AUG11/AUG12 inconsistency (D populated on AUG11, empty on AUG12) reflects that only column C represents the real, current process. Client-confirmed real-time logic: "As of Yesterday Trail Balance" comes from yesterday's Trail Balance, Daily Profit is added, and that becomes today's Trail Balance. PRECISION ADDED via verification against real data: 8.1 "As of Yesterday Trail Balance" specifically pulls from the PRIOR DAY's Section 7 Total Amount (7.3, the REAL/actual total from cash+stock accounting) — NOT from the prior day's own Section 8 Total (8.3, the profit-projected total). Confirmed numerically: AUG12's 8.1 (5,023,004.33) exactly matches AUG11's 7.3, not AUG11's own 8.3 (5,020,247.3925, a different figure). This means Section 8 functions as a genuine daily reconciliation check — comparing "what the total should be based on carrying forward yesterday's real total plus today's profit" (8.3) against "what the total actually is today from real cash+stock counts" (7.3) — and 8.4 Difference shows the gap. Critically, each day resets its starting point to the REAL prior-day total (7.3), so a wrong profit estimate on one day does not compound into future days' figures. Implemented in the HTML mockup: 8.1 changed from a manually-typed field to disabled/auto-carried, matching the same carry-forward UI pattern already used for Last Shift Reading (Section 5.4.1)</w:t>
      </w:r>
    </w:p>
    <w:p>
      <w:pPr>
        <w:pStyle w:val="ListParagraph"/>
        <w:numPr>
          <w:ilvl w:val="0"/>
          <w:numId w:val="1"/>
        </w:numPr>
        <w:spacing w:after="60"/>
      </w:pPr>
      <w:r>
        <w:t xml:space="preserve">Section 10 (Daily Mgmt Summary): 10.3 Total Cash Value By Daily Sales Paper Work = 10.1 + 10.2. 10.4 Today's Cash Value by Book = Section 4's 4.16 (pulled). 10.5 Difference = 10.3 − 10.4 (note: opposite sign convention from Section 5.5, which computes 5.4−5.3 — same magnitude, inverted sign; both conventions preserved as found in the source rather than forced to match). 10.7 and 10.8 both carry/pull the prior-day and current-day Section 7 Total Amount (7.3) respectively. 10.1 (Yesterday's Cash Value) and 10.7 (Yesterday's Total Stock+Cash Value) are prior-day carried values, not derivable from same-day fields — consistent with the day-to-day chaining already confirmed elsewhere (Section 4.4.1's Last Shift Reading auto-carry-forward is the same pattern). 10.9's "GOOD" / numeric-alert status logic could NOT be confirmed from the available data — tested against both Section 5.5 and Section 8.4's Difference values as candidate triggers, neither matched the days where "GOOD" was shown; left as a manual/judgment entry pending client clarification rather than guessed at</w:t>
      </w:r>
    </w:p>
    <w:p>
      <w:pPr>
        <w:spacing w:after="120"/>
      </w:pPr>
      <w:r>
        <w:rPr>
          <w:i/>
          <w:iCs/>
        </w:rPr>
        <w:t xml:space="preserve">Implementation: all confirmed formulas above are now real, tested JavaScript in daily_trial_balance_branded.html (not just documented) — verified by seeding the exact AUG12 input values and confirming every computed output matches AUG12's actual recorded totals. Section 4's Cash Advances/New Credits rows were also made expandable (previously fixed at 2 rows) to support the confirmed variable creditor count</w:t>
      </w:r>
    </w:p>
    <w:p>
      <w:pPr>
        <w:spacing w:after="120"/>
      </w:pPr>
      <w:r>
        <w:rPr>
          <w:b/>
          <w:bCs/>
        </w:rPr>
        <w:t xml:space="preserve">CONFIRMED CHANGES (2026-08-17):</w:t>
      </w:r>
    </w:p>
    <w:p>
      <w:pPr>
        <w:pStyle w:val="ListParagraph"/>
        <w:numPr>
          <w:ilvl w:val="0"/>
          <w:numId w:val="1"/>
        </w:numPr>
        <w:spacing w:after="60"/>
      </w:pPr>
      <w:r>
        <w:t xml:space="preserve">Section 1 — Yesterday Reading now auto-carries from the prior day's IOCL Current Reading at 23:59 IST, the same mechanism already confirmed for Daily Sales Report's Last Shift Reading (Section 5.4.1). Both fields (1.1, 1.2) changed from manually-typed to disabled/auto</w:t>
      </w:r>
    </w:p>
    <w:p>
      <w:pPr>
        <w:pStyle w:val="ListParagraph"/>
        <w:numPr>
          <w:ilvl w:val="0"/>
          <w:numId w:val="1"/>
        </w:numPr>
        <w:spacing w:after="60"/>
      </w:pPr>
      <w:r>
        <w:t xml:space="preserve">Section 3 — pump labels shortened: "Office Near by Pump 1" → "Off Pump 1", "Road Side Pump 2" → "Road Pump 2" (all 4 rows), consistent with the Print Blank Form button naming already used on the Daily Sales Entry form ("Road Front" / "Off Front"). The oil section restructured from 3 combined rows to 5 separate rows matching the Daily Sales Entry form's 5 SKUs exactly (2T/1.20 ML Total#, 2T/2.40 ML Total#, Acid Water Total 1 Lts, Acid Water Total 5 Lts, 20/40 Engine Total in Lts), simplified to just Item and Total Amount columns — Rate, Opening Stock, and Closing Stock are NOT shown here, since those live on the Daily Sales Entry form itself. CONFIRMED: these 5 amounts auto-pull from Daily Sales Entry's Section 8 (Daily Summary), summed across BOTH pump sales men's submissions for the day, not from either worker's individual entry alone</w:t>
      </w:r>
    </w:p>
    <w:p>
      <w:pPr>
        <w:pStyle w:val="ListParagraph"/>
        <w:numPr>
          <w:ilvl w:val="0"/>
          <w:numId w:val="1"/>
        </w:numPr>
        <w:spacing w:after="60"/>
      </w:pPr>
      <w:r>
        <w:t xml:space="preserve">Section 4 — Cash Advances/New Credits expandable rows already implemented (2026-08-16, Section 53 of this log) and reconfirmed as meeting this requirement; no further change needed</w:t>
      </w:r>
    </w:p>
    <w:p>
      <w:pPr>
        <w:pStyle w:val="ListParagraph"/>
        <w:numPr>
          <w:ilvl w:val="0"/>
          <w:numId w:val="1"/>
        </w:numPr>
        <w:spacing w:after="60"/>
      </w:pPr>
      <w:r>
        <w:t xml:space="preserve">Section 5 — 5.1 Yesterday Cash/Book Value now auto-carries from the PRIOR day's Section 4.16 Total Balance, changed from manually-typed to disabled/auto, consistent with the same carry-forward principle applied to Section 1 and Section 8.1</w:t>
      </w:r>
    </w:p>
    <w:p>
      <w:pPr>
        <w:pStyle w:val="ListParagraph"/>
        <w:numPr>
          <w:ilvl w:val="0"/>
          <w:numId w:val="1"/>
        </w:numPr>
        <w:spacing w:after="60"/>
      </w:pPr>
      <w:r>
        <w:t xml:space="preserve">Section 6 — Ltrs (6.1, 6.2) now auto-pulls from Section 1's IOCL Current Reading (matching the exact relationship already confirmed against real AUG11/AUG12 data), changed from manually-typed to disabled/auto. Rate corrected to Sell Rate — see the correction note earlier in this section for the resulting divergence from historical AUG11/AUG12 figures</w:t>
      </w:r>
    </w:p>
    <w:p>
      <w:pPr>
        <w:pStyle w:val="ListParagraph"/>
        <w:numPr>
          <w:ilvl w:val="0"/>
          <w:numId w:val="1"/>
        </w:numPr>
        <w:spacing w:after="60"/>
      </w:pPr>
      <w:r>
        <w:t xml:space="preserve">Section 7 — 7.1 Cash Value from Above Accounted reconfirmed as pulling from Section 5's 5.4 Today's Book Value Accounted; code updated to read directly from 5.4's own value rather than independently recomputing the same figure from Section 4, making the dependency explicit rather than merely numerically coincidental</w:t>
      </w:r>
    </w:p>
    <w:p>
      <w:pPr>
        <w:pStyle w:val="ListParagraph"/>
        <w:numPr>
          <w:ilvl w:val="0"/>
          <w:numId w:val="1"/>
        </w:numPr>
        <w:spacing w:after="60"/>
      </w:pPr>
      <w:r>
        <w:t xml:space="preserve">Section 8 — 8.1 As of Yesterday Trail Balance already confirmed (2026-08-17, earlier this same day) as auto-carrying from the prior day's Section 7.3 Total Amount; reconfirmed here, no further change needed. All demo-seeded seed values in the mockup are AUG11-derived, consistent with this confirmed carry-forward logic</w:t>
      </w:r>
    </w:p>
    <w:p>
      <w:pPr>
        <w:pStyle w:val="Heading2"/>
        <w:spacing w:after="120" w:before="240"/>
      </w:pPr>
      <w:r>
        <w:t xml:space="preserve">5.8.1 Field Names Updated per AUG18 Trial Balance Source (2026-08-17)</w:t>
      </w:r>
    </w:p>
    <w:p>
      <w:pPr>
        <w:spacing w:after="120"/>
      </w:pPr>
      <w:r>
        <w:rPr>
          <w:i/>
          <w:iCs/>
        </w:rPr>
        <w:t xml:space="preserve">Client provided a newer Trial Balance workbook (Trail_balance_AUG18_2026.xlsx, AUG18 tab) and asked that Sections 3 through 9 (the SOURCE SHEET'S own numbering) have their row and column names updated to match exactly. Scope was explicitly limited to renaming -- no restructuring, no new sections added beyond what is documented below as a deliberate exception.</w:t>
      </w:r>
    </w:p>
    <w:p>
      <w:pPr>
        <w:pStyle w:val="ListParagraph"/>
        <w:numPr>
          <w:ilvl w:val="0"/>
          <w:numId w:val="1"/>
        </w:numPr>
        <w:spacing w:after="60"/>
      </w:pPr>
      <w:r>
        <w:t xml:space="preserve">IMPORTANT DISCOVERY -- the source sheet's OWN section numbering does not match this BRD's Section 9/10 numbering: the source's "9. Daily Mgmt Reporting" corresponds to THIS BRD's Section 10 (Daily Mgmt Reporting, renamed from Daily Mgmt Summary this session); the source's "10. Daily Mgr Calucation" corresponds to THIS BRD's Section 9 (Daily Mgr Calculation). This BRD's own section numbers (1 through 10) are UNCHANGED to avoid renumbering the whole form -- only field-level names were updated to match the source's wording</w:t>
      </w:r>
    </w:p>
    <w:p>
      <w:pPr>
        <w:pStyle w:val="ListParagraph"/>
        <w:numPr>
          <w:ilvl w:val="0"/>
          <w:numId w:val="1"/>
        </w:numPr>
        <w:spacing w:after="60"/>
      </w:pPr>
      <w:r>
        <w:t xml:space="preserve">CONFLICT FLAGGED, resolved in favor of THIS instruction: Section 3's pump labels reverted from "Off Pump 1" / "Road Pump 2" (shortened per an earlier explicit client instruction, Section 56 of this log) back to the FULL names "Office Near by Pump 1" / "Road Side Pump 2", since that is exactly what the AUG18 source shows and this instruction explicitly asked to match the source. This reverses the earlier shortening -- flagged here rather than silently overridden, in case the shortened names were still wanted for a different reason</w:t>
      </w:r>
    </w:p>
    <w:p>
      <w:pPr>
        <w:pStyle w:val="ListParagraph"/>
        <w:numPr>
          <w:ilvl w:val="0"/>
          <w:numId w:val="1"/>
        </w:numPr>
        <w:spacing w:after="60"/>
      </w:pPr>
      <w:r>
        <w:t xml:space="preserve">Section 3 Oil Sales -- CONFIRMED: Oil Sales rows are needed; Opening Stock and Closing Stock columns are NOT needed (already matched the existing simplified Item + Total Amount structure). Item names updated to match AUG18 exactly: 2T/1.20 ML, 2T/1.50 ML, Battery Water Total 1 Lts, 20/40 Engine Total in 1/2Ltr, 20/40 Engine Total in 1Ltr (5 items, rows 3.6-3.10). A new subtotal row was added -- "3.11 Oil Sale(s): Total Amount" -- since the source sheet has this as its own row before the combined Daily Sales Total (renumbered to 3.12); this is the one addition made in this session, included because it is the sum of the 5 oil rows the client explicitly confirmed are needed, not new unrequested content</w:t>
      </w:r>
    </w:p>
    <w:p>
      <w:pPr>
        <w:pStyle w:val="ListParagraph"/>
        <w:numPr>
          <w:ilvl w:val="0"/>
          <w:numId w:val="1"/>
        </w:numPr>
        <w:spacing w:after="60"/>
      </w:pPr>
      <w:r>
        <w:t xml:space="preserve">NAMING MISMATCH FLAGGED, NOT RESOLVED: the 5 oil item names now confirmed for Trial Balance Section 3 (above) do NOT match Daily Sales Entry / Rate Master / Inventory Tracking's current 5 SKU names (2T/1.20 ML Total#, 2T/2.40 ML Total#, Acid Water Total 1 Lts, Acid Water Total 5 Lts, 20/40 Engine Total in Lts -- confirmed across Sections 5.4.1, 5.10, 5.11). The auto-pull from Daily Sales Entry's Section 8 Daily Summary, already documented for this row range, cannot function correctly while these names differ. This was NOT resolved in this session, since the client's instruction was scoped to the Trial Balance form only ("do not make any other changes to the existing Daily Trial Balance form") -- reconciling the other three forms' naming is a separate decision</w:t>
      </w:r>
    </w:p>
    <w:p>
      <w:pPr>
        <w:pStyle w:val="ListParagraph"/>
        <w:numPr>
          <w:ilvl w:val="0"/>
          <w:numId w:val="1"/>
        </w:numPr>
        <w:spacing w:after="60"/>
      </w:pPr>
      <w:r>
        <w:t xml:space="preserve">Section 4 renamed: title updated to "Daily Cash &amp; Bank Balances [IOCL Spana / Indian Bank / Yes Bank / Other Ongoing / New Credits]". Field 4.8 shortened to match the source's "@Fraud Pending" phrasing; field 4.16 renamed "Total Balance As of Today"</w:t>
      </w:r>
    </w:p>
    <w:p>
      <w:pPr>
        <w:pStyle w:val="ListParagraph"/>
        <w:numPr>
          <w:ilvl w:val="0"/>
          <w:numId w:val="1"/>
        </w:numPr>
        <w:spacing w:after="60"/>
      </w:pPr>
      <w:r>
        <w:t xml:space="preserve">Section 5 renamed: title updated to "Book/Cash Value Reconciliation"; fields 5.1, 5.3, 5.4, 5.5 renamed to "Yesterday SVR Cash/Book Value", "Total - Actual", "Today SVR Cash/Book Value Reported", and "Difference (Actual - Reported)" respectively, matching the source exactly. The underlying formulas (5.3 = 5.1+5.2; 5.4 pulled from 4.16; 5.5 = 5.4-5.3) are UNCHANGED -- only labels moved, not logic</w:t>
      </w:r>
    </w:p>
    <w:p>
      <w:pPr>
        <w:pStyle w:val="ListParagraph"/>
        <w:numPr>
          <w:ilvl w:val="0"/>
          <w:numId w:val="1"/>
        </w:numPr>
        <w:spacing w:after="60"/>
      </w:pPr>
      <w:r>
        <w:t xml:space="preserve">Section 7 renamed: title updated to "Trail Balance - Actual Reported - Today"; fields 7.1, 7.2, 7.3 renamed to "Today's SVR Cash/Book Value Reported", "Current Stock Value", and "Total SVR Network Reported". Formulas unchanged (7.1 pulled from 5.4; 7.2 pulled from 6.3; 7.3 = 7.1+7.2)</w:t>
      </w:r>
    </w:p>
    <w:p>
      <w:pPr>
        <w:pStyle w:val="ListParagraph"/>
        <w:numPr>
          <w:ilvl w:val="0"/>
          <w:numId w:val="1"/>
        </w:numPr>
        <w:spacing w:after="60"/>
      </w:pPr>
      <w:r>
        <w:t xml:space="preserve">Section 8 renamed: title updated to "Trail Balance - Projected - Today"; fields 8.1, 8.2, 8.3, 8.4 renamed to "Yesterday Trail Balance Reported Amt", "Daily Profit Inc Oil Sales", "Total - Projected", and "Difference (Actual - Projected)". The "Inc Oil Sales" wording on 8.2 clarifies that Daily Profit already includes oil sales profit, not fuel sales alone -- worth confirming this matches how 10.6/Daily Profit is actually computed upstream, not yet verified against source data for this specific point. Formulas unchanged (8.1 auto-carries from prior day's 7.3; 8.2 pulled from 10.6; 8.3 = 8.1+8.2; 8.4 = 7.3-8.3)</w:t>
      </w:r>
    </w:p>
    <w:p>
      <w:pPr>
        <w:pStyle w:val="ListParagraph"/>
        <w:numPr>
          <w:ilvl w:val="0"/>
          <w:numId w:val="1"/>
        </w:numPr>
        <w:spacing w:after="60"/>
      </w:pPr>
      <w:r>
        <w:t xml:space="preserve">Section 10 renamed: title updated from "Daily Mgmt Summary" to "Daily Mgmt Reporting", matching the source's "9. Daily Mgmt Reporting" (this BRD keeps its own Section 10 number, per the numbering note above). Fields 10.1, 10.3, 10.4, 10.5, 10.7, 10.8 renamed to match the source's wording (a hybrid of the source's two related sub-blocks, both of which map conceptually onto this BRD's single Section 10 -- see below). Fields 10.2 and 10.6 already matched the source's wording and needed no change</w:t>
      </w:r>
    </w:p>
    <w:p>
      <w:pPr>
        <w:pStyle w:val="ListParagraph"/>
        <w:numPr>
          <w:ilvl w:val="0"/>
          <w:numId w:val="1"/>
        </w:numPr>
        <w:spacing w:after="60"/>
      </w:pPr>
      <w:r>
        <w:t xml:space="preserve">BONUS FINDING, not requested but discovered while extracting AUG18: the previously-unresolved "GOOD" status logic (Section 53/55's open question) appears to follow a simple threshold -- the source shows "is OK" when the relevant Difference is under Rs 100 in absolute value (24.03 that day) and "Not Good" when it exceeds Rs 100 (-1197.96 that day, in a second parallel Difference calculation). This is a genuinely promising lead but was NOT implemented as auto-calculated status text in this session -- field 10.9's placeholder was updated to reference this discovered pattern, but the actual threshold logic remains manual/unconfirmed pending explicit client sign-off, consistent with "do not make any other changes"</w:t>
      </w:r>
    </w:p>
    <w:p>
      <w:pPr>
        <w:pStyle w:val="ListParagraph"/>
        <w:numPr>
          <w:ilvl w:val="0"/>
          <w:numId w:val="1"/>
        </w:numPr>
        <w:spacing w:after="60"/>
      </w:pPr>
      <w:r>
        <w:t xml:space="preserve">DELIBERATELY NOT ADDED, flagged for future consideration: the AUG18 source's "9. Daily Mgmt Reporting" section contains substantially more detail than what this BRD's Section 10 currently has -- an Expenses breakdown (Salaries, Power Bill, Salary Advance, Total Expenses) explaining what drives the day's Difference, and a second, more complete "Total SVR Networth Value - Projected" figure. Neither was added in this session, since doing so would exceed "update row and col names" into adding new content, which the client explicitly asked NOT to do this time</w:t>
      </w:r>
    </w:p>
    <w:p>
      <w:pPr>
        <w:pStyle w:val="Heading2"/>
        <w:spacing w:after="120" w:before="240"/>
      </w:pPr>
      <w:r>
        <w:t xml:space="preserve">5.8.2 Section 9/10 Swap and Further AUG18 Alignment (2026-08-17, later same day)</w:t>
      </w:r>
    </w:p>
    <w:p>
      <w:pPr>
        <w:spacing w:after="120"/>
      </w:pPr>
      <w:r>
        <w:rPr>
          <w:i/>
          <w:iCs/>
        </w:rPr>
        <w:t xml:space="preserve">Client issued a further round of corrections, several reversing choices made earlier the same day, plus the section-numbering swap flagged as a discovery in Section 5.8.1.</w:t>
      </w:r>
    </w:p>
    <w:p>
      <w:pPr>
        <w:pStyle w:val="ListParagraph"/>
        <w:numPr>
          <w:ilvl w:val="0"/>
          <w:numId w:val="1"/>
        </w:numPr>
        <w:spacing w:after="60"/>
      </w:pPr>
      <w:r>
        <w:t xml:space="preserve">SECTION NUMBERING SWAPPED, matching the source sheet's own numbering exactly: what this BRD called Section 9 (Daily Mgr Calculation, the 26-column running ledger) is now Section 10, renamed "Daily Mgr Reporting". What this BRD called Section 10 (Daily Mgmt Reporting) is now Section 9, keeping the same name. The two sections were also physically reordered in the digital form to match -- Daily Mgmt Reporting now appears BEFORE the ledger, exactly as in the source</w:t>
      </w:r>
    </w:p>
    <w:p>
      <w:pPr>
        <w:pStyle w:val="ListParagraph"/>
        <w:numPr>
          <w:ilvl w:val="0"/>
          <w:numId w:val="1"/>
        </w:numPr>
        <w:spacing w:after="60"/>
      </w:pPr>
      <w:r>
        <w:t xml:space="preserve">Section 9 (Daily Mgmt Reporting) REBUILT with the full AUG18 detail that Section 5.8.1 deliberately withheld pending explicit instruction -- now given. Added: an Expenses breakdown (Salaries Mid/End of Month, Power Bill, Salary Advance by name, Total Expenses -- auto-summed); a "Cash Value Diff ~ Report Mgmt ~Above Rs 100" row mirroring 9.5's figure; a second "Daily Trail Balance Reporting - Total SVR Networth" sub-block (Yesterday Trail Balance Reported Amt, Daily Profit, Total SVR Networth Value - Projected, Total SVR Network Reported, Difference [Reported - Projected], and the "Never be the case ~ Rs Above 100" status row); and Prepared By / Verified By / Sent to SVR and Bank Statement to Group Email BY fields, all matching the source's exact wording</w:t>
      </w:r>
    </w:p>
    <w:p>
      <w:pPr>
        <w:pStyle w:val="ListParagraph"/>
        <w:numPr>
          <w:ilvl w:val="0"/>
          <w:numId w:val="1"/>
        </w:numPr>
        <w:spacing w:after="60"/>
      </w:pPr>
      <w:r>
        <w:t xml:space="preserve">CONFIRMED formulas for the new fields, implemented and tested: Total Expenses = sum of the three expense lines. Total SVR Networth Value - Projected = Yesterday Trail Balance Reported Amt + Daily Profit. Difference [Reported - Projected] = Total SVR Network Reported minus the Projected figure. "Yesterday Trail Balance Reported Amt" in this second sub-block auto-carries from the SAME prior-day Section 7 Total already used for Section 8.1 -- confirmed consistent in both places, not two independent carry-forward mechanisms</w:t>
      </w:r>
    </w:p>
    <w:p>
      <w:pPr>
        <w:pStyle w:val="ListParagraph"/>
        <w:numPr>
          <w:ilvl w:val="0"/>
          <w:numId w:val="1"/>
        </w:numPr>
        <w:spacing w:after="60"/>
      </w:pPr>
      <w:r>
        <w:t xml:space="preserve">Section 8's dependency on Section 9 (8.2 Daily Profit, pulled) was rewired to the new field location and retested -- confirmed still computing correctly end-to-end after the swap and rebuild, no regression</w:t>
      </w:r>
    </w:p>
    <w:p>
      <w:pPr>
        <w:pStyle w:val="ListParagraph"/>
        <w:numPr>
          <w:ilvl w:val="0"/>
          <w:numId w:val="1"/>
        </w:numPr>
        <w:spacing w:after="60"/>
      </w:pPr>
      <w:r>
        <w:t xml:space="preserve">Section 3 pump labels shortened AGAIN -- third change in this area today -- to "Off Pump 1" and "Rd Pump 2". The client's phrasing ("Off Pump 1 vice versa and Rd Pump 1 vice versa") was ambiguous; interpreted as shortened labels for both pumps, correcting an apparent "Pump 1" typo to "Pump 2" for the road-side pump to stay consistent with the Pump 1/Pump 2 numbering used everywhere else in this BRD. Flagged in case this interpretation is wrong</w:t>
      </w:r>
    </w:p>
    <w:p>
      <w:pPr>
        <w:pStyle w:val="ListParagraph"/>
        <w:numPr>
          <w:ilvl w:val="0"/>
          <w:numId w:val="1"/>
        </w:numPr>
        <w:spacing w:after="60"/>
      </w:pPr>
      <w:r>
        <w:t xml:space="preserve">Section 6 Rate reverted to Buy Rate HS/MS -- third change in this area today (Buy Rate originally recommended, corrected to Sell Rate earlier the same day per explicit instruction, now reverted back to Buy Rate per this instruction). Demo data restored to the historical AUG11/AUG12 figures (Rs 102.75 / Rs 113.56), which happen to be close to what a Buy Rate might plausibly be, though no confirmed real Buy Rate figure exists on record to verify against exactly</w:t>
      </w:r>
    </w:p>
    <w:p>
      <w:pPr>
        <w:pStyle w:val="ListParagraph"/>
        <w:numPr>
          <w:ilvl w:val="0"/>
          <w:numId w:val="1"/>
        </w:numPr>
        <w:spacing w:after="60"/>
      </w:pPr>
      <w:r>
        <w:t xml:space="preserve">Generic "Fuel" and "Field" column headers removed from Sections 6, 7, and 8 -- the AUG18 source has no header label for that first column in any of these three sections, just bare row labels. Client's instructions used the phrases "Fuel row not needed", "Removed Field row not needed", and "remov Filed row" -- interpreted as the same request applied three times (once per section), given all three sections shared this exact same extraneous header pattern</w:t>
      </w:r>
    </w:p>
    <w:p>
      <w:pPr>
        <w:pStyle w:val="ListParagraph"/>
        <w:numPr>
          <w:ilvl w:val="0"/>
          <w:numId w:val="1"/>
        </w:numPr>
        <w:spacing w:after="60"/>
      </w:pPr>
      <w:r>
        <w:t xml:space="preserve">Section 7's total row renamed from "7.3 Total SVR Network Reported" to "Total SVR Net worth Reported Amt", with the "7.3" numbering prefix explicitly removed per instruction -- this is now the only row in Sections 1-10 without X.Y numbering, aside from the two sections (2 and 9's ledger) already excepted from numbering in Section 5.8's earlier notes</w:t>
      </w:r>
    </w:p>
    <w:p>
      <w:pPr>
        <w:pStyle w:val="ListParagraph"/>
        <w:numPr>
          <w:ilvl w:val="0"/>
          <w:numId w:val="1"/>
        </w:numPr>
        <w:spacing w:after="60"/>
      </w:pPr>
      <w:r>
        <w:t xml:space="preserve">Tag-balance and full formula-chain regression tested after every batch of changes, including a full-page visual render, confirming: the section order swap is correct (Daily Mgmt Reporting before Daily Mgr Reporting), all new Section 9 fields compute correctly, Section 8 still correctly pulls Daily Profit from the new location, and Section 6's Buy Rate change correctly restores the historical AUG11/AUG12-adjacent Stock Value figures</w:t>
      </w:r>
    </w:p>
    <w:p>
      <w:pPr>
        <w:pStyle w:val="Heading2"/>
        <w:spacing w:after="120" w:before="240"/>
      </w:pPr>
      <w:r>
        <w:t xml:space="preserve">5.8.3 Further Cleanup — Add Row Removed, Header Rows Removed (2026-08-17, later same day)</w:t>
      </w:r>
    </w:p>
    <w:p>
      <w:pPr>
        <w:pStyle w:val="ListParagraph"/>
        <w:numPr>
          <w:ilvl w:val="0"/>
          <w:numId w:val="1"/>
        </w:numPr>
        <w:spacing w:after="60"/>
      </w:pPr>
      <w:r>
        <w:t xml:space="preserve">Section 2 (Load/Unload Details): the "+ Add row" button removed — CONFIRMED: this section is fixed at exactly 2 rows (Diesel, Petrol), no longer expandable. Consistent with the section only applying on days IOCL delivers a load, where a fixed 2-row form is sufficient</w:t>
      </w:r>
    </w:p>
    <w:p>
      <w:pPr>
        <w:pStyle w:val="ListParagraph"/>
        <w:numPr>
          <w:ilvl w:val="0"/>
          <w:numId w:val="1"/>
        </w:numPr>
        <w:spacing w:after="60"/>
      </w:pPr>
      <w:r>
        <w:t xml:space="preserve">Section 5 (Book/Cash Value Reconciliation): the "Field" / "Amount" column header row removed entirely — going further than Sections 6-8's earlier fix (which removed only the first column's label, keeping "Amount"). Section 5's table now has no header row at all, matching this specific instruction</w:t>
      </w:r>
    </w:p>
    <w:p>
      <w:pPr>
        <w:pStyle w:val="ListParagraph"/>
        <w:numPr>
          <w:ilvl w:val="0"/>
          <w:numId w:val="1"/>
        </w:numPr>
        <w:spacing w:after="60"/>
      </w:pPr>
      <w:r>
        <w:t xml:space="preserve">Section 8 (Trail Balance - Projected - Today): the remaining "Amount" header removed too (the blank first-column header from the earlier Sections 6-8 fix was already gone) — Section 8's table now also has no header row, matching Section 5's treatment</w:t>
      </w:r>
    </w:p>
    <w:p>
      <w:pPr>
        <w:pStyle w:val="ListParagraph"/>
        <w:numPr>
          <w:ilvl w:val="0"/>
          <w:numId w:val="1"/>
        </w:numPr>
        <w:spacing w:after="60"/>
      </w:pPr>
      <w:r>
        <w:t xml:space="preserve">Real bug caught and fixed while editing Section 8: field 8.2's placeholder text still read "auto (= 10.6)", a stale reference left over from the Section 9/10 swap earlier the same day (Section 5.8.2) — the actual Daily Profit field moved to Section 9 during that swap, but this one placeholder string was missed. Corrected to "auto (= Section 9 Daily Profit)"; searched the rest of the document for any other stale "10.6"/"10.7"/"10.8"/"10.9" references and confirmed none remain</w:t>
      </w:r>
    </w:p>
    <w:p>
      <w:pPr>
        <w:pStyle w:val="ListParagraph"/>
        <w:numPr>
          <w:ilvl w:val="0"/>
          <w:numId w:val="1"/>
        </w:numPr>
        <w:spacing w:after="60"/>
      </w:pPr>
      <w:r>
        <w:t xml:space="preserve">Regression tested: confirmed only 2 "+ Add row" buttons remain in the whole form (Section 4 creditors, Section 10's ledger — both still genuinely need to be expandable), and the full formula chain (5.3, 5.5, 8.2, 8.3, 8.4) still computes correctly after all removals, including the corrected 8.2 reference</w:t>
      </w:r>
    </w:p>
    <w:p>
      <w:pPr>
        <w:pStyle w:val="Heading2"/>
        <w:spacing w:after="120" w:before="240"/>
      </w:pPr>
      <w:r>
        <w:t xml:space="preserve">5.8.4 Full Formula Re-Verification Against Real AUG19 Data, Plus New Carry-Forward Rules (2026-08-19)</w:t>
      </w:r>
    </w:p>
    <w:p>
      <w:pPr>
        <w:spacing w:after="120"/>
      </w:pPr>
      <w:r>
        <w:rPr>
          <w:i/>
          <w:iCs/>
        </w:rPr>
        <w:t xml:space="preserve">Client requested a comprehensive pass across all 10 sections using a newer AUG18/AUG19 workbook: reconfirm every column's calculation, add two new carry-forward rules (Sections 2 and 3), ensure Section 10's ledger keeps at least 30 rows, and add Import capability for the whole form. Two interpretation notes and one real gap fix came out of this pass.</w:t>
      </w:r>
    </w:p>
    <w:p>
      <w:pPr>
        <w:pStyle w:val="ListParagraph"/>
        <w:numPr>
          <w:ilvl w:val="0"/>
          <w:numId w:val="1"/>
        </w:numPr>
        <w:spacing w:after="60"/>
      </w:pPr>
      <w:r>
        <w:t xml:space="preserve">INTERPRETATION NOTE: the client's instruction listed "Section 8" twice with different content ("Rate from Rate Master Buy Rate" and separately "use of excel sheet calculations"), but Section 8 (Trail Balance - Projected - Today) has no Rate column at all -- only Section 6 (Stock Value) does. Interpreted the Rate instruction as intended for Section 6, reconfirming the Buy Rate decision already in place from Section 59. Section 8's own instruction (its Yesterday/Profit/Total/Difference chain) was reconfirmed separately, unaffected by this correction</w:t>
      </w:r>
    </w:p>
    <w:p>
      <w:pPr>
        <w:pStyle w:val="ListParagraph"/>
        <w:numPr>
          <w:ilvl w:val="0"/>
          <w:numId w:val="1"/>
        </w:numPr>
        <w:spacing w:after="60"/>
      </w:pPr>
      <w:r>
        <w:t xml:space="preserve">Section 1: already complete from prior sessions -- every column (Diff, Consumption, Computer/Pump Diff, Benefit/Loss, Deduct Testing) already auto-calculated. No changes needed, reconfirmed against AUG19</w:t>
      </w:r>
    </w:p>
    <w:p>
      <w:pPr>
        <w:pStyle w:val="ListParagraph"/>
        <w:numPr>
          <w:ilvl w:val="0"/>
          <w:numId w:val="1"/>
        </w:numPr>
        <w:spacing w:after="60"/>
      </w:pPr>
      <w:r>
        <w:t xml:space="preserve">Section 2 (Load/Unload Details) -- NEW carry-forward: "Old Computer" now auto-carries from this fuel's most recent Load/Unload entry, since IOCL does not deliver daily -- no re-entry required on non-delivery days. NEW FORMULA CONFIRMED against real AUG19 data (not previously documented): Total = New Computer minus Old Computer (Lost is tracked separately, not subtracted) -- verified exact for both Diesel (15689-3736=11953) and Petrol (14927-4933=9994)</w:t>
      </w:r>
    </w:p>
    <w:p>
      <w:pPr>
        <w:pStyle w:val="ListParagraph"/>
        <w:numPr>
          <w:ilvl w:val="0"/>
          <w:numId w:val="1"/>
        </w:numPr>
        <w:spacing w:after="60"/>
      </w:pPr>
      <w:r>
        <w:t xml:space="preserve">Section 3 (Day Sales Report) -- NEW carry-forward confirmed: Today Reading becomes next day's Last Shift Reading at 23:59 IST, for all 4 fuel/pump rows (Off Pump 1 HS/MS, Rd Pump 2 HS/MS) -- same mechanism already confirmed for Section 5.4.1 and Section 1, now extended explicitly to Section 3's own pump-side readings (a separate reading from Section 1's regulatory reading, per the existing note distinguishing the two). Rate confirmed as Sell Rate HS/MS from Rate Master (already implemented, reconfirmed)</w:t>
      </w:r>
    </w:p>
    <w:p>
      <w:pPr>
        <w:pStyle w:val="ListParagraph"/>
        <w:numPr>
          <w:ilvl w:val="0"/>
          <w:numId w:val="1"/>
        </w:numPr>
        <w:spacing w:after="60"/>
      </w:pPr>
      <w:r>
        <w:t xml:space="preserve">Section 4: kept as-is per explicit instruction, reconfirmed against AUG19 -- no changes</w:t>
      </w:r>
    </w:p>
    <w:p>
      <w:pPr>
        <w:pStyle w:val="ListParagraph"/>
        <w:numPr>
          <w:ilvl w:val="0"/>
          <w:numId w:val="1"/>
        </w:numPr>
        <w:spacing w:after="60"/>
      </w:pPr>
      <w:r>
        <w:t xml:space="preserve">Sections 5, 6, 7: all existing formulas reconfirmed exactly against AUG19 (5.3=5.1+5.2; 5.4 pulled from 4.16; 5.5=5.4-5.3; 6 Amount=Ltrs x Rate; 7.3=7.1+7.2). No changes to the calculations themselves</w:t>
      </w:r>
    </w:p>
    <w:p>
      <w:pPr>
        <w:pStyle w:val="ListParagraph"/>
        <w:numPr>
          <w:ilvl w:val="0"/>
          <w:numId w:val="1"/>
        </w:numPr>
        <w:spacing w:after="60"/>
      </w:pPr>
      <w:r>
        <w:t xml:space="preserve">Section 8: formulas reconfirmed exactly against AUG19 (8.1 auto-carries from prior day's 7.3; 8.2 pulled from Section 9's Daily Profit; 8.3=8.1+8.2; 8.4=7.3-8.3). No changes to the calculations themselves</w:t>
      </w:r>
    </w:p>
    <w:p>
      <w:pPr>
        <w:pStyle w:val="ListParagraph"/>
        <w:numPr>
          <w:ilvl w:val="0"/>
          <w:numId w:val="1"/>
        </w:numPr>
        <w:spacing w:after="60"/>
      </w:pPr>
      <w:r>
        <w:t xml:space="preserve">Section 9: REAL GAP FOUND AND FIXED -- the "Never be the case ~ Rs Above 100" status field was previously left entirely unwired (manual only, per Section 53/55's unresolved "GOOD status logic" question). Now implemented with a CONFIRMED formula, carefully sign-checked against real AUG19 figures after an initial sign error was caught and corrected during testing: Never be the case = Difference [Reported - Projected] PLUS the 9.5 Difference value (as computed, not a separately-typed number) -- verified exact (-1282.6808) against AUG19's real recorded value. This does not yet address the separate, still-open question of whether the resulting number should also produce "is OK" / "Not Good" status TEXT -- only the underlying number is now computed correctly</w:t>
      </w:r>
    </w:p>
    <w:p>
      <w:pPr>
        <w:pStyle w:val="ListParagraph"/>
        <w:numPr>
          <w:ilvl w:val="0"/>
          <w:numId w:val="1"/>
        </w:numPr>
        <w:spacing w:after="60"/>
      </w:pPr>
      <w:r>
        <w:t xml:space="preserve">Section 10 (the 26-column ledger): CONFIRMED -- now pre-populates 30 blank rows on load instead of just 1, so at least 30 days of history can be entered without needing "+ Add row" clicked repeatedly. The button remains available for more than 30 if needed</w:t>
      </w:r>
    </w:p>
    <w:p>
      <w:pPr>
        <w:pStyle w:val="ListParagraph"/>
        <w:numPr>
          <w:ilvl w:val="0"/>
          <w:numId w:val="1"/>
        </w:numPr>
        <w:spacing w:after="60"/>
      </w:pPr>
      <w:r>
        <w:t xml:space="preserve">Import/Export: CONFIRMED -- an "Import from Excel" button added alongside the existing Export and Print buttons, with a caption stating the scope explicitly covers Sections 1-10 for the selected day (not the header meta-fields or Verified By block) -- matching the same scope-caption pattern already used on the Daily Sales Entry form</w:t>
      </w:r>
    </w:p>
    <w:p>
      <w:pPr>
        <w:spacing w:after="120"/>
      </w:pPr>
      <w:r>
        <w:rPr>
          <w:i/>
          <w:iCs/>
        </w:rPr>
        <w:t xml:space="preserve">STRONGEST VERIFICATION RUN IN THIS PROJECT TO DATE: the demo-seed function was fully replaced with the complete, real AUG19 dataset (not a partial/mixed set as before), and 14 computed outputs spanning all 10 sections were checked against AUG19's actual recorded totals -- Section 1 Diff, Section 2 Totals (both fuels), Section 3 Daily Sales Total, Section 4 Total Balance, Section 5 Total and Difference, Section 6 Total Stock Value, Section 7 Total, Section 8 Total and Difference, and Section 9's Total-Projected, Difference, and the newly-fixed "Never be the case" status. All 14 matched exactly on the first fully-corrected run, after finding and fixing two real issues during testing: a test-setup gap (forgetting to add the extra creditor rows before seeding, initially producing false mismatches) and the genuine sign error in the "Never be the case" formula described above</w:t>
      </w:r>
    </w:p>
    <w:p>
      <w:pPr>
        <w:spacing w:after="120"/>
      </w:pPr>
      <w:r>
        <w:rPr>
          <w:i/>
          <w:iCs/>
        </w:rPr>
        <w:t xml:space="preserve">CORRECTION (2026-08-13): Section 9 (Daily Mgr Calculation) was under-documented above and in the resulting form mockup. A first pass only captured 8 of its columns (A78:H78); a second pass caught 8 more (I78:P78, total 16) but still stopped short. Verified against the FULL row A78:Z78 in the live AUG12 tab — confirmed with column-by-column cross-check against a populated data row (row 79, 7/26) to ensure every header has real data beneath it, and confirmed no columns exist beyond Z — Section 9 has 26 columns total. The CONFIRMED complete column set is: Date, Total MS Sale, Total HS Sale, MS Deduct Testing, HS Deduct Testing, MS Total Rs, HS Total Rs, Total Sales Rs, Daily Expenses (Tiffins/Unloads), 2T Sale, Total Sale, Settled Phone Pay, UnSettled Phone Pay, Fleet Card Swipe, Credit Card Swipe, Credit (Any), Night Cash - Total, Day Cash - Total, Total Cash After All, Difference, Bank Deposits (Any), MS Comm, HS Comm, Total Comm, Day Profit, 2T Sales. The daily_trial_balance_branded.html mockup has been corrected to include all 26 columns, with the table wrapped in a horizontal-scroll container since this width far exceeds the form's normal layout even in A4 Landscape.</w:t>
      </w:r>
    </w:p>
    <w:p>
      <w:pPr>
        <w:spacing w:after="120"/>
      </w:pPr>
      <w:r>
        <w:rPr>
          <w:i/>
          <w:iCs/>
        </w:rPr>
        <w:t xml:space="preserve">Note the client-facing implication: Section 9's Settled/UnSettled Phone Pay, Fleet Card Swipe, and Credit Card Swipe columns are DAILY historical figures for the running ledger — distinct from the CURRENT-day entry fields of the same name in Section 4 and the Daily Sales Report. Once a day closes, its Section 4 figures become that day's Section 9 row; the digital system should populate Section 9 rows automatically from each day's finalized Section 4 record rather than requiring separate manual entry, consistent with the running-ledger design already confirmed for this section.</w:t>
      </w:r>
    </w:p>
    <w:p>
      <w:pPr>
        <w:spacing w:after="120"/>
      </w:pPr>
      <w:r>
        <w:rPr>
          <w:i/>
          <w:iCs/>
        </w:rPr>
        <w:t xml:space="preserve">Two new findings from this pass: (1) Section 4's Indian Bank Statement Ending Balance row is now explicitly labeled in the live sheet as "@Fraud Pending -Rs 13367" — this resolves the unexplained 13,366.21 discrepancy identified earlier (Section 4.4/20) between the naive OD-limit calculation and the recorded figure; the digital field should support excluding a labeled fraud-pending/blocked amount from the usable balance, with the amount itself entered or tracked separately. (2) Section 4 also contains a row literally annotated by the client as "Old Credit Cash hand off (Remove the Row)" — confirms this row is a leftover that should NOT be included in the digital form; excluded from the form design accordingly. Section 11 (Old/New Credit Sales Details, containing the Fleet Card Balance Tracking fields) was visible in the AUG12 tab but is OUT OF SCOPE for this update per client instruction and is left as previously documented (Section 5.8 duplication table, UNDER REVIEW).</w:t>
      </w:r>
    </w:p>
    <w:p>
      <w:pPr>
        <w:spacing w:after="120"/>
      </w:pPr>
      <w:r>
        <w:rPr>
          <w:i/>
          <w:iCs/>
        </w:rPr>
        <w:t xml:space="preserve">CORRECTION to the duplication table below: Section 1 (IOCL Computer &amp; Pump Readings) was previously classified as DUPLICATE / pulled from the Daily Sales Report. This is INCORRECT and is corrected here. Verified against real AUG12 tab figures: Section 1's IOCL Yesterday/Current Reading values (e.g. 6,678 / 5,393) are a completely different order of magnitude from Section 3's per-pump readings (e.g. 256,466 / 1,477,661) — proving Section 1 is an INDEPENDENT reading, not derived from the Daily Sales Report. CONFIRMED with client: the IOCL reading is a separate regulatory flow-computer reading, distinct from the pump dispenser readings the two pump sales men record on their Daily Sales Reports. Section 1 requires its own manual entry point in the digital form and must NOT be auto-filled/disabled the way Section 3 correctly is.</w:t>
      </w:r>
    </w:p>
    <w:p>
      <w:pPr>
        <w:spacing w:after="120"/>
      </w:pPr>
      <w:r>
        <w:rPr>
          <w:i/>
          <w:iCs/>
        </w:rPr>
        <w:t xml:space="preserve">CONFIRMED — Daily Stock Value formula: Daily Sales reporting (Section 3, pulled from the Daily Sales Report) is always based strictly on pump readings — this is the base truth for sales. The IOCL Reading (Section 1) is the separate regulatory reading. Every day, both pump sales men' Daily Sales Reports are summarized into combined HS (Diesel) and MS (Petrol) totals; these summarized pump consumption totals are then DEDUCTED FROM the IOCL regulatory reading's consumption to determine the Daily Stock Value (Section 6). This is exactly what Section 1's "Computer/Pump Diff Consumption" and "Benefit/Loss" columns represent — the reconciliation between the two independent readings — and this reconciled figure feeds into Section 6's Stock Value calculation. This formula relationship should be implemented as a computed field in the digital system: Stock Value input = IOCL consumption (Section 1, manually entered) minus summarized pump consumption (Section 3, auto-pulled from both Daily Sales Reports for the day).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150"/>
        <w:gridCol w:w="3000"/>
      </w:tblGrid>
      <w:tr>
        <w:tc>
          <w:tcPr>
            <w:tcW w:type="dxa" w:w="2200"/>
            <w:shd w:fill="1F4E78" w:val="clear"/>
          </w:tcPr>
          <w:p>
            <w:r>
              <w:rPr>
                <w:b/>
                <w:bCs/>
                <w:color w:val="FFFFFF"/>
              </w:rPr>
              <w:t xml:space="preserve">Section</w:t>
            </w:r>
          </w:p>
        </w:tc>
        <w:tc>
          <w:tcPr>
            <w:tcW w:type="dxa" w:w="4150"/>
            <w:shd w:fill="1F4E78" w:val="clear"/>
          </w:tcPr>
          <w:p>
            <w:r>
              <w:rPr>
                <w:b/>
                <w:bCs/>
                <w:color w:val="FFFFFF"/>
              </w:rPr>
              <w:t xml:space="preserve">Description</w:t>
            </w:r>
          </w:p>
        </w:tc>
        <w:tc>
          <w:tcPr>
            <w:tcW w:type="dxa" w:w="3000"/>
            <w:shd w:fill="1F4E78" w:val="clear"/>
          </w:tcPr>
          <w:p>
            <w:r>
              <w:rPr>
                <w:b/>
                <w:bCs/>
                <w:color w:val="FFFFFF"/>
              </w:rPr>
              <w:t xml:space="preserve">Duplicate Data? / Recommendation</w:t>
            </w:r>
          </w:p>
        </w:tc>
      </w:tr>
      <w:tr>
        <w:tc>
          <w:tcPr>
            <w:tcW w:type="dxa" w:w="2200"/>
          </w:tcPr>
          <w:p>
            <w:r>
              <w:t xml:space="preserve">Pump Reconciliation</w:t>
            </w:r>
          </w:p>
        </w:tc>
        <w:tc>
          <w:tcPr>
            <w:tcW w:type="dxa" w:w="4150"/>
          </w:tcPr>
          <w:p>
            <w:r>
              <w:t xml:space="preserve">Diesel/Petrol current vs. last reading, computer vs. pump consumption, benefit/loss — broken out per physical pump ("Office Near by Pump 1", "Road Side Pump 2"), then totaled. CONFIRMED data source: both the per-pump "Today Reading / Last Shift Reading" values (Daily Pump Readings section) and the top-of-sheet overview summary "Last old Reading / Current Reading" values come from the Daily Sales Reports submitted by the two salesmen (pump sales men) for their shifts — the Trial Balance does not capture its own independent pump readings for either section</w:t>
            </w:r>
          </w:p>
        </w:tc>
        <w:tc>
          <w:tcPr>
            <w:tcW w:type="dxa" w:w="3000"/>
          </w:tcPr>
          <w:p>
            <w:r>
              <w:t xml:space="preserve">DUPLICATE of Daily Sales Report Gas Sale(s) (5.4.1) — and resolves that section's open per-pump question: readings ARE tracked per physical pump/machine in practice. Trial Balance should pull this from Daily Sales Report records, not re-enter it</w:t>
            </w:r>
          </w:p>
        </w:tc>
      </w:tr>
      <w:tr>
        <w:tc>
          <w:tcPr>
            <w:tcW w:type="dxa" w:w="2200"/>
          </w:tcPr>
          <w:p>
            <w:r>
              <w:t xml:space="preserve">Truck Load/Unload Details</w:t>
            </w:r>
          </w:p>
        </w:tc>
        <w:tc>
          <w:tcPr>
            <w:tcW w:type="dxa" w:w="4150"/>
          </w:tcPr>
          <w:p>
            <w:r>
              <w:t xml:space="preserve">Per fuel delivery: old computer reading, new computer reading, load quantity, lost quantity, total — recorded once per truck delivery, not daily</w:t>
            </w:r>
          </w:p>
        </w:tc>
        <w:tc>
          <w:tcPr>
            <w:tcW w:type="dxa" w:w="3000"/>
          </w:tcPr>
          <w:p>
            <w:r>
              <w:t xml:space="preserve">NEW — not captured anywhere else in the BRD today</w:t>
            </w:r>
          </w:p>
        </w:tc>
      </w:tr>
      <w:tr>
        <w:tc>
          <w:tcPr>
            <w:tcW w:type="dxa" w:w="2200"/>
          </w:tcPr>
          <w:p>
            <w:r>
              <w:t xml:space="preserve">Oil Sales</w:t>
            </w:r>
          </w:p>
        </w:tc>
        <w:tc>
          <w:tcPr>
            <w:tcW w:type="dxa" w:w="4150"/>
          </w:tcPr>
          <w:p>
            <w:r>
              <w:t xml:space="preserve">2T Oil, B/Water, Engine Oil quantities and amounts</w:t>
            </w:r>
          </w:p>
        </w:tc>
        <w:tc>
          <w:tcPr>
            <w:tcW w:type="dxa" w:w="3000"/>
          </w:tcPr>
          <w:p>
            <w:r>
              <w:t xml:space="preserve">DUPLICATE of Daily Sales Report Oil Sale(s) (5.4.1) — pull, don't re-enter</w:t>
            </w:r>
          </w:p>
        </w:tc>
      </w:tr>
      <w:tr>
        <w:tc>
          <w:tcPr>
            <w:tcW w:type="dxa" w:w="2200"/>
          </w:tcPr>
          <w:p>
            <w:r>
              <w:t xml:space="preserve">Daily Sales Summary Block</w:t>
            </w:r>
          </w:p>
        </w:tc>
        <w:tc>
          <w:tcPr>
            <w:tcW w:type="dxa" w:w="4150"/>
          </w:tcPr>
          <w:p>
            <w:r>
              <w:t xml:space="preserve">Testing/density deduction, Phone Pay (settled/unsettled), Credit Card Swipe, IOC, Airtel Fleet Card, other credits, Night Cash Hand-off</w:t>
            </w:r>
          </w:p>
        </w:tc>
        <w:tc>
          <w:tcPr>
            <w:tcW w:type="dxa" w:w="3000"/>
          </w:tcPr>
          <w:p>
            <w:r>
              <w:t xml:space="preserve">DUPLICATE of Daily Sales Report Expenses / Credit Card Swiping / Summary Cash Hand Off (5.4.1) — pull, don't re-enter</w:t>
            </w:r>
          </w:p>
        </w:tc>
      </w:tr>
      <w:tr>
        <w:tc>
          <w:tcPr>
            <w:tcW w:type="dxa" w:w="2200"/>
          </w:tcPr>
          <w:p>
            <w:r>
              <w:t xml:space="preserve">Cash &amp; Bank Reconciliation</w:t>
            </w:r>
          </w:p>
        </w:tc>
        <w:tc>
          <w:tcPr>
            <w:tcW w:type="dxa" w:w="4150"/>
          </w:tcPr>
          <w:p>
            <w:r>
              <w:t xml:space="preserve">On-hand cash, bank balances (Indian Bank, Yes Bank QR), Phone Pay unsettled amount, bank-unsettled amount. PENDING (awaiting client confirmation): Phone Pay SETTLED amount is expected to be reflected in the Indian Bank Statement every day at 6:30 AM IST — meaning it should already be inside the "Bank balance INDIAN BANK" figure (Section 4.4) rather than needing its own line item — but this is not yet formally confirmed. Only the Phone Pay UNSETTLED amount (not yet landed in the bank) is tracked as its own field</w:t>
            </w:r>
          </w:p>
        </w:tc>
        <w:tc>
          <w:tcPr>
            <w:tcW w:type="dxa" w:w="3000"/>
          </w:tcPr>
          <w:p>
            <w:r>
              <w:t xml:space="preserve">NEW — genuinely Trial-Balance-specific, not covered elsewhere</w:t>
            </w:r>
          </w:p>
        </w:tc>
      </w:tr>
      <w:tr>
        <w:tc>
          <w:tcPr>
            <w:tcW w:type="dxa" w:w="2200"/>
          </w:tcPr>
          <w:p>
            <w:r>
              <w:t xml:space="preserve">Fleet Card Balance Tracking</w:t>
            </w:r>
          </w:p>
        </w:tc>
        <w:tc>
          <w:tcPr>
            <w:tcW w:type="dxa" w:w="4150"/>
          </w:tcPr>
          <w:p>
            <w:r>
              <w:t xml:space="preserve">Old vs. new Airtel Fleet Card balance</w:t>
            </w:r>
          </w:p>
        </w:tc>
        <w:tc>
          <w:tcPr>
            <w:tcW w:type="dxa" w:w="3000"/>
          </w:tcPr>
          <w:p>
            <w:r>
              <w:t xml:space="preserve">UNDER REVIEW — real IOC statement's Closing Balance already reconciles the "Fleet card" figure directly (see Section 4.4); this sub-section's necessity is now in question, pending station confirmation of what it tracks. RE-VERIFIED 2026-08-04 against the live AUG03 tab: this is NOT a sub-part of Section 8 (Trail Balance – Pump vs. Computer). It is a small standalone two-line block ("New Airttel Balance" / "Old Airttel Balance") sitting between Sections 8 and the historical log, not under its own numbered heading. The workbook's only other fleet-card reference is a "Fleet Card Swipe" column inside the Historical Daily Summary Log table — a different location again. Location and ownership of this data still need to be pinned down with the station alongside the open removal/merge question above</w:t>
            </w:r>
          </w:p>
        </w:tc>
      </w:tr>
      <w:tr>
        <w:tc>
          <w:tcPr>
            <w:tcW w:type="dxa" w:w="2200"/>
          </w:tcPr>
          <w:p>
            <w:r>
              <w:t xml:space="preserve">Stock Value Reconciliation</w:t>
            </w:r>
          </w:p>
        </w:tc>
        <w:tc>
          <w:tcPr>
            <w:tcW w:type="dxa" w:w="4150"/>
          </w:tcPr>
          <w:p>
            <w:r>
              <w:t xml:space="preserve">Computer on-hand stock readings, rate, amount per fuel; Total Stock Value; Book Value vs. Cash Value comparison; variance/difference flag</w:t>
            </w:r>
          </w:p>
        </w:tc>
        <w:tc>
          <w:tcPr>
            <w:tcW w:type="dxa" w:w="3000"/>
          </w:tcPr>
          <w:p>
            <w:r>
              <w:t xml:space="preserve">NEW — this is the core "trial balance" function: reconciling book value against physical stock and cash on hand</w:t>
            </w:r>
          </w:p>
        </w:tc>
      </w:tr>
      <w:tr>
        <w:tc>
          <w:tcPr>
            <w:tcW w:type="dxa" w:w="2200"/>
          </w:tcPr>
          <w:p>
            <w:r>
              <w:t xml:space="preserve">Historical Daily Summary Log</w:t>
            </w:r>
          </w:p>
        </w:tc>
        <w:tc>
          <w:tcPr>
            <w:tcW w:type="dxa" w:w="4150"/>
          </w:tcPr>
          <w:p>
            <w:r>
              <w:t xml:space="preserve">A rolling table of prior days' totals (sales, expenses, credits, cash) appears repeated inside every single daily tab in the sample workbook</w:t>
            </w:r>
          </w:p>
        </w:tc>
        <w:tc>
          <w:tcPr>
            <w:tcW w:type="dxa" w:w="3000"/>
          </w:tcPr>
          <w:p>
            <w:r>
              <w:t xml:space="preserve">DATA DUPLICATION ISSUE in the current spreadsheet process — the same history is copied into ~280 tabs. The new system should store this as ONE running ledger, derived/queried from daily records, never copied per entry</w:t>
            </w:r>
          </w:p>
        </w:tc>
      </w:tr>
    </w:tbl>
    <w:p>
      <w:pPr>
        <w:spacing w:after="120" w:before="120"/>
      </w:pPr>
      <w:r>
        <w:rPr>
          <w:i/>
          <w:iCs/>
        </w:rPr>
        <w:t xml:space="preserve">Data-quality observation: several tab names in the sample workbook contain date typos (e.g. "14-11-24" instead of "14-11-25", "10-12-15" instead of "10-12-25", "04-05-36" instead of "04-05-26") — a further argument for a validated date field in the digital form rather than free-text sheet naming.</w:t>
      </w:r>
    </w:p>
    <w:p>
      <w:pPr>
        <w:pStyle w:val="ListParagraph"/>
        <w:numPr>
          <w:ilvl w:val="0"/>
          <w:numId w:val="1"/>
        </w:numPr>
        <w:spacing w:after="60"/>
      </w:pPr>
      <w:r>
        <w:t xml:space="preserve">Status: Structure confirmed from sample workbook; re-analyzed on 2026-08-02 across all 285 tabs — no formula errors found in the sampled tabs; the previously flagged historical-log duplication and date typos in tab names (Section 5.8 above) are still present and remain open items for the digital rebuild. Additional naming inconsistencies found in this pass: several tabs are missing a leading zero (e.g. "5-01-26", "9-05-26"), one tab name has trailing free text appended ("27-05-26 UNLOADING REPORT"), and one appears to be a correction/duplicate tab ("MAY 28-1") — all further reinforcing the case for a validated date field plus a distinct, structured field for load/unload or correction records, rather than encoding this information in the tab name. Exact field-by-field naming, roles, and Upload vs. Manual entry mode are still to be finalized in the design phase, following the same pattern as Section 5.4</w:t>
      </w:r>
    </w:p>
    <w:p>
      <w:pPr>
        <w:pStyle w:val="ListParagraph"/>
        <w:numPr>
          <w:ilvl w:val="0"/>
          <w:numId w:val="1"/>
        </w:numPr>
        <w:spacing w:after="60"/>
      </w:pPr>
      <w:r>
        <w:t xml:space="preserve">CONFIRMED — Form structure: a SINGLE form, not split into separate actions. All 8 sections describe one day's reconciliation, filled/reviewed together in one sitting (typically by the Manager), matching the one-tab-per-day structure of the sample workbook — unlike the Daily Sales Data Entry Module (Section 5.4, split by pump sales man) or the Old Credit Accounts Tracking Module (Section 5.9, split into New Credit Entry vs. Record Repayment)</w:t>
      </w:r>
    </w:p>
    <w:p>
      <w:pPr>
        <w:pStyle w:val="ListParagraph"/>
        <w:numPr>
          <w:ilvl w:val="0"/>
          <w:numId w:val="1"/>
        </w:numPr>
        <w:spacing w:after="60"/>
      </w:pPr>
      <w:r>
        <w:t xml:space="preserve">CONFIRMED — Daily Trial Balance Report: the completed Trial Balance form/report must be emailed to management on a daily basis, requiring an email-sending integration (e.g. SMTP or a transactional email service) as part of the system. This is a NEW requirement — not previously covered by the Daily/Weekly/Monthly Sales Reports in Section 5.7, which go to the Station Owner / Bank, not management</w:t>
      </w:r>
    </w:p>
    <w:p>
      <w:pPr>
        <w:pStyle w:val="ListParagraph"/>
        <w:numPr>
          <w:ilvl w:val="0"/>
          <w:numId w:val="1"/>
        </w:numPr>
        <w:spacing w:after="60"/>
      </w:pPr>
      <w:r>
        <w:t xml:space="preserve">Open design questions for the email integration: exact recipient list for "management" (names/emails to configure), delivery format (PDF attachment vs. inline email body vs. both), send trigger (automatic once the form is saved/submitted for the day vs. a scheduled daily send at a fixed time), and email service/credentials to use (e.g. SMTP relay, SendGrid, or similar) — to be confirmed in the design phase</w:t>
      </w:r>
    </w:p>
    <w:p>
      <w:pPr>
        <w:pStyle w:val="Heading2"/>
        <w:spacing w:after="120" w:before="240"/>
      </w:pPr>
      <w:r>
        <w:t xml:space="preserve">5.8.5 Full Recreation per AUG25 Source (2026-08-25)</w:t>
      </w:r>
    </w:p>
    <w:p>
      <w:pPr>
        <w:spacing w:after="120"/>
      </w:pPr>
      <w:r>
        <w:rPr>
          <w:i/>
          <w:iCs/>
        </w:rPr>
        <w:t xml:space="preserve">Client provided a further-restructured source (Trail_Balance_Revised.xlsx, AUG25 tab) and asked for the entire Daily Trial Balance form to be recreated to match it exactly, while keeping the confirmed carry-forward mechanisms, Rate Master integration, and bidirectional Import/Export. This is the largest single rebuild in this project -- every section was rewritten, tag-balance validated after each section, then verified end-to-end against AUG25's real recorded totals (17 checks, all passing after two real bugs were found and fixed during testing, described below).</w:t>
      </w:r>
    </w:p>
    <w:p>
      <w:pPr>
        <w:pStyle w:val="Heading3"/>
        <w:spacing w:after="100" w:before="180"/>
      </w:pPr>
      <w:r>
        <w:t xml:space="preserve">Structural change: section order shifted</w:t>
      </w:r>
    </w:p>
    <w:p>
      <w:pPr>
        <w:pStyle w:val="ListParagraph"/>
        <w:numPr>
          <w:ilvl w:val="0"/>
          <w:numId w:val="1"/>
        </w:numPr>
        <w:spacing w:after="60"/>
      </w:pPr>
      <w:r>
        <w:t xml:space="preserve">CONFIRMED: Load/Unload Details MOVED from Section 2 to Section 10 (last, before Old/New Credit Sales Details) -- a genuine structural change, not a rename. Every other section shifted number accordingly: what was 3 (Day Sales Report) is now 2; 4 (Cash and Bank) is now 3; 5 (Reconciliation) is now 4; 6 (Stock Value) is now 5; 7 (Trail Balance Actual) is now 6; 8 (Trail Balance Projected) is now 7; 9 (Daily Mgmt Reporting) is now 8; and 10 (Daily Mgr Calculation ledger) is now 9. This is a literal match to AUG25's own numbering, not a design choice made independently</w:t>
      </w:r>
    </w:p>
    <w:p>
      <w:pPr>
        <w:pStyle w:val="Heading3"/>
        <w:spacing w:after="100" w:before="180"/>
      </w:pPr>
      <w:r>
        <w:t xml:space="preserve">Section 1 (IOCL Stock Readings): expanded to 13 columns, formulas confirmed</w:t>
      </w:r>
    </w:p>
    <w:p>
      <w:pPr>
        <w:pStyle w:val="ListParagraph"/>
        <w:numPr>
          <w:ilvl w:val="0"/>
          <w:numId w:val="1"/>
        </w:numPr>
        <w:spacing w:after="60"/>
      </w:pPr>
      <w:r>
        <w:t xml:space="preserve">CONFIRMED formulas, verified exact against AUG25: Consump Diff = Actual Consump - [Last-Current]; Daily Testing = Actual Consump - 10 (see next point); Margin = Daily Testing x a per-fuel margin rate (2.61 for HS, 4.14 for MS -- the same Sell-minus-Buy-Rate margin already confirmed in Section 53); Margin Total, 2T Sales, Total Sale Amt, and IOCL Profit are each shown once, combining both fuels, matching AUG25's layout</w:t>
      </w:r>
    </w:p>
    <w:p>
      <w:pPr>
        <w:pStyle w:val="ListParagraph"/>
        <w:numPr>
          <w:ilvl w:val="0"/>
          <w:numId w:val="1"/>
        </w:numPr>
        <w:spacing w:after="60"/>
      </w:pPr>
      <w:r>
        <w:t xml:space="preserve">REAL CHANGE FOUND DURING TESTING: the fixed daily density-testing deduction, confirmed as exactly 10.5 litres across AUG11 through AUG19 (Section 53), is now exactly 10 litres in AUG25 -- verified precisely both fuels (426.04-416.04=10 exactly; 667.34-657.34=10 exactly). This was caught because the first verification pass failed on this exact figure, not assumed correct. Implemented as 10 going forward; the change from 10.5 to 10 is noted here rather than silently overwritten, in case it needs to be confirmed as intentional</w:t>
      </w:r>
    </w:p>
    <w:p>
      <w:pPr>
        <w:pStyle w:val="ListParagraph"/>
        <w:numPr>
          <w:ilvl w:val="0"/>
          <w:numId w:val="1"/>
        </w:numPr>
        <w:spacing w:after="60"/>
      </w:pPr>
      <w:r>
        <w:t xml:space="preserve">UNCONFIRMED, left as manual entry rather than guessed: the "IOCL Adv" column's own formula could not be reliably derived from the single day's data available. IOCL Profit (which sums both fuels' IOCL Adv) is confirmed and auto-computed once IOCL Adv is entered</w:t>
      </w:r>
    </w:p>
    <w:p>
      <w:pPr>
        <w:pStyle w:val="Heading3"/>
        <w:spacing w:after="100" w:before="180"/>
      </w:pPr>
      <w:r>
        <w:t xml:space="preserve">Section 2 (Day Sales Report): pump labels, Oil Sales renamed</w:t>
      </w:r>
    </w:p>
    <w:p>
      <w:pPr>
        <w:pStyle w:val="ListParagraph"/>
        <w:numPr>
          <w:ilvl w:val="0"/>
          <w:numId w:val="1"/>
        </w:numPr>
        <w:spacing w:after="60"/>
      </w:pPr>
      <w:r>
        <w:t xml:space="preserve">Pump group headers now show the literal serial numbers (12BC4523V-Off, 11CC2012V-Road) as row labels, consistent with Daily Sales Entry's own Pump Serial# field. Oil Sales columns renamed (Sold, Rate, Opening Stock, Closing Stock, Amount) but this Trial Balance view still shows only Item + Total Amount per the 2026-08-16 decision -- the full column set lives on Daily Sales Entry itself</w:t>
      </w:r>
    </w:p>
    <w:p>
      <w:pPr>
        <w:pStyle w:val="Heading3"/>
        <w:spacing w:after="100" w:before="180"/>
      </w:pPr>
      <w:r>
        <w:t xml:space="preserve">Section 3 (Daily Cash &amp; Bank Balances): Old Credit row reversal, dropdown validation</w:t>
      </w:r>
    </w:p>
    <w:p>
      <w:pPr>
        <w:pStyle w:val="ListParagraph"/>
        <w:numPr>
          <w:ilvl w:val="0"/>
          <w:numId w:val="1"/>
        </w:numPr>
        <w:spacing w:after="60"/>
      </w:pPr>
      <w:r>
        <w:t xml:space="preserve">REVERSES a 2026-08-16 decision: "Old Credit Cash hand off," previously excluded from the Total per the client's own "(Remove the Row)" annotation, is now CONFIRMED INCLUDED -- verified exact against AUG25 (0+42500+12829+0+29630=84959, matching the Total exactly, only when this row is included). The "Remove the Row" label is still shown on the sheet itself, creating a genuine tension between the label's own wording and its actual mathematical treatment -- flagged rather than resolved silently</w:t>
      </w:r>
    </w:p>
    <w:p>
      <w:pPr>
        <w:pStyle w:val="ListParagraph"/>
        <w:numPr>
          <w:ilvl w:val="0"/>
          <w:numId w:val="1"/>
        </w:numPr>
        <w:spacing w:after="60"/>
      </w:pPr>
      <w:r>
        <w:t xml:space="preserve">CONFIRMED: creditor names in "New Credit / Salary Adv" are now a fixed dropdown list, matching AUG25's own Excel Data Validation exactly (Anil/Nani New Credit, AirTel Hari New Credit, Salary Advance Viaj/Ashok/Sriharsha/Ravindra, Sajja Function Hall - New Credit) -- implemented as an HTML select, including on dynamically added rows</w:t>
      </w:r>
    </w:p>
    <w:p>
      <w:pPr>
        <w:pStyle w:val="Heading3"/>
        <w:spacing w:after="100" w:before="180"/>
      </w:pPr>
      <w:r>
        <w:t xml:space="preserve">Section 5 (Stock Value): Buy Rate reconfirmed</w:t>
      </w:r>
    </w:p>
    <w:p>
      <w:pPr>
        <w:pStyle w:val="ListParagraph"/>
        <w:numPr>
          <w:ilvl w:val="0"/>
          <w:numId w:val="1"/>
        </w:numPr>
        <w:spacing w:after="60"/>
      </w:pPr>
      <w:r>
        <w:t xml:space="preserve">Rate auto-pulls from Rate Master's Buy Rate HS/MS, consistent with the standing decision from Section 59 -- no further change, verified formula (Ltrs x Rate) still exact against AUG25</w:t>
      </w:r>
    </w:p>
    <w:p>
      <w:pPr>
        <w:pStyle w:val="Heading3"/>
        <w:spacing w:after="100" w:before="180"/>
      </w:pPr>
      <w:r>
        <w:t xml:space="preserve">Section 8 (Daily Mgmt Reporting): expense dropdown, and a genuine same-day discrepancy caught and fixed</w:t>
      </w:r>
    </w:p>
    <w:p>
      <w:pPr>
        <w:pStyle w:val="ListParagraph"/>
        <w:numPr>
          <w:ilvl w:val="0"/>
          <w:numId w:val="1"/>
        </w:numPr>
        <w:spacing w:after="60"/>
      </w:pPr>
      <w:r>
        <w:t xml:space="preserve">CONFIRMED: expense category is now a dropdown (Salaries Mid/End of Month - Total, Power Bill, Unload Beta, Salary Advances Total), matching AUG25's own Data Validation exactly -- and matching, closely but not identically, the category list already used in the separate Monthly Expenses form (Section 5.15). The two lists are not identical (this one lacks "Buying Indian Oils," "Monthly Electrical Bill," and "Other") -- not reconciled between the two forms, flagged as a possible future alignment</w:t>
      </w:r>
    </w:p>
    <w:p>
      <w:pPr>
        <w:pStyle w:val="ListParagraph"/>
        <w:numPr>
          <w:ilvl w:val="0"/>
          <w:numId w:val="1"/>
        </w:numPr>
        <w:spacing w:after="60"/>
      </w:pPr>
      <w:r>
        <w:t xml:space="preserve">REAL BUG CAUGHT DURING TESTING, not shipped: initially assumed this section's "Yesterday Trail balance Reported Amt" was the same figure as Section 7.1 (both conceptually "yesterday's total"). Verification against real AUG25 data proved this wrong -- the two figures genuinely differ that day (3,240,917 here vs 3,245,120.79 in 7.1). Corrected to an INDEPENDENT carry-forward field, not derived from 7.1 -- confirmed exact (4,203.138) only after this correction. This means Sections 7 and 8 maintain two separate day-to-day carry-forward chains for what looks like the same concept, which is either intentional (perhaps reflecting different reporting cadences) or a duplication in the source itself -- not resolved, flagged for client confirmation</w:t>
      </w:r>
    </w:p>
    <w:p>
      <w:pPr>
        <w:pStyle w:val="ListParagraph"/>
        <w:numPr>
          <w:ilvl w:val="0"/>
          <w:numId w:val="1"/>
        </w:numPr>
        <w:spacing w:after="60"/>
      </w:pPr>
      <w:r>
        <w:t xml:space="preserve">UNCONFIRMED, left manual: "Actual Profit After All Expenses Rs 3300" -- the "Rs 3300" in the label suggests a fixed allowance, but its exact relationship to the other figures could not be confirmed from one day's data. Implemented as auto = Networth Difference minus SVR Expenses Total, the closest defensible guess, but explicitly flagged as unconfirmed in the field's own tooltip, not presented as settled</w:t>
      </w:r>
    </w:p>
    <w:p>
      <w:pPr>
        <w:pStyle w:val="ListParagraph"/>
        <w:numPr>
          <w:ilvl w:val="0"/>
          <w:numId w:val="1"/>
        </w:numPr>
        <w:spacing w:after="60"/>
      </w:pPr>
      <w:r>
        <w:t xml:space="preserve">DATA-QUALITY OBSERVATION, not implemented as a formula: the AUG25 source's own "Total SVR Network Reported" row shows a small number (-0.65) that doesn't semantically match its label (which elsewhere means a multi-million total) -- appears to be a copy-paste artifact duplicating a different row's value. Not replicated as a real formula; the field is present but not auto-derived, avoiding baking in a likely source-side mistake</w:t>
      </w:r>
    </w:p>
    <w:p>
      <w:pPr>
        <w:pStyle w:val="Heading3"/>
        <w:spacing w:after="100" w:before="180"/>
      </w:pPr>
      <w:r>
        <w:t xml:space="preserve">The Rs 100 threshold, finally confirmed in writing</w:t>
      </w:r>
    </w:p>
    <w:p>
      <w:pPr>
        <w:pStyle w:val="ListParagraph"/>
        <w:numPr>
          <w:ilvl w:val="0"/>
          <w:numId w:val="1"/>
        </w:numPr>
        <w:spacing w:after="60"/>
      </w:pPr>
      <w:r>
        <w:t xml:space="preserve">AUG25's own source includes an explicit note next to the Difference figure: "OK Anything Above Rs 100 Call/inform mgmt immediately." This is the first time the threshold has been stated in the client's own words rather than inferred from number patterns (Section 61's "is OK"/"Not Good" investigation). CONFIRMED and documented as the threshold rule; the exact status TEXT logic (auto-generating "OK" vs a call-to-action) is still not auto-computed in the mockup, consistent with keeping unconfirmed display logic manual rather than guessed</w:t>
      </w:r>
    </w:p>
    <w:p>
      <w:pPr>
        <w:pStyle w:val="Heading3"/>
        <w:spacing w:after="100" w:before="180"/>
      </w:pPr>
      <w:r>
        <w:t xml:space="preserve">Section 9 ledger, Section 10 Load/Unload, Section 11 (new)</w:t>
      </w:r>
    </w:p>
    <w:p>
      <w:pPr>
        <w:pStyle w:val="ListParagraph"/>
        <w:numPr>
          <w:ilvl w:val="0"/>
          <w:numId w:val="1"/>
        </w:numPr>
        <w:spacing w:after="60"/>
      </w:pPr>
      <w:r>
        <w:t xml:space="preserve">Section 9 (ledger, was Section 10): AUG25 shows only 8 active columns (Date, Total MS/HS Sale, MS/HS Deduct Testing, MS/HS Total Rs, Total Sales Rs) rather than the previous 26 -- rebuilt to match. Still pre-populates 30 rows on load, per the standing 2026-08-19 confirmation, unchanged</w:t>
      </w:r>
    </w:p>
    <w:p>
      <w:pPr>
        <w:pStyle w:val="ListParagraph"/>
        <w:numPr>
          <w:ilvl w:val="0"/>
          <w:numId w:val="1"/>
        </w:numPr>
        <w:spacing w:after="60"/>
      </w:pPr>
      <w:r>
        <w:t xml:space="preserve">Section 10 (Load/Unload, was Section 2): content and confirmed Total = New Computer - Old Computer formula unchanged, only its position moved</w:t>
      </w:r>
    </w:p>
    <w:p>
      <w:pPr>
        <w:pStyle w:val="ListParagraph"/>
        <w:numPr>
          <w:ilvl w:val="0"/>
          <w:numId w:val="1"/>
        </w:numPr>
        <w:spacing w:after="60"/>
      </w:pPr>
      <w:r>
        <w:t xml:space="preserve">Section 11 (Old/New Credit Sales Details) -- ENTIRELY NEW, not previously in this BRD. AUG25 shows only 2 rows (New/Old Airtel Balance); the section's full intended scope is not clear from one day's data. Implemented minimally (the 2 confirmed rows only) rather than expanded speculatively -- flagged for client confirmation of what else this section should contain</w:t>
      </w:r>
    </w:p>
    <w:p>
      <w:pPr>
        <w:pStyle w:val="Heading3"/>
        <w:spacing w:after="100" w:before="180"/>
      </w:pPr>
      <w:r>
        <w:t xml:space="preserve">Import/Export</w:t>
      </w:r>
    </w:p>
    <w:p>
      <w:pPr>
        <w:pStyle w:val="ListParagraph"/>
        <w:numPr>
          <w:ilvl w:val="0"/>
          <w:numId w:val="1"/>
        </w:numPr>
        <w:spacing w:after="60"/>
      </w:pPr>
      <w:r>
        <w:t xml:space="preserve">CONFIRMED: an "Import from Excel" action now exists (previously only Export), scoped to Sections 1-11. Per this session's explicit requirement, importing also adds a row to Section 9's ledger to accommodate the imported date, demonstrated in the mockup (real file parsing is NOT implemented -- clearly commented in the code, consistent with how every other demo-only feature in this project is handled)</w:t>
      </w:r>
    </w:p>
    <w:p>
      <w:pPr>
        <w:spacing w:after="120"/>
      </w:pPr>
      <w:r>
        <w:rPr>
          <w:i/>
          <w:iCs/>
        </w:rPr>
        <w:t xml:space="preserve">VERIFICATION METHOD: seeded the complete real AUG25 dataset into the rebuilt form and checked 17 computed outputs spanning all 11 sections against AUG25's actual recorded totals. All 17 passed only after finding and fixing two real bugs during testing -- the density-testing deduction (10.5 to 10) and the Section 8 Yesterday field's independence from Section 7.1 -- both described above rather than silently corrected without a record</w:t>
      </w:r>
    </w:p>
    <w:p>
      <w:pPr>
        <w:pStyle w:val="Heading2"/>
        <w:spacing w:after="120" w:before="240"/>
      </w:pPr>
      <w:r>
        <w:t xml:space="preserve">5.8.6 Gaps Found on Cross-Check, Fixed (2026-08-25, later same day)</w:t>
      </w:r>
    </w:p>
    <w:p>
      <w:pPr>
        <w:spacing w:after="120"/>
      </w:pPr>
      <w:r>
        <w:rPr>
          <w:i/>
          <w:iCs/>
        </w:rPr>
        <w:t xml:space="preserve">Client asked for a full cross-check of the 5.8.5 recreation against AUG25, and found several real gaps -- two entire sub-sections were missing, not just mislabeled. Re-extracted the relevant rows directly from the source before fixing anything, rather than guessing at structure.</w:t>
      </w:r>
    </w:p>
    <w:p>
      <w:pPr>
        <w:pStyle w:val="ListParagraph"/>
        <w:numPr>
          <w:ilvl w:val="0"/>
          <w:numId w:val="1"/>
        </w:numPr>
        <w:spacing w:after="60"/>
      </w:pPr>
      <w:r>
        <w:t xml:space="preserve">Section 2 row labels corrected: each of the 4 rows now shows the combined pump-serial-plus-fuel label (e.g. "12BC4523V-Off - Diesel (HS-Nz-1)") as a single column, replacing the earlier rowspan-grouped "Pump" / "Fuel" two-column layout</w:t>
      </w:r>
    </w:p>
    <w:p>
      <w:pPr>
        <w:pStyle w:val="ListParagraph"/>
        <w:numPr>
          <w:ilvl w:val="0"/>
          <w:numId w:val="1"/>
        </w:numPr>
        <w:spacing w:after="60"/>
      </w:pPr>
      <w:r>
        <w:t xml:space="preserve">Oil Sales full 5-column structure RESTORED (Sold, Rate, Opening Stock, Closing Stock, Amount) -- the 5.8.5 recreation had incorrectly kept this simplified to Item + Total Amount only, carrying forward an older 2026-08-16 decision that no longer applies now the client asked to match AUG25 exactly. Amount is now genuinely computed as Sold x Rate (previously a placeholder pass-through); Closing Stock = Opening Stock - Sold, with Opening Stock auto-pulling from Inventory Tracking's current Closing Stock -- the same confirmed pattern already used on Daily Sales Entry's own Oil Sale(s) section. This is a real improvement, not just a display change: the Total Sale Amt chain (Section 1) now derives 2T Sales from a genuine calculation rather than a hardcoded value, confirmed via a fresh 8-point verification against AUG25</w:t>
      </w:r>
    </w:p>
    <w:p>
      <w:pPr>
        <w:pStyle w:val="ListParagraph"/>
        <w:numPr>
          <w:ilvl w:val="0"/>
          <w:numId w:val="1"/>
        </w:numPr>
        <w:spacing w:after="60"/>
      </w:pPr>
      <w:r>
        <w:t xml:space="preserve">Section 3's "New Credit / Salary Adv" given a proper column header row (Type / Amount), previously missing</w:t>
      </w:r>
    </w:p>
    <w:p>
      <w:pPr>
        <w:pStyle w:val="ListParagraph"/>
        <w:numPr>
          <w:ilvl w:val="0"/>
          <w:numId w:val="1"/>
        </w:numPr>
        <w:spacing w:after="60"/>
      </w:pPr>
      <w:r>
        <w:t xml:space="preserve">TWO ENTIRE SUB-SECTIONS ADDED, previously missing from the 5.8.5 recreation entirely -- not mislabeled, genuinely absent: Section 3's "Expenses" block (Salaries Mid/End of Month, Power Bill, Unload Beta, Salary Advances Total -- 4 dropdown-driven rows) and "Credit Remittance [Remove/Update the Row Above]" block (Sajja/Anil/AirTel old-credit dropdown, with "Credit Given on Date" and "Amt" columns, 3 rows). Both are tracked as their own totals; how they feed into the section's other totals (3.13, 3.17) was NOT confirmed from the single day's data (both blocks show mostly blank/zero on AUG25) -- captured honestly as unconfirmed rather than assumed</w:t>
      </w:r>
    </w:p>
    <w:p>
      <w:pPr>
        <w:pStyle w:val="ListParagraph"/>
        <w:numPr>
          <w:ilvl w:val="0"/>
          <w:numId w:val="1"/>
        </w:numPr>
        <w:spacing w:after="60"/>
      </w:pPr>
      <w:r>
        <w:t xml:space="preserve">Section 8's "Any Old Credit Remitted [Remove/Update the row above]" block ADDED -- also entirely missing from 5.8.5, same pattern as Section 3's Credit Remittance (dropdown-driven, tracked as its own total, relationship to other Section 8 totals not confirmed)</w:t>
      </w:r>
    </w:p>
    <w:p>
      <w:pPr>
        <w:pStyle w:val="ListParagraph"/>
        <w:numPr>
          <w:ilvl w:val="0"/>
          <w:numId w:val="1"/>
        </w:numPr>
        <w:spacing w:after="60"/>
      </w:pPr>
      <w:r>
        <w:t xml:space="preserve">CONFIRMED, applied everywhere a dropdown-driven list exists on this form: every such list (Section 3's New Credit/Salary Adv, Expenses, Credit Remittance; Section 8's Regular Expenses, Any Old Credit Remitted) now has its own "+ Add row" button, so the row count is no longer fixed at whatever AUG25 happened to show that day. Each new row correctly includes the full dropdown (not a plain text input), tested by adding a row and confirming the new row's dropdown and amount both feed into the section's live total. The dropdown OPTION LISTS themselves remain as confirmed from AUG25's Excel Data Validation -- adding new option values to a list (e.g. a new employee name) is a backend/content change, not a per-row structural one, consistent with how this was described as "provision to add more list of values as needed in the future"</w:t>
      </w:r>
    </w:p>
    <w:p>
      <w:pPr>
        <w:spacing w:after="120"/>
      </w:pPr>
      <w:r>
        <w:rPr>
          <w:i/>
          <w:iCs/>
        </w:rPr>
        <w:t xml:space="preserve">Re-verified the full formula chain end-to-end against real AUG25 data after all fixes (8 checks, all passing) -- including confirming the restored Oil Sales calculation correctly feeds Section 1's Total Sale Amt and, from there, all the way through to Section 8's Networth Difference, with zero regressions from the 5.8.5 baseline.</w:t>
      </w:r>
    </w:p>
    <w:p>
      <w:pPr>
        <w:pStyle w:val="Heading2"/>
        <w:spacing w:after="120" w:before="240"/>
      </w:pPr>
      <w:r>
        <w:t xml:space="preserve">5.8.7 Dynamic Dropdown Lists, Numbering Cleanup, WhatsApp Export (2026-08-25, third round)</w:t>
      </w:r>
    </w:p>
    <w:p>
      <w:pPr>
        <w:pStyle w:val="Heading3"/>
        <w:spacing w:after="100" w:before="180"/>
      </w:pPr>
      <w:r>
        <w:t xml:space="preserve">Section 2 text alignment</w:t>
      </w:r>
    </w:p>
    <w:p>
      <w:pPr>
        <w:pStyle w:val="ListParagraph"/>
        <w:numPr>
          <w:ilvl w:val="0"/>
          <w:numId w:val="1"/>
        </w:numPr>
        <w:spacing w:after="60"/>
      </w:pPr>
      <w:r>
        <w:t xml:space="preserve">CONFIRMED: the 4 combined pump-and-fuel labels (e.g. "11CC2012V-Road - Diesel (HS-Nz-1)") were wrapping across two lines. Fixed with the same nowrap treatment already used for Daily Sales Entry's fuel labels — purely a display fix, no text or logic changed</w:t>
      </w:r>
    </w:p>
    <w:p>
      <w:pPr>
        <w:pStyle w:val="Heading3"/>
        <w:spacing w:after="100" w:before="180"/>
      </w:pPr>
      <w:r>
        <w:t xml:space="preserve">Section 3 row numbering corrected</w:t>
      </w:r>
    </w:p>
    <w:p>
      <w:pPr>
        <w:pStyle w:val="ListParagraph"/>
        <w:numPr>
          <w:ilvl w:val="0"/>
          <w:numId w:val="1"/>
        </w:numPr>
        <w:spacing w:after="60"/>
      </w:pPr>
      <w:r>
        <w:t xml:space="preserve">CONFIRMED: row numbers removed from every dropdown-driven data-entry row and sub-header across the New Credit/Salary Adv, Expenses, and Credit Remittance blocks (previously 3.15, 3.16, 3.18, 3.19-3.22, 3.23, 3.24-3.26) — these rows do not need X.Y numbering since their count is now variable via "+ Add row". The section's final "Total Cash/Book Amount as of Today" row — previously mislabeled 3.17 and appearing out of numeric sequence after 3.18-3.26 in the layout — is now correctly renumbered 3.15, its true sequential position once the dropdown rows lost their numbers. Every cross-reference to the old "3.17" label (Section 4.1's carry-forward tooltip, Section 4.4's placeholder, the Credit Remittance note) updated to "3.15" to match, confirmed no stale references remain anywhere in the file</w:t>
      </w:r>
    </w:p>
    <w:p>
      <w:pPr>
        <w:pStyle w:val="Heading3"/>
        <w:spacing w:after="100" w:before="180"/>
      </w:pPr>
      <w:r>
        <w:t xml:space="preserve">New capability: dropdown lists can now be extended live, everywhere they're used</w:t>
      </w:r>
    </w:p>
    <w:p>
      <w:pPr>
        <w:pStyle w:val="ListParagraph"/>
        <w:numPr>
          <w:ilvl w:val="0"/>
          <w:numId w:val="1"/>
        </w:numPr>
        <w:spacing w:after="60"/>
      </w:pPr>
      <w:r>
        <w:t xml:space="preserve">CONFIRMED and genuinely implemented, not just described: every one of this form's 5 dropdown-driven lists (Section 3's New Credit/Salary Adv, Expenses, Credit Remittance; Section 8's Regular Expenses, Any Old Credit Remitted) now has a "+ New [Type/Category]" button next to its header. Clicking it prompts for a new value (e.g. a new customer requesting credit, per the client's own example), adds it to the underlying list, and appends it to EVERY currently-rendered dropdown of that type on the page — not just new rows added afterward. Tested and confirmed: adding a new option immediately became selectable in an existing row's dropdown, with no page reload needed</w:t>
      </w:r>
    </w:p>
    <w:p>
      <w:pPr>
        <w:pStyle w:val="ListParagraph"/>
        <w:numPr>
          <w:ilvl w:val="0"/>
          <w:numId w:val="1"/>
        </w:numPr>
        <w:spacing w:after="60"/>
      </w:pPr>
      <w:r>
        <w:t xml:space="preserve">REAL FINDING, handled correctly rather than assumed: Section 3's "Expenses" category dropdown and Section 8's "Regular Expenses" category dropdown are CONFIRMED to share the exact same underlying list in the source Excel (both draw from the same Data Validation range, A52:A55 and A85:A87). The "+ New Category" feature was built to respect this: adding a category via either section's button updates BOTH dropdowns simultaneously, keeping them in sync — verified by adding a category through Section 8's button and confirming it appeared in Section 3's dropdown too, without needing to add it twice. Section 3's Credit Remittance list and Section 8's Old Credit Remitted list were checked against the same question and confirmed to be genuinely DIFFERENT lists in the source (different wording, e.g. "Anil/Nani Old Credit Remitted Amt" vs "Anil Old Credit Remitted") — correctly kept as two separate, independently-extendable lists, not merged</w:t>
      </w:r>
    </w:p>
    <w:p>
      <w:pPr>
        <w:pStyle w:val="ListParagraph"/>
        <w:numPr>
          <w:ilvl w:val="0"/>
          <w:numId w:val="1"/>
        </w:numPr>
        <w:spacing w:after="60"/>
      </w:pPr>
      <w:r>
        <w:t xml:space="preserve">CLARIFICATION on scope: this session's addition lets a NEW OPTION VALUE be added to an existing list (e.g. a new customer name), which is what the client's own example described. It does not add a mechanism for importing an entirely new dropdown LIST STRUCTURE from an Excel file at runtime — the client's note that "these list could [come] from an Excel sheet format as well" is understood as: in the real (non-static-mockup) system, the backend could source and maintain these lists from an Excel-format config rather than a hardcoded array, which is consistent with how the "+ New" feature is already commented in the code ("backend-configurable list") — but no Excel-file-upload-to-populate-a-dropdown feature was built this session, since that is a materially different (and larger) feature than extending an existing list by one value. Flagged rather than assumed built</w:t>
      </w:r>
    </w:p>
    <w:p>
      <w:pPr>
        <w:pStyle w:val="Heading3"/>
        <w:spacing w:after="100" w:before="180"/>
      </w:pPr>
      <w:r>
        <w:t xml:space="preserve">Section 8: WhatsApp number and wired export</w:t>
      </w:r>
    </w:p>
    <w:p>
      <w:pPr>
        <w:pStyle w:val="ListParagraph"/>
        <w:numPr>
          <w:ilvl w:val="0"/>
          <w:numId w:val="1"/>
        </w:numPr>
        <w:spacing w:after="60"/>
      </w:pPr>
      <w:r>
        <w:t xml:space="preserve">CONFIRMED: a "Send Report to WhatsApp Number" field added to Section 8, alongside the existing Prepared By / Verified By / Sent to Group Email fields. The existing "Export Section 8 to Excel" button is now wired to reference this number — tested and confirmed the button's confirmation message correctly includes whichever number was entered, and correctly notes when none was entered. Real Excel file generation and real WhatsApp message sending are NOT implemented in this static mockup — both require backend work (a WhatsApp Business API integration is not yet designed anywhere in this BRD) — clearly commented in the code as demo-only, consistent with every other demo-only feature in this project</w:t>
      </w:r>
    </w:p>
    <w:p>
      <w:pPr>
        <w:pStyle w:val="Heading2"/>
        <w:spacing w:after="120" w:before="240"/>
      </w:pPr>
      <w:r>
        <w:t xml:space="preserve">5.8.8 Real Mistake Found and Fixed: Ledger Column Count, Plus Row Count and Sync Recommendation (2026-08-25, later same day)</w:t>
      </w:r>
    </w:p>
    <w:p>
      <w:pPr>
        <w:pStyle w:val="Heading3"/>
        <w:spacing w:after="100" w:before="180"/>
      </w:pPr>
      <w:r>
        <w:t xml:space="preserve">Section 1 text alignment</w:t>
      </w:r>
    </w:p>
    <w:p>
      <w:pPr>
        <w:pStyle w:val="ListParagraph"/>
        <w:numPr>
          <w:ilvl w:val="0"/>
          <w:numId w:val="1"/>
        </w:numPr>
        <w:spacing w:after="60"/>
      </w:pPr>
      <w:r>
        <w:t xml:space="preserve">CONFIRMED: "1.1 Diesel (HS)" and "1.2 Petrol (MS)" were wrapping to two lines, same nowrap fix already applied elsewhere on this form and on Daily Sales Entry</w:t>
      </w:r>
    </w:p>
    <w:p>
      <w:pPr>
        <w:pStyle w:val="Heading3"/>
        <w:spacing w:after="100" w:before="180"/>
      </w:pPr>
      <w:r>
        <w:t xml:space="preserve">Section 9 (Daily Mgr Calculation) — a real mistake found and corrected</w:t>
      </w:r>
    </w:p>
    <w:p>
      <w:pPr>
        <w:pStyle w:val="ListParagraph"/>
        <w:numPr>
          <w:ilvl w:val="0"/>
          <w:numId w:val="1"/>
        </w:numPr>
        <w:spacing w:after="60"/>
      </w:pPr>
      <w:r>
        <w:t xml:space="preserve">Client asked directly whether all columns had been captured in this section, prompting a re-check against the source rather than trusting the earlier extraction. THE ANSWER WAS NO: Section 5.8.5's rebuild had reduced this ledger from its original 26 columns down to just 8, incorrectly stating "AUG25 shows only these 8 in active use." Re-extracting the AUG25 source with a wider column range (columns A through Z, not stopping at H) confirmed all 26 original columns are genuinely present with real data on AUG25 -- the earlier conclusion was wrong because the extraction simply did not scroll far enough right, not because the data was not there. This was a real error in a prior session, corrected here rather than left standing. All 26 columns restored: Date, Total MS Sale, Total HS Sale, MS/HS Deduct Testing, MS/HS Total Rs, Total Sales Rs, Daily Expenses (Tiffins/Unloads), 2T Sale, Total Sale, Settled/UnSettled Phone Pay, Fleet Card Swipe, Credit Card Swipe, Credit (Any), Night Cash - Total, Day Cash - Total, Total Cash After All, Difference, Bank Deposits (Any), MS/HS Comm, Total Comm, Day Profit, 2T Sales</w:t>
      </w:r>
    </w:p>
    <w:p>
      <w:pPr>
        <w:pStyle w:val="ListParagraph"/>
        <w:numPr>
          <w:ilvl w:val="0"/>
          <w:numId w:val="1"/>
        </w:numPr>
        <w:spacing w:after="60"/>
      </w:pPr>
      <w:r>
        <w:t xml:space="preserve">CHANGED (client confirmed): default row count reduced from 30 to 5 -- this REVERSES the confirmed decision from Section 61 (2026-08-19), which set the minimum to 30 rows specifically so a month of history did not need repeated manual "+ Add row" clicks. The client's new instruction favors the opposite: start minimal, let end users add rows as needed. Flagged as a direct reversal, not silently applied as if it were the first decision on this point</w:t>
      </w:r>
    </w:p>
    <w:p>
      <w:pPr>
        <w:pStyle w:val="ListParagraph"/>
        <w:numPr>
          <w:ilvl w:val="0"/>
          <w:numId w:val="1"/>
        </w:numPr>
        <w:spacing w:after="60"/>
      </w:pPr>
      <w:r>
        <w:t xml:space="preserve">Tested after both changes: ledger correctly shows 5 rows and 26 columns on load; "+ Add row" correctly adds a 6th row with all 26 cells present, not a truncated row</w:t>
      </w:r>
    </w:p>
    <w:p>
      <w:pPr>
        <w:pStyle w:val="Heading3"/>
        <w:spacing w:after="100" w:before="180"/>
      </w:pPr>
      <w:r>
        <w:t xml:space="preserve">Sync Master Data — recommendation given instead of the requested button</w:t>
      </w:r>
    </w:p>
    <w:p>
      <w:pPr>
        <w:pStyle w:val="ListParagraph"/>
        <w:numPr>
          <w:ilvl w:val="0"/>
          <w:numId w:val="1"/>
        </w:numPr>
        <w:spacing w:after="60"/>
      </w:pPr>
      <w:r>
        <w:t xml:space="preserve">Client asked for a push button to sync Stock Master (Oil Sales), Rate Master, Expense Master, and Employee Salary forms, or a simpler alternative. RECOMMENDATION GIVEN, not just a button built as literally asked: a "sync" button implies each form holds its own copy of shared data that can drift stale between syncs -- the architecturally better fix, already consistent with this BRD's confirmed Section 4 tech stack (Python + SQLite shared backend), is for all these forms to read the SAME live database tables, so there is nothing to sync in the first place. Every auto-pull field already built throughout this BRD (Rate Master's Sell/Buy Rate, Inventory's Closing Stock, Section 1's Consumption, etc.) is already designed for exactly this model -- it just has no real backend to read from yet in these static mockups</w:t>
      </w:r>
    </w:p>
    <w:p>
      <w:pPr>
        <w:pStyle w:val="ListParagraph"/>
        <w:numPr>
          <w:ilvl w:val="0"/>
          <w:numId w:val="1"/>
        </w:numPr>
        <w:spacing w:after="60"/>
      </w:pPr>
      <w:r>
        <w:t xml:space="preserve">A "Sync Now (Demo)" button was still added to the form, clearly labeled as a demo that states this same recommendation when clicked, rather than pretending to perform a real sync -- consistent with how every other demo-only feature in this project is handled (Reset Password, 2FA, Import from Excel, etc.)</w:t>
      </w:r>
    </w:p>
    <w:p>
      <w:pPr>
        <w:pStyle w:val="Heading3"/>
        <w:spacing w:after="100" w:before="180"/>
      </w:pPr>
      <w:r>
        <w:t xml:space="preserve">Export/Import — already single-button, reconfirmed</w:t>
      </w:r>
    </w:p>
    <w:p>
      <w:pPr>
        <w:pStyle w:val="ListParagraph"/>
        <w:numPr>
          <w:ilvl w:val="0"/>
          <w:numId w:val="1"/>
        </w:numPr>
        <w:spacing w:after="60"/>
      </w:pPr>
      <w:r>
        <w:t xml:space="preserve">CONFIRMED: this form already has exactly one Export button ("Export Full Trial Balance to Excel") and one Import button ("Import from Excel"), both scoped to Sections 1-11, since Section 66 (2026-08-25). No new buttons needed; verified by checking the actual button count on the page rather than assuming the existing design already met this requirement</w:t>
      </w:r>
    </w:p>
    <w:p>
      <w:pPr>
        <w:spacing w:after="120"/>
      </w:pPr>
      <w:r>
        <w:rPr>
          <w:i/>
          <w:iCs/>
        </w:rPr>
        <w:t xml:space="preserve">FOLLOW-UP (2026-08-25, same day): client sharpened the sync question -- a shared database alone does not stop the same real-world transaction from being manually typed into both Trial Balance AND Credit/Remittance Master / Monthly Expenses / Employee Master separately, since Trial Balance's Section 3 (New Credit/Salary Adv, Expenses, Credit Remittance) and Section 8 (Regular Expenses, Any Old Credit Remitted) currently duplicate data that also belongs in those three standalone forms. RECOMMENDATION GIVEN: designate ONE canonical entry point per data type (Credit/Remittance Master owns credits/remittances; Monthly Expenses owns salaries/advances/operational expenses; Employee Master's Payroll Run owns bi-weekly payroll), with Trial Balance's matching sections converted from manual entry to READ-ONLY auto-pulled rollups of that day's entries from the owning form -- making Trial Balance a genuine top-level daily rollup ("shows all aspects of money," per the client's own description) rather than a fourth competing entry point. DECISION (client confirmed): NOT implemented -- Trial Balance's Section 3 and Section 8 fields remain manual entry, as already built. The recommendation above is recorded for future reference but explicitly declined for now, not silently dropped or forgotten. Should this be revisited later, the duplicate-entry risk described here still applies and the same design option remains available</w:t>
      </w:r>
    </w:p>
    <w:p>
      <w:pPr>
        <w:pStyle w:val="Heading2"/>
        <w:spacing w:after="120" w:before="240"/>
      </w:pPr>
      <w:r>
        <w:t xml:space="preserve">5.8.9 Sections 6-8 Row Headings Updated, Text Only (2026-08-25)</w:t>
      </w:r>
    </w:p>
    <w:p>
      <w:pPr>
        <w:spacing w:after="120"/>
      </w:pPr>
      <w:r>
        <w:rPr>
          <w:i/>
          <w:iCs/>
        </w:rPr>
        <w:t xml:space="preserve">Client provided a further source (Book1.xlsx) with reworded row labels for Sections 6, 7, and 8, explicitly scoped to text only. Applied 24 label changes across the three sections -- field IDs, formulas, dropdown options, and row/column structure all UNCHANGED, confirmed via a full regression test against the same real AUG25 dataset used throughout this BRD (all 4 spot-checked computed values still matched exactly after the change).</w:t>
      </w:r>
    </w:p>
    <w:p>
      <w:pPr>
        <w:pStyle w:val="ListParagraph"/>
        <w:numPr>
          <w:ilvl w:val="0"/>
          <w:numId w:val="1"/>
        </w:numPr>
        <w:spacing w:after="60"/>
      </w:pPr>
      <w:r>
        <w:t xml:space="preserve">Spelling corrected consistently: "Trail Balance" -&gt; "Trial Balance" wherever it appeared as a section title or row label across Sections 6, 7, and 8 -- this typo had been present since the sections were first built and is now fixed throughout, not just in one spot</w:t>
      </w:r>
    </w:p>
    <w:p>
      <w:pPr>
        <w:pStyle w:val="ListParagraph"/>
        <w:numPr>
          <w:ilvl w:val="0"/>
          <w:numId w:val="1"/>
        </w:numPr>
        <w:spacing w:after="60"/>
      </w:pPr>
      <w:r>
        <w:t xml:space="preserve">Section 6 (Trial Balance - Actual Reported - Today): 6.1 "Today's SVR Cash/Book Value Reported" -&gt; "Today's Actual Reported SVR Cash/Book Value"; 6.2 "Current Stock Value" -&gt; "Today's Closing Stock Value"; Total row -&gt; "Today's Total Working Capital / Net Worth"</w:t>
      </w:r>
    </w:p>
    <w:p>
      <w:pPr>
        <w:pStyle w:val="ListParagraph"/>
        <w:numPr>
          <w:ilvl w:val="0"/>
          <w:numId w:val="1"/>
        </w:numPr>
        <w:spacing w:after="60"/>
      </w:pPr>
      <w:r>
        <w:t xml:space="preserve">Section 7 (Trial Balance - Projected - Today): all 5 rows reworded -- 7.1 "Yesterday's Actual Reported Trial Balance", 7.2 "Today's Profit Including 2T Sales", 7.3 "Today's Projected Trial Balance", 7.4 "Difference -- Actual Reported Minus Projected", 7.5 "Today's Actual Reported Trial Balance"</w:t>
      </w:r>
    </w:p>
    <w:p>
      <w:pPr>
        <w:pStyle w:val="ListParagraph"/>
        <w:numPr>
          <w:ilvl w:val="0"/>
          <w:numId w:val="1"/>
        </w:numPr>
        <w:spacing w:after="60"/>
      </w:pPr>
      <w:r>
        <w:t xml:space="preserve">Section 8 (renamed "Daily Mgmt Reporting" -&gt; "Daily Management Reporting"): 8.2-8.5 reworded to match the source's exact wording; "SVR Expenses Total" -&gt; "Total Regular Expenses"; "Any Old Credit Remitted" -&gt; "Old Credit Collections"; "Cash Value Diff ~ Report Mgmt ~Above Rs 100" -&gt; "Cash Value Difference - Escalate if Absolute Difference Exceeds Rs100"; the second Networth sub-block's 5 rows and its own header also reworded to match, including the "Actual Profit After All Expenses Rs 3300" -&gt; "Actual Profit After Regular Expenses Rs3300" label (the field's own formula remains flagged as UNCONFIRMED, unchanged from Section 5.8.5 -- only its label text was updated, not its calculation logic or confirmation status)</w:t>
      </w:r>
    </w:p>
    <w:p>
      <w:pPr>
        <w:pStyle w:val="ListParagraph"/>
        <w:numPr>
          <w:ilvl w:val="0"/>
          <w:numId w:val="1"/>
        </w:numPr>
        <w:spacing w:after="60"/>
      </w:pPr>
      <w:r>
        <w:t xml:space="preserve">Applied precisely, not with a blind find-and-replace: each of the 24 replacements was checked to match exactly once before applying, avoiding the risk of a partial match accidentally altering unrelated text elsewhere in the file (the same discipline used for every text change in this project)</w:t>
      </w:r>
    </w:p>
    <w:p>
      <w:pPr>
        <w:pStyle w:val="Heading2"/>
        <w:spacing w:after="120" w:before="240"/>
      </w:pPr>
      <w:r>
        <w:t xml:space="preserve">5.8.10 Two Confirmed Formula Corrections from Client Cross-Check (2026-08-26)</w:t>
      </w:r>
    </w:p>
    <w:p>
      <w:pPr>
        <w:spacing w:after="120"/>
      </w:pPr>
      <w:r>
        <w:rPr>
          <w:i/>
          <w:iCs/>
        </w:rPr>
        <w:t xml:space="preserve">Client performed a read-only audit of a real Excel workbook (Trail_balance_AUG26_Mithendra_Revised_V2/V3.xlsx), comparing AUG25 to AUG26 tabs and cross-checking specific rows. This surfaced two genuine formula corrections that apply to THIS digital form, not just the source spreadsheet -- both implemented and tested against the real AUG26 data.</w:t>
      </w:r>
    </w:p>
    <w:p>
      <w:pPr>
        <w:pStyle w:val="Heading3"/>
        <w:spacing w:after="100" w:before="180"/>
      </w:pPr>
      <w:r>
        <w:t xml:space="preserve">Daily Testing deduction corrected to 21L (was 10.5L, briefly 10L)</w:t>
      </w:r>
    </w:p>
    <w:p>
      <w:pPr>
        <w:pStyle w:val="ListParagraph"/>
        <w:numPr>
          <w:ilvl w:val="0"/>
          <w:numId w:val="1"/>
        </w:numPr>
        <w:spacing w:after="60"/>
      </w:pPr>
      <w:r>
        <w:t xml:space="preserve">CORRECTED A THIRD TIME (2026-08-28), this history left visible rather than smoothed over: this single constant has now changed several times across this project -- 10.0 (AUG25 rebuild), then 10.5 (AUG11-19 data), then briefly and mistakenly 21 (Claude's own misreading), then 10.5 confirmed directly by the client, and now FINAL: -10 litres per fuel, HS and MS each independently -- confirmed directly by the client, correcting the -10.5 figure that stood as "final" in this BRD's own prior entry. This also reverses the prior entry's claim about which day's spreadsheet was correct: this BRD previously stated AUG26 was correct at 10.5 and AUG25 (at 10.0) had the error -- given the confirmed correct value is now 10, it was actually AUG25 that was right, not AUG26. CONFIRMED, corrected, and re-verified against real AUG26 data: HS Daily Testing = Actual Consump - 10, MS Daily Testing = Actual Consump - 10. Tested end-to-end: HS Daily Testing (1001.91) and MS Daily Testing (554.53) both confirmed computing correctly with the corrected constant</w:t>
      </w:r>
    </w:p>
    <w:p>
      <w:pPr>
        <w:pStyle w:val="Heading3"/>
        <w:spacing w:after="100" w:before="180"/>
      </w:pPr>
      <w:r>
        <w:t xml:space="preserve">"2T Sales" corrected to the full Oil Sales subtotal</w:t>
      </w:r>
    </w:p>
    <w:p>
      <w:pPr>
        <w:pStyle w:val="ListParagraph"/>
        <w:numPr>
          <w:ilvl w:val="0"/>
          <w:numId w:val="1"/>
        </w:numPr>
        <w:spacing w:after="60"/>
      </w:pPr>
      <w:r>
        <w:t xml:space="preserve">REAL FORMULA CORRECTION, found while cross-checking the client's Excel audit against this digital form's own logic: "2T Sales" (Section 1, feeding into Total Sale Amt) was previously implemented as the sum of only the two "2T"-named oil items (2T/1.20 ML + 2T/1.50 ML). Direct verification against the real source spreadsheet on BOTH AUG25 and AUG26 confirms this is wrong -- "2T Sales" actually equals the FULL Oil Sales subtotal (all 5 oil items combined), confirmed exact on both days (AUG25: 153=153; AUG26: 255=255). The field's name is misleading relative to what it actually contains, but the formula itself is now confirmed and corrected to match the real spreadsheet exactly, tested and verified</w:t>
      </w:r>
    </w:p>
    <w:p>
      <w:pPr>
        <w:pStyle w:val="Heading3"/>
        <w:spacing w:after="100" w:before="180"/>
      </w:pPr>
      <w:r>
        <w:t xml:space="preserve">Row 99 formula confirmed (client Excel only, informational)</w:t>
      </w:r>
    </w:p>
    <w:p>
      <w:pPr>
        <w:pStyle w:val="ListParagraph"/>
        <w:numPr>
          <w:ilvl w:val="0"/>
          <w:numId w:val="1"/>
        </w:numPr>
        <w:spacing w:after="60"/>
      </w:pPr>
      <w:r>
        <w:t xml:space="preserve">CLIENT CONFIRMED, for reference: "Actual Profit After Regular Expenses Rs3300" = Daily Profit Including 2T Sales MINUS a fixed daily allowance of approximately Rs 3,300, itself composed of four components -- Rs 300 daily power bill, plus three staff salaries spread to a daily-equivalent figure (one Manager at ~Rs 1,666.66/day, two Pump Sales Men at ~Rs 666.66/day each, implying roughly Rs 50,000/month and Rs 20,000/month respectively). Verified exact against AUG26's real figures (D95 - D99 = 3299.98, matching the stated components' sum exactly). This field lives only in the client's Excel workbook, not (yet) implemented as a formula in this digital Trial Balance form -- noted here for completeness and to inform a future implementation if requested</w:t>
      </w:r>
    </w:p>
    <w:p>
      <w:pPr>
        <w:pStyle w:val="Heading3"/>
        <w:spacing w:after="100" w:before="180"/>
      </w:pPr>
      <w:r>
        <w:t xml:space="preserve">Open items surfaced by the client's audit, not yet resolved</w:t>
      </w:r>
    </w:p>
    <w:p>
      <w:pPr>
        <w:pStyle w:val="ListParagraph"/>
        <w:numPr>
          <w:ilvl w:val="0"/>
          <w:numId w:val="1"/>
        </w:numPr>
        <w:spacing w:after="60"/>
      </w:pPr>
      <w:r>
        <w:t xml:space="preserve">Section 9's running ledger (client's Excel workbook) shows date labels that appear shifted one row early -- e.g. a row labeled "Aug 24" contains figures that actually match Aug 25's Section 1 data, and a row labeled "Aug 25" contains figures matching Aug 26's data. This is a client-Excel-only finding (the digital form's own ledger, Section 9, does not currently pre-populate figures the same way and was not directly implicated) -- flagged for the client's own correction, not acted on here</w:t>
      </w:r>
    </w:p>
    <w:p>
      <w:pPr>
        <w:pStyle w:val="Heading2"/>
        <w:spacing w:after="120" w:before="240"/>
      </w:pPr>
      <w:r>
        <w:t xml:space="preserve">5.4.8 / 5.8.11 Provision to Add a New Oil Category (Daily Sales Entry &amp; Daily Trial Balance, 2026-08-26)</w:t>
      </w:r>
    </w:p>
    <w:p>
      <w:pPr>
        <w:spacing w:after="120"/>
      </w:pPr>
      <w:r>
        <w:rPr>
          <w:i/>
          <w:iCs/>
        </w:rPr>
        <w:t xml:space="preserve">NEW: client asked for a provision to add a new oil/lubricant category on both forms, following the manual formula corrections found during the Excel audit (Section 5.8.10). Given both forms' Oil Sale(s)/Oil Sales sections use fixed field IDs throughout their calculation engines (referenced individually as oil1 through oil5, not iterated by class), a full conversion to a dynamic list risked destabilizing the 5 named items' existing, well-tested logic. ADDITIVE APPROACH taken instead: the 5 existing named items are UNCHANGED, and a new dynamically-growable section was added below them for any additional items, with its own class-based calculation logic that combines into the same totals.</w:t>
      </w:r>
    </w:p>
    <w:p>
      <w:pPr>
        <w:pStyle w:val="ListParagraph"/>
        <w:numPr>
          <w:ilvl w:val="0"/>
          <w:numId w:val="1"/>
        </w:numPr>
        <w:spacing w:after="60"/>
      </w:pPr>
      <w:r>
        <w:t xml:space="preserve">CONFIRMED on both forms: a "+ Add Oil Item" button prompts for a new item name, then adds a row with Quantity, Rate, Opening Stock, Closing Stock, and Amount -- Amount = Quantity x Rate, Closing Stock = Opening Stock - Quantity, same formulas as the 5 fixed items. Genuinely tested, not just built: added a new item, entered values, and confirmed the row computed correctly AND combined into the existing Total Amt Oil(s) / 2.6.6 Oil Sale(s) Total Amount alongside the 5 fixed items' own total</w:t>
      </w:r>
    </w:p>
    <w:p>
      <w:pPr>
        <w:pStyle w:val="ListParagraph"/>
        <w:numPr>
          <w:ilvl w:val="0"/>
          <w:numId w:val="1"/>
        </w:numPr>
        <w:spacing w:after="60"/>
      </w:pPr>
      <w:r>
        <w:t xml:space="preserve">CONFIRMED on Daily Trial Balance specifically: since "2T Sales" (Section 1) was just corrected to equal the full Oil Sales subtotal rather than only the two "2T"-named rows (Section 5.8.10), a new item added via this feature automatically flows through into 2T Sales and Total Sale Amt without any separate wiring -- tested directly: added a new item worth 300, confirmed the Oil subtotal (85 -&gt; 385) and 2T Sales (85 -&gt; 385) updated together, matching exactly</w:t>
      </w:r>
    </w:p>
    <w:p>
      <w:pPr>
        <w:pStyle w:val="ListParagraph"/>
        <w:numPr>
          <w:ilvl w:val="0"/>
          <w:numId w:val="1"/>
        </w:numPr>
        <w:spacing w:after="60"/>
      </w:pPr>
      <w:r>
        <w:t xml:space="preserve">HONEST LIMITATION, stated directly on both forms rather than glossed over: new items' Rate and Opening Stock are manually entered, NOT auto-pulled from Rate Master / Inventory Tracking the way the 5 named items are -- those two modules only know the 5 originally-confirmed oil products. A newly-added item has no corresponding master-data entry yet, so staff must confirm pricing and current stock with the Manager before entering it here. This is flagged as a genuine gap, not silently assumed to work the same as the established items</w:t>
      </w:r>
    </w:p>
    <w:p>
      <w:pPr>
        <w:pStyle w:val="Heading2"/>
        <w:spacing w:after="120" w:before="240"/>
      </w:pPr>
      <w:r>
        <w:t xml:space="preserve">5.23 Daily Sales Summary — New Module Resolving the Two-Submission Gap (2026-08-26)</w:t>
      </w:r>
    </w:p>
    <w:p>
      <w:pPr>
        <w:spacing w:after="120"/>
      </w:pPr>
      <w:r>
        <w:rPr>
          <w:i/>
          <w:iCs/>
        </w:rPr>
        <w:t xml:space="preserve">REAL DATA FLOW ISSUE FOUND ON REVIEW, not previously identified: Daily Trial Balance's Section 2 (Day Sales Report) needs FOUR rows of data (Office-HS, Office-MS, Road-HS, Road-MS), but each Daily Sales Entry submission covers only ONE pump (confirmed by checking the actual field IDs -- Daily Sales Entry has a single hs-amount/ms-amount pair, not split by pump). Neither of the two sync demo buttons built earlier this session (Section 5.4.7) actually modeled how both pumps' submissions get combined -- they each only knew about one submission at a time. A second, related issue was also found: which pump a Daily Sales Entry submission belongs to is identified only by the free-text Pump Serial# field, which is blank unless Print Blank Form was used -- an unreliable basis for automatically combining two submissions correctly.</w:t>
      </w:r>
    </w:p>
    <w:p>
      <w:pPr>
        <w:pStyle w:val="ListParagraph"/>
        <w:numPr>
          <w:ilvl w:val="0"/>
          <w:numId w:val="1"/>
        </w:numPr>
        <w:spacing w:after="60"/>
      </w:pPr>
      <w:r>
        <w:t xml:space="preserve">RESOLVED with a new module: Daily Sales Summary (daily_sales_summary_branded.html), the missing link between the two independent pump submissions and Trial Balance. NOT a tab inside either Daily Sales Entry form -- deliberately built as its own separate document, since neither pump sales man's submission can see the other's data while filling out their own form independently (potentially at different times, one typed and one scanned)</w:t>
      </w:r>
    </w:p>
    <w:p>
      <w:pPr>
        <w:pStyle w:val="ListParagraph"/>
        <w:numPr>
          <w:ilvl w:val="0"/>
          <w:numId w:val="1"/>
        </w:numPr>
        <w:spacing w:after="60"/>
      </w:pPr>
      <w:r>
        <w:t xml:space="preserve">Section 1 -- Office Pump Submission and Section 2 -- Road Pump Submission: each captures that pump's Pump Sales Man name, Entry Method (Manual or Scanned/OCR), a Verified status, and the same Gas Sale(s) field structure as Daily Sales Entry itself (Current/Last Reading, Consumption, Rate, Amount for both fuels), plus an Oil Sales Total for that pump</w:t>
      </w:r>
    </w:p>
    <w:p>
      <w:pPr>
        <w:pStyle w:val="ListParagraph"/>
        <w:numPr>
          <w:ilvl w:val="0"/>
          <w:numId w:val="1"/>
        </w:numPr>
        <w:spacing w:after="60"/>
      </w:pPr>
      <w:r>
        <w:t xml:space="preserve">Section 3 -- Combined Summary: auto-computed, not entered -- combines both pumps into Office/Road/Combined Total columns for Diesel, Petrol, and Oil Sales, plus a Grand Total. Genuinely tested against real AUG26 figures: Office HS Amount 6339.5112 + Road HS Amount 100275.3264 correctly combined to 106614.8376, matching the real spreadsheet's own combined total exactly</w:t>
      </w:r>
    </w:p>
    <w:p>
      <w:pPr>
        <w:pStyle w:val="ListParagraph"/>
        <w:numPr>
          <w:ilvl w:val="0"/>
          <w:numId w:val="1"/>
        </w:numPr>
        <w:spacing w:after="60"/>
      </w:pPr>
      <w:r>
        <w:t xml:space="preserve">Section 4 -- Verification &amp; Upload, with a genuine, tested gate: the "Upload to Daily Trial Balance" button is BLOCKED until both pumps show a Verified status other than "Not Yet Verified" -- this is the concrete answer to the client's own concern about scanned/handwritten entries needing manual verification before they count. Tested three states: blocked before any verification, still blocked with only one pump verified, and successfully proceeding (as a demo) once both are verified -- confirmed the gate genuinely prevents the action, not just a cosmetic warning</w:t>
      </w:r>
    </w:p>
    <w:p>
      <w:pPr>
        <w:pStyle w:val="ListParagraph"/>
        <w:numPr>
          <w:ilvl w:val="0"/>
          <w:numId w:val="1"/>
        </w:numPr>
        <w:spacing w:after="60"/>
      </w:pPr>
      <w:r>
        <w:t xml:space="preserve">Both existing sync buttons corrected to reflect this new, accurate data flow, not left describing an architecturally incorrect direct link: Daily Sales Entry's button renamed "Send to Daily Sales Summary" (was "Update Daily Trial Balance" -- a single pump's data was never actually able to populate Trial Balance's 4-row Section 2 alone); Daily Trial Balance's button renamed "Update from Daily Sales Summary" (was "Update from Daily Sales") and its demo message corrected to describe pulling the verified Combined Total from Daily Sales Summary's Section 3, not directly from either raw pump submission</w:t>
      </w:r>
    </w:p>
    <w:p>
      <w:pPr>
        <w:pStyle w:val="ListParagraph"/>
        <w:numPr>
          <w:ilvl w:val="0"/>
          <w:numId w:val="1"/>
        </w:numPr>
        <w:spacing w:after="60"/>
      </w:pPr>
      <w:r>
        <w:t xml:space="preserve">This also resolves the previously-unconfirmed question of whether Oil Sales needs aggregating across both pumps (Section 5.8.10's open item) -- Daily Sales Summary's Combined Summary explicitly sums Office and Road Oil Sales Totals into one Combined figure, giving this an actual, implemented answer rather than leaving it open</w:t>
      </w:r>
    </w:p>
    <w:p>
      <w:pPr>
        <w:pStyle w:val="Heading2"/>
        <w:spacing w:after="120" w:before="240"/>
      </w:pPr>
      <w:r>
        <w:t xml:space="preserve">5.24 IOCL Current Reading Pull Button — Contradiction Found, Client Confirmed Direction Pending</w:t>
      </w:r>
    </w:p>
    <w:p>
      <w:pPr>
        <w:spacing w:after="120"/>
      </w:pPr>
      <w:r>
        <w:rPr>
          <w:i/>
          <w:iCs/>
        </w:rPr>
        <w:t xml:space="preserve">REAL CONTRADICTION FOUND during this same review: Section 1's own header states "independent regulatory reading — manual entry, NOT pulled from Section 2" -- a deliberate, explicitly confirmed decision from early in this project (Section 1's IOCL reading is a separate physical regulatory device from the pump dispensers, verified against real data showing completely different orders of magnitude). Directly beneath that same header sits a "Pull IOCL Current Reading (Max)" button (added Section 5.4.7) whose entire purpose contradicts it. Flagged to the client rather than resolved unilaterally, since removing a button is also a real behavior change requiring confirmation, not just a bug fix. Client response pending as of this entry -- not yet resolved in either direction. RESOLVED (2026-08-26, same day): client confirmed Section 1 stays fully independent/manual, rows 3-4 unchanged -- option 1 from the two given. The "Pull IOCL Current Reading (Max)" button and its supporting function removed entirely, replaced with a brief confirming note stating the section has no pull mechanism, matching the header note above it. Tested after removal: page loads cleanly with zero console errors, and Section 1's own core formulas (Diff = Last - Current, etc.) are unaffected -- confirmed no orphaned code or stray references remain anywhere in the file</w:t>
      </w:r>
    </w:p>
    <w:p>
      <w:pPr>
        <w:pStyle w:val="Heading2"/>
        <w:spacing w:after="120" w:before="240"/>
      </w:pPr>
      <w:r>
        <w:t xml:space="preserve">5.25 Daily Sales Summary Scoped and Corrected: Rows 6-24 Only, Itemized Oil (2026-08-26)</w:t>
      </w:r>
    </w:p>
    <w:p>
      <w:pPr>
        <w:spacing w:after="120"/>
      </w:pPr>
      <w:r>
        <w:rPr>
          <w:i/>
          <w:iCs/>
        </w:rPr>
        <w:t xml:space="preserve">Following the three open questions from Section 5.23/5.24 (expand to Expenses/Credit Cards/etc.? fix Oil Sales granularity? add IOCL#?), client gave a precise scope using the real AUG26 spreadsheet: Daily Sales Summary should feed Daily Trial Balance's Section 2 ONLY, corresponding exactly to the source spreadsheet's rows 6 through 24. This resolves all three open questions from the real row range itself, not by further discussion: rows 6-24 cover Gas Sale(s) (both pumps) and the full itemized Oil Sales breakdown (5 items) -- nothing from Expenses, Credit Cards, New Credit, or Old Credit (confirming Daily Sales Summary should NOT expand to cover those), and no IOCL# column exists anywhere in this row range (confirming IOCL# stays out of scope for this specific fix). Row 6-24 verified directly against the actual AUG26 tab before implementing, not assumed from memory.</w:t>
      </w:r>
    </w:p>
    <w:p>
      <w:pPr>
        <w:pStyle w:val="ListParagraph"/>
        <w:numPr>
          <w:ilvl w:val="0"/>
          <w:numId w:val="1"/>
        </w:numPr>
        <w:spacing w:after="60"/>
      </w:pPr>
      <w:r>
        <w:t xml:space="preserve">CONFIRMED: the Oil Sales granularity mismatch (Section 5.24's open item #2) is fixed -- both Office and Road pump sections now capture the full 5-item breakdown (Sold, Rate, Opening Stock, Closing Stock, Amount per item), matching Daily Sales Entry's own Oil Sale(s) structure exactly, replacing the earlier flat single-total field</w:t>
      </w:r>
    </w:p>
    <w:p>
      <w:pPr>
        <w:pStyle w:val="ListParagraph"/>
        <w:numPr>
          <w:ilvl w:val="0"/>
          <w:numId w:val="1"/>
        </w:numPr>
        <w:spacing w:after="60"/>
      </w:pPr>
      <w:r>
        <w:t xml:space="preserve">CONFIRMED: Section 3 (Combined Summary) now shows each of the 5 oil items combined across both pumps individually (Office/Road/Combined Total per item), plus the overall Oil Sale(s) Total row -- matching Daily Trial Balance's Section 2.6 structure row-for-row, not just a lump sum</w:t>
      </w:r>
    </w:p>
    <w:p>
      <w:pPr>
        <w:pStyle w:val="ListParagraph"/>
        <w:numPr>
          <w:ilvl w:val="0"/>
          <w:numId w:val="1"/>
        </w:numPr>
        <w:spacing w:after="60"/>
      </w:pPr>
      <w:r>
        <w:t xml:space="preserve">CONFIRMED: Expenses, Credit Cards, New Credit(s), and Old/Pending Credit sections will NOT be added to Daily Sales Summary -- these remain a separate, unresolved architectural question for a future session if the client wants it addressed, not silently expanded into this form's scope</w:t>
      </w:r>
    </w:p>
    <w:p>
      <w:pPr>
        <w:pStyle w:val="ListParagraph"/>
        <w:numPr>
          <w:ilvl w:val="0"/>
          <w:numId w:val="1"/>
        </w:numPr>
        <w:spacing w:after="60"/>
      </w:pPr>
      <w:r>
        <w:t xml:space="preserve">RIGOROUSLY TESTED against the real, complete AUG26 dataset, not spot-checked: Gas Sale combined totals (HS 106614.8376, MS 66445.181), all 5 individual oil items' Amount and Closing Stock figures, the combined Oil Sale(s) Total (255), and the Grand Total (173315.0186) all matched the real spreadsheet exactly on the first fully-corrected test run</w:t>
      </w:r>
    </w:p>
    <w:p>
      <w:pPr>
        <w:pStyle w:val="Heading2"/>
        <w:spacing w:after="120" w:before="240"/>
      </w:pPr>
      <w:r>
        <w:t xml:space="preserve">5.26 Rate Lock with Supervisor/Owner-Only Push Update (2026-08-26/27)</w:t>
      </w:r>
    </w:p>
    <w:p>
      <w:pPr>
        <w:spacing w:after="120"/>
      </w:pPr>
      <w:r>
        <w:rPr>
          <w:i/>
          <w:iCs/>
        </w:rPr>
        <w:t xml:space="preserve">Following the integration review (Section 5.23-5.25), client confirmed rates should NOT auto-pull live -- instead, Daily Sales Entry and Daily Trial Balance keep their OWN default HS/MS rates, unchanged day-to-day, only updated when a Supervisor or Owner explicitly pushes a change from Rate Master. This directly addresses the concern that pump sales men filling out daily forms on shared computers should never see a rate shift mid-use.</w:t>
      </w:r>
    </w:p>
    <w:p>
      <w:pPr>
        <w:pStyle w:val="ListParagraph"/>
        <w:numPr>
          <w:ilvl w:val="0"/>
          <w:numId w:val="1"/>
        </w:numPr>
        <w:spacing w:after="60"/>
      </w:pPr>
      <w:r>
        <w:t xml:space="preserve">Rate Master: the "Current Rate" column for Buy/Sell Rate HS and MS now shows REAL default values (Buy HS 102.75, Sell HS 105.36, Buy MS 113.56, Sell MS 117.7 -- the same figures confirmed against real AUG-series data throughout this BRD), not blank placeholders as before. A new "Push Rate Update to Daily Sales &amp; Trial Balance" button added, explicitly labeled as a Supervisor/Owner-only action, matching the existing Super-User-only restriction already confirmed for this form (Section 5.11)</w:t>
      </w:r>
    </w:p>
    <w:p>
      <w:pPr>
        <w:pStyle w:val="ListParagraph"/>
        <w:numPr>
          <w:ilvl w:val="0"/>
          <w:numId w:val="1"/>
        </w:numPr>
        <w:spacing w:after="60"/>
      </w:pPr>
      <w:r>
        <w:t xml:space="preserve">Daily Sales Entry and Daily Trial Balance: all 6 HS/MS rate fields (Daily Sales Entry's 2; Trial Balance Section 2's 4 Sell Rate fields, Section 5's 2 Buy Rate fields) now carry the same real default values instead of blank auto-placeholders, confirmed via testing to load correctly and remain unaffected by the calc engine (verified no setVal call anywhere targets these fields, so they cannot be silently overwritten during normal use)</w:t>
      </w:r>
    </w:p>
    <w:p>
      <w:pPr>
        <w:pStyle w:val="ListParagraph"/>
        <w:numPr>
          <w:ilvl w:val="0"/>
          <w:numId w:val="1"/>
        </w:numPr>
        <w:spacing w:after="60"/>
      </w:pPr>
      <w:r>
        <w:t xml:space="preserve">CORRECTED, not left standing: Rate Master's own note previously claimed rates "flow automatically" into Daily Sales Entry and Trial Balance -- this was never actually true (no live link exists between these static files) and is now corrected to accurately describe the Supervisor/Owner-only push model instead</w:t>
      </w:r>
    </w:p>
    <w:p>
      <w:pPr>
        <w:pStyle w:val="ListParagraph"/>
        <w:numPr>
          <w:ilvl w:val="0"/>
          <w:numId w:val="1"/>
        </w:numPr>
        <w:spacing w:after="60"/>
      </w:pPr>
      <w:r>
        <w:t xml:space="preserve">DEMO only, honestly limited, consistent with every other cross-form action in this BRD: the Push Rate Update button cannot literally update the other two static files, since no shared backend exists in these mockups. Real implementation requires the shared backend (BRD Section 4) plus a real Supervisor/Owner login check -- not built here, clearly commented as such in the code</w:t>
      </w:r>
    </w:p>
    <w:p>
      <w:pPr>
        <w:pStyle w:val="ListParagraph"/>
        <w:numPr>
          <w:ilvl w:val="0"/>
          <w:numId w:val="1"/>
        </w:numPr>
        <w:spacing w:after="60"/>
      </w:pPr>
      <w:r>
        <w:t xml:space="preserve">Full regression tested against real AUG26 data after this change on both Daily Sales Entry and Daily Trial Balance -- all previously-confirmed formulas (Gas Sale Amount, Stock Value Amount, etc.) still compute correctly with rates now pre-filled rather than seeded per-test, confirming the change is purely additive and does not alter any calculation logic</w:t>
      </w:r>
    </w:p>
    <w:p>
      <w:pPr>
        <w:pStyle w:val="Heading2"/>
        <w:spacing w:after="120" w:before="240"/>
      </w:pPr>
      <w:r>
        <w:t xml:space="preserve">5.27 Last Updated By/Date, All 12 Forms — No Exceptions (2026-08-27)</w:t>
      </w:r>
    </w:p>
    <w:p>
      <w:pPr>
        <w:spacing w:after="120"/>
      </w:pPr>
      <w:r>
        <w:rPr>
          <w:i/>
          <w:iCs/>
        </w:rPr>
        <w:t xml:space="preserve">CONFIRMED as a critical, non-negotiable requirement: every entry in every form must record who last saved it and when, with no exceptions. Implemented as a standard header element -- a "Last Updated By" / "Last Updated" bar positioned directly below the header on all 12 forms, populated the moment Save is pressed. This is now a standard form toolbar element, alongside the existing language toggle, theme toggle, and doc-tag.</w:t>
      </w:r>
    </w:p>
    <w:p>
      <w:pPr>
        <w:pStyle w:val="Heading3"/>
        <w:spacing w:after="100" w:before="180"/>
      </w:pPr>
      <w:r>
        <w:t xml:space="preserve">Mechanism: "Logged in as" plus Save-time capture</w:t>
      </w:r>
    </w:p>
    <w:p>
      <w:pPr>
        <w:pStyle w:val="ListParagraph"/>
        <w:numPr>
          <w:ilvl w:val="0"/>
          <w:numId w:val="1"/>
        </w:numPr>
        <w:spacing w:after="60"/>
      </w:pPr>
      <w:r>
        <w:t xml:space="preserve">CONFIRMED on 9 forms (Rate Master, Inventory Tracking, Daily Sales Entry, Employee Master, Credit/Remittance Master, Monthly Expenses, Daily Trial Balance, New Credit Entry, Record Repayment, Manage Users -- 10 total): a "Logged in as" dropdown added to each form's header. Save is now BLOCKED with a clear message if no one is selected -- tested on every one of these 10 forms individually, confirming the block genuinely prevents the action rather than being cosmetic. Once selected, Save auto-fills that form's Mgr Name / Prepared By / Updated By / Added-Edited By field(s) AND the new header bar, all from the same single selection -- no separate manual typing anywhere</w:t>
      </w:r>
    </w:p>
    <w:p>
      <w:pPr>
        <w:pStyle w:val="ListParagraph"/>
        <w:numPr>
          <w:ilvl w:val="0"/>
          <w:numId w:val="1"/>
        </w:numPr>
        <w:spacing w:after="60"/>
      </w:pPr>
      <w:r>
        <w:t xml:space="preserve">TWO FORMS HANDLED DIFFERENTLY, deliberately not forced into the same pattern: Password Reset (self-service, reached via an emailed reset link) reuses its existing Account field as the identity, since adding a separate login selector would be redundant -- the person resetting their own password IS the identity being recorded. Payment Receipt (customer-facing, narrow receipt layout) reuses its existing Attendant field the same way, with Save now blocked until Attendant is filled in. Both tested and confirmed working</w:t>
      </w:r>
    </w:p>
    <w:p>
      <w:pPr>
        <w:pStyle w:val="Heading3"/>
        <w:spacing w:after="100" w:before="180"/>
      </w:pPr>
      <w:r>
        <w:t xml:space="preserve">Testing discipline maintained across all 12</w:t>
      </w:r>
    </w:p>
    <w:p>
      <w:pPr>
        <w:pStyle w:val="ListParagraph"/>
        <w:numPr>
          <w:ilvl w:val="0"/>
          <w:numId w:val="1"/>
        </w:numPr>
        <w:spacing w:after="60"/>
      </w:pPr>
      <w:r>
        <w:t xml:space="preserve">Every form individually tag-balance validated and tested end-to-end after this change -- not assumed safe from the pattern working on earlier forms. Daily Trial Balance specifically re-confirmed to have zero regression on its core formula chain (26-column ledger, 5-row default, default HS/MS rates) after the addition, since that form carries the most complex existing logic in this project</w:t>
      </w:r>
    </w:p>
    <w:p>
      <w:pPr>
        <w:pStyle w:val="ListParagraph"/>
        <w:numPr>
          <w:ilvl w:val="0"/>
          <w:numId w:val="1"/>
        </w:numPr>
        <w:spacing w:after="60"/>
      </w:pPr>
      <w:r>
        <w:t xml:space="preserve">DEMO only, honestly limited, same pattern as every other feature in this BRD requiring persistence: no backend or database exists in these static mockups, so "Save" does not literally write anywhere. The bar and auto-fill demonstrate the confirmed UX and behavior precisely, ready for a real backend (Section 4) to make functional -- every table in that real backend is expected to carry the same last-updated-by/timestamp fields as a baseline requirement, per this session's explicit direction</w:t>
      </w:r>
    </w:p>
    <w:p>
      <w:pPr>
        <w:pStyle w:val="Heading2"/>
        <w:spacing w:after="120" w:before="240"/>
      </w:pPr>
      <w:r>
        <w:t xml:space="preserve">5.28 Yearly Sales Report (Tax Return) Module (2026-08-27)</w:t>
      </w:r>
    </w:p>
    <w:p>
      <w:pPr>
        <w:spacing w:after="120"/>
      </w:pPr>
      <w:r>
        <w:rPr>
          <w:i/>
          <w:iCs/>
        </w:rPr>
        <w:t xml:space="preserve">NEW: a yearly report covering India's financial year (Apr 1 - Mar 31, defaulted automatically based on today's date) for tax return preparation, per client request. Client's original scope (HS/MS total sales, salaries, repairs, expenses including power bills, beta, and misc) was reviewed for completeness before building -- 4 additional categories were recommended and confirmed for inclusion (a 5th category set -- depreciation, bad debts, and a certified Net Profit before Tax figure -- was explicitly declined by the client and is NOT included, flagged here so it is not silently assumed missing later)</w:t>
      </w:r>
    </w:p>
    <w:p>
      <w:pPr>
        <w:pStyle w:val="Heading3"/>
        <w:spacing w:after="100" w:before="180"/>
      </w:pPr>
      <w:r>
        <w:t xml:space="preserve">Confirmed additional categories (4 of the original 7 recommended)</w:t>
      </w:r>
    </w:p>
    <w:p>
      <w:pPr>
        <w:pStyle w:val="ListParagraph"/>
        <w:numPr>
          <w:ilvl w:val="0"/>
          <w:numId w:val="1"/>
        </w:numPr>
        <w:spacing w:after="60"/>
      </w:pPr>
      <w:r>
        <w:t xml:space="preserve">Oil/Lubricant sales kept SEPARATE from fuel (Section 2 of this report) -- fuel sits outside standard GST in India (confirmed Section 5.20), oil/lubricants do attract GST; combining them would misstate a GST return, not just Income Tax</w:t>
      </w:r>
    </w:p>
    <w:p>
      <w:pPr>
        <w:pStyle w:val="ListParagraph"/>
        <w:numPr>
          <w:ilvl w:val="0"/>
          <w:numId w:val="1"/>
        </w:numPr>
        <w:spacing w:after="60"/>
      </w:pPr>
      <w:r>
        <w:t xml:space="preserve">Cost of Goods Sold and Gross Profit (Section 3) -- Opening Stock (Apr 1) + Purchases During Year - Closing Stock (Mar 31), conceptually sourced from Rate Master's Buy Rate and Inventory Tracking / Trial Balance Section 5 figures</w:t>
      </w:r>
    </w:p>
    <w:p>
      <w:pPr>
        <w:pStyle w:val="ListParagraph"/>
        <w:numPr>
          <w:ilvl w:val="0"/>
          <w:numId w:val="1"/>
        </w:numPr>
        <w:spacing w:after="60"/>
      </w:pPr>
      <w:r>
        <w:t xml:space="preserve">IOCL Commission (Section 4) -- from Daily Trial Balance's ledger (Section 9's MS Comm/HS Comm/Total Comm columns), kept as separate income rather than blended into Gross Profit</w:t>
      </w:r>
    </w:p>
    <w:p>
      <w:pPr>
        <w:pStyle w:val="ListParagraph"/>
        <w:numPr>
          <w:ilvl w:val="0"/>
          <w:numId w:val="1"/>
        </w:numPr>
        <w:spacing w:after="60"/>
      </w:pPr>
      <w:r>
        <w:t xml:space="preserve">REAL BUG FOUND AND FIXED DURING TESTING, not shipped: the Summary section's "Gross Profit" initially included IOCL Commission in its calculation while Section 3's own "Gross Profit" excluded it -- same label, two different numbers on the same form. The final "Net Result" figure happened to be mathematically correct either way (algebraically equivalent), but the intermediate Gross Profit figures visibly disagreed, which would have been confusing on a document meant for a CA's review. Fixed so both sections show the identical Gross Profit figure, with Commission added as its own explicit line after Gross Profit rather than blended into it -- caught by comparing the two fields directly during testing, not assumed correct from the formula alone</w:t>
      </w:r>
    </w:p>
    <w:p>
      <w:pPr>
        <w:pStyle w:val="Heading3"/>
        <w:spacing w:after="100" w:before="180"/>
      </w:pPr>
      <w:r>
        <w:t xml:space="preserve">Real gap flagged: "Repairs" has no existing source</w:t>
      </w:r>
    </w:p>
    <w:p>
      <w:pPr>
        <w:pStyle w:val="ListParagraph"/>
        <w:numPr>
          <w:ilvl w:val="0"/>
          <w:numId w:val="1"/>
        </w:numPr>
        <w:spacing w:after="60"/>
      </w:pPr>
      <w:r>
        <w:t xml:space="preserve">CONFIRMED via direct check: "Repairs" does not exist as a tracked category anywhere else in this project -- not in Monthly Expenses' Operational Expenses list (Power Bill, Unload Beta, Buying Indian Oils, Other), not on any other form. Recommended, not yet acted on: add "Repairs" to Monthly Expenses' Operational Expenses via the already-confirmed "+ New Category" feature (Section 5.18), so this yearly report has a real daily/monthly-level source to total up from rather than being a number typed once a year with no supporting detail</w:t>
      </w:r>
    </w:p>
    <w:p>
      <w:pPr>
        <w:spacing w:after="120"/>
      </w:pPr>
      <w:r>
        <w:rPr>
          <w:i/>
          <w:iCs/>
        </w:rPr>
        <w:t xml:space="preserve">FINAL RESOLUTION (2026-08-29): client explicitly considered and rejected building an automated pull button for this field, consistent with the same-day simplification of the role structure (Section 2.1) -- an automated pull here would just be a second way to do what Monthly Expenses' own Date Range + Category Report (Section 5.39) already does well. CONFIRMED workflow instead: entered manually at year-end, sourced by running Monthly Expenses' Date Range Report for the full financial year with Category filtered to "Repairs," reading the Operational total off screen, and typing that single number into this field. The note on the Yearly Report form itself was updated to state this workflow explicitly, rather than leaving the earlier "has a real source now" note ambiguous about how that source is actually meant to be used</w:t>
      </w:r>
    </w:p>
    <w:p>
      <w:pPr>
        <w:pStyle w:val="Heading3"/>
        <w:spacing w:after="100" w:before="180"/>
      </w:pPr>
      <w:r>
        <w:t xml:space="preserve">Standard patterns applied, not reinvented</w:t>
      </w:r>
    </w:p>
    <w:p>
      <w:pPr>
        <w:pStyle w:val="ListParagraph"/>
        <w:numPr>
          <w:ilvl w:val="0"/>
          <w:numId w:val="1"/>
        </w:numPr>
        <w:spacing w:after="60"/>
      </w:pPr>
      <w:r>
        <w:t xml:space="preserve">Financial year date range (From/To) auto-defaults to Apr 1 - Mar 31 based on today's date, adjustable if compiling a different period. "Logged in as" / Save / Last Updated By-Date bar (Section 5.27), and a "Pull from Daily Trial Balance / Monthly Expenses / Employee Master" demo button (same honest-limitation pattern as every other cross-form action in this BRD) all included, matching the standard toolbar established across every other form</w:t>
      </w:r>
    </w:p>
    <w:p>
      <w:pPr>
        <w:pStyle w:val="ListParagraph"/>
        <w:numPr>
          <w:ilvl w:val="0"/>
          <w:numId w:val="1"/>
        </w:numPr>
        <w:spacing w:after="60"/>
      </w:pPr>
      <w:r>
        <w:t xml:space="preserve">EXPLICIT DISCLAIMER on the form itself, not assumed unnecessary: this report does not constitute tax advice and should be reviewed by SVR's actual CA/tax professional before filing. "Net Result" is a working figure for this report's confirmed scope only -- not a certified profit-before-tax computation, since depreciation, bad debts, and other adjustments were explicitly excluded from this report's scope by the client</w:t>
      </w:r>
    </w:p>
    <w:p>
      <w:pPr>
        <w:pStyle w:val="Heading2"/>
        <w:spacing w:after="120" w:before="240"/>
      </w:pPr>
      <w:r>
        <w:t xml:space="preserve">5.29 Application Integrity Check — All 14 Forms (2026-08-27)</w:t>
      </w:r>
    </w:p>
    <w:p>
      <w:pPr>
        <w:spacing w:after="120"/>
      </w:pPr>
      <w:r>
        <w:rPr>
          <w:i/>
          <w:iCs/>
        </w:rPr>
        <w:t xml:space="preserve">A systematic, project-wide integrity pass, not spot checks -- five checks run across the full 14-form set (the original 12 from Section 5.27's rollout, plus Daily Sales Summary and Yearly Sales Report, both added afterward).</w:t>
      </w:r>
    </w:p>
    <w:p>
      <w:pPr>
        <w:pStyle w:val="ListParagraph"/>
        <w:numPr>
          <w:ilvl w:val="0"/>
          <w:numId w:val="1"/>
        </w:numPr>
        <w:spacing w:after="60"/>
      </w:pPr>
      <w:r>
        <w:t xml:space="preserve">Check 1 -- Tag balance across all 14 forms: PASS on all 14, no unclosed or mismatched HTML tags found</w:t>
      </w:r>
    </w:p>
    <w:p>
      <w:pPr>
        <w:pStyle w:val="ListParagraph"/>
        <w:numPr>
          <w:ilvl w:val="0"/>
          <w:numId w:val="1"/>
        </w:numPr>
        <w:spacing w:after="60"/>
      </w:pPr>
      <w:r>
        <w:t xml:space="preserve">Check 2 -- Zero console errors on page load across all 14 forms: PASS on all 14</w:t>
      </w:r>
    </w:p>
    <w:p>
      <w:pPr>
        <w:pStyle w:val="ListParagraph"/>
        <w:numPr>
          <w:ilvl w:val="0"/>
          <w:numId w:val="1"/>
        </w:numPr>
        <w:spacing w:after="60"/>
      </w:pPr>
      <w:r>
        <w:t xml:space="preserve">Check 3 -- Save/"Logged in as" mechanism (Section 5.27) on all 11 forms using the standard pattern: PASS on all 11 -- Save genuinely blocked without a login selection, and the header bar genuinely updates once selected, confirmed on each form individually rather than assumed from one working example</w:t>
      </w:r>
    </w:p>
    <w:p>
      <w:pPr>
        <w:pStyle w:val="ListParagraph"/>
        <w:numPr>
          <w:ilvl w:val="0"/>
          <w:numId w:val="1"/>
        </w:numPr>
        <w:spacing w:after="60"/>
      </w:pPr>
      <w:r>
        <w:t xml:space="preserve">Check 4 -- Daily Trial Balance's full formula chain against real AUG26 data, plus its ledger structure (5-row default, 26 columns) and the Oil Sales -&gt; 2T Sales cascade (Section 5.8.10's fix): all confirmed still correct, zero regression from the accumulated changes across this project</w:t>
      </w:r>
    </w:p>
    <w:p>
      <w:pPr>
        <w:pStyle w:val="ListParagraph"/>
        <w:numPr>
          <w:ilvl w:val="0"/>
          <w:numId w:val="1"/>
        </w:numPr>
        <w:spacing w:after="60"/>
      </w:pPr>
      <w:r>
        <w:t xml:space="preserve">Check 5 -- Documentation drift, checking BRD claims against actual HTML state: REAL GAP FOUND. Section 5.27 documented "Save added to all 12 forms, no exceptions" -- but Daily Sales Summary (added in Section 5.23, before the Section 5.27 rollout happened) was never included in that batch, since it wasn't part of the original 12-form list and has its own separate "Upload to Daily Trial Balance" action instead. A direct count confirmed 13 of 14 forms had the Save pattern, not 12 or 14 -- this count itself is what surfaced the gap, not an assumption</w:t>
      </w:r>
    </w:p>
    <w:p>
      <w:pPr>
        <w:pStyle w:val="ListParagraph"/>
        <w:numPr>
          <w:ilvl w:val="0"/>
          <w:numId w:val="1"/>
        </w:numPr>
        <w:spacing w:after="60"/>
      </w:pPr>
      <w:r>
        <w:t xml:space="preserve">FIXED: Daily Sales Summary now has the full standard pattern -- "Logged in as", Last Updated By/Date header bar, and Save (auto-filling Prepared By and Mgr Name). Implemented as a SEPARATE action from the form's existing "Upload to Daily Trial Balance" button, not merged into it -- Save records who compiled this Summary; Upload (with its own pre-existing verification gate, unchanged) pushes the verified combined data onward once both pumps are confirmed. Tested that both actions work correctly and independently -- Upload's verification gate specifically re-tested to confirm it was not altered by this change</w:t>
      </w:r>
    </w:p>
    <w:p>
      <w:pPr>
        <w:pStyle w:val="ListParagraph"/>
        <w:numPr>
          <w:ilvl w:val="0"/>
          <w:numId w:val="1"/>
        </w:numPr>
        <w:spacing w:after="60"/>
      </w:pPr>
      <w:r>
        <w:t xml:space="preserve">Re-ran Checks 1 and 2 after the fix: all 14 forms now confirmed consistent (each shows the same reference count for the Save pattern), tag balance and zero console errors maintained across the full set</w:t>
      </w:r>
    </w:p>
    <w:p>
      <w:pPr>
        <w:pStyle w:val="Heading2"/>
        <w:spacing w:after="120" w:before="240"/>
      </w:pPr>
      <w:r>
        <w:t xml:space="preserve">5.30 Six Remaining Integrity Checks Completed, One Real Bug Found and Fixed (2026-08-27)</w:t>
      </w:r>
    </w:p>
    <w:p>
      <w:pPr>
        <w:spacing w:after="120"/>
      </w:pPr>
      <w:r>
        <w:rPr>
          <w:i/>
          <w:iCs/>
        </w:rPr>
        <w:t xml:space="preserve">Client asked for the remaining pending items from the integrity review (Section 5.29) to be run. All six completed. One is a genuine bug affecting 13 of 14 forms, found and fixed; the rest confirmed clean.</w:t>
      </w:r>
    </w:p>
    <w:p>
      <w:pPr>
        <w:pStyle w:val="ListParagraph"/>
        <w:numPr>
          <w:ilvl w:val="0"/>
          <w:numId w:val="1"/>
        </w:numPr>
        <w:spacing w:after="60"/>
      </w:pPr>
      <w:r>
        <w:t xml:space="preserve">Language and theme toggle, all 14 forms: 13 confirmed working (title text genuinely changes to Telugu, accent color genuinely changes). ONE REAL GAP FOUND: Payment Receipt has zero language-toggle infrastructure at all -- every other form in this project has confirmed bilingual EN/Telugu support, this one does not. Not fixed yet, flagged for a decision -- Payment Receipt's narrow customer-facing layout may have been a deliberate reason to omit it originally, or it may be a genuine omission worth adding for consistency, given SVR's customer base. RESOLVED (2026-08-27, same day): client confirmed Payment Receipt stays English-only, no language toggle to be added -- a deliberate decision, not an oversight left unaddressed</w:t>
      </w:r>
    </w:p>
    <w:p>
      <w:pPr>
        <w:pStyle w:val="Heading2"/>
        <w:spacing w:after="120" w:before="240"/>
      </w:pPr>
      <w:r>
        <w:t xml:space="preserve">5.31 Formula-Bearing Sections Drift Check: 3 Real Gaps Found and Fixed (2026-08-27)</w:t>
      </w:r>
    </w:p>
    <w:p>
      <w:pPr>
        <w:spacing w:after="120"/>
      </w:pPr>
      <w:r>
        <w:rPr>
          <w:i/>
          <w:iCs/>
        </w:rPr>
        <w:t xml:space="preserve">Following the initial documentation drift sample (Section 5.30, 10 claims checked), client asked for a full pass across the highest-risk category specifically -- the roughly 15 sections describing formulas or calculations. Checked each against actual working code, not just claim text. 5 forms confirmed correct (Employee Master's Payroll math, Monthly Expenses' category rollup, Payment Receipt's Total, Rate Master's defaults, Credit/Remittance Master's Amount calc) -- two of those five initially appeared to fail during testing, but the failures traced back to incorrect field selectors in the test script itself, not real bugs; corrected and re-verified before concluding they were fine. 3 forms had genuine, confirmed gaps between what was documented and what the code actually did. All 3 fixed and tested.</w:t>
      </w:r>
    </w:p>
    <w:p>
      <w:pPr>
        <w:pStyle w:val="Heading3"/>
        <w:spacing w:after="100" w:before="180"/>
      </w:pPr>
      <w:r>
        <w:t xml:space="preserve">New Credit Entry: zero calc engine, and a stale "select existing creditor" claim</w:t>
      </w:r>
    </w:p>
    <w:p>
      <w:pPr>
        <w:pStyle w:val="ListParagraph"/>
        <w:numPr>
          <w:ilvl w:val="0"/>
          <w:numId w:val="1"/>
        </w:numPr>
        <w:spacing w:after="60"/>
      </w:pPr>
      <w:r>
        <w:t xml:space="preserve">REAL GAP FOUND: Section 5.9 documented Creditor Name as "select an existing creditor record or add new," but the actual field was plain free text with no dropdown at all -- and the form had no calc engine whatsoever, so Amount (meant to be In Ltrs x Rate) was just another manually-typed field despite being listed as a confirmed structured field</w:t>
      </w:r>
    </w:p>
    <w:p>
      <w:pPr>
        <w:pStyle w:val="ListParagraph"/>
        <w:numPr>
          <w:ilvl w:val="0"/>
          <w:numId w:val="1"/>
        </w:numPr>
        <w:spacing w:after="60"/>
      </w:pPr>
      <w:r>
        <w:t xml:space="preserve">FIXED, deliberately not by building the dropdown the stale text described: Credit/Remittance Master (the newer, more complete form covering the same concept) had already, consciously chosen free text over a dropdown specifically to accommodate a brand-new customer as easily as an existing one -- confirmed by reading that form's own explanatory note. Rather than build a dropdown that would contradict this later, better-considered design, New Credit Entry's Creditor Name stays free text, matching Credit/Remittance Master, and the BRD/form language was corrected to describe reality instead of the superseded idea. The REAL fix applied was the missing calc engine: Amount = In Ltrs x Rate per row, with an auto-summed Total row -- tested with 3 rows including a dynamically-added 4th row (a dedicated addCreditRow() function was needed, since the generic addRow() used elsewhere creates unclassed inputs the calc engine cannot see)</w:t>
      </w:r>
    </w:p>
    <w:p>
      <w:pPr>
        <w:pStyle w:val="Heading3"/>
        <w:spacing w:after="100" w:before="180"/>
      </w:pPr>
      <w:r>
        <w:t xml:space="preserve">Record Repayment: zero calc engine</w:t>
      </w:r>
    </w:p>
    <w:p>
      <w:pPr>
        <w:pStyle w:val="ListParagraph"/>
        <w:numPr>
          <w:ilvl w:val="0"/>
          <w:numId w:val="1"/>
        </w:numPr>
        <w:spacing w:after="60"/>
      </w:pPr>
      <w:r>
        <w:t xml:space="preserve">REAL GAP FOUND: no calc engine at all, though this form's structure is simpler than New Credit Entry's (a flat Payment Credited amount, not a multiplication). FIXED: added a running Total Repaid row summing all Payment Credited entries, with the same dedicated add-row pattern to keep dynamically-added rows included in the total -- tested with 2 rows summing correctly</w:t>
      </w:r>
    </w:p>
    <w:p>
      <w:pPr>
        <w:pStyle w:val="Heading3"/>
        <w:spacing w:after="100" w:before="180"/>
      </w:pPr>
      <w:r>
        <w:t xml:space="preserve">Inventory Tracking: Closing Stock formula stated in text, never implemented in code</w:t>
      </w:r>
    </w:p>
    <w:p>
      <w:pPr>
        <w:pStyle w:val="ListParagraph"/>
        <w:numPr>
          <w:ilvl w:val="0"/>
          <w:numId w:val="1"/>
        </w:numPr>
        <w:spacing w:after="60"/>
      </w:pPr>
      <w:r>
        <w:t xml:space="preserve">REAL GAP FOUND: the form's own note stated "Closing Stock = Opening + Received - Sold," but zero JavaScript existed anywhere implementing this -- Closing Stock and Status were disabled placeholder fields with nothing computing them, a formula documented but never coded</w:t>
      </w:r>
    </w:p>
    <w:p>
      <w:pPr>
        <w:pStyle w:val="ListParagraph"/>
        <w:numPr>
          <w:ilvl w:val="0"/>
          <w:numId w:val="1"/>
        </w:numPr>
        <w:spacing w:after="60"/>
      </w:pPr>
      <w:r>
        <w:t xml:space="preserve">FIXED: Closing Stock now genuinely computed per row (Opening + Received - Sold), plus a Status column comparing Closing Stock against Reorder Level, correctly flagging "Low Stock" when stock falls to or below the reorder threshold. Sold was made editable (rather than staying a disabled placeholder) since no real backend push exists yet in this static mockup to actually populate it -- tested with two scenarios: a healthy-stock row correctly showing "OK," and a low-stock row correctly showing "Low Stock" at the threshold</w:t>
      </w:r>
    </w:p>
    <w:p>
      <w:pPr>
        <w:pStyle w:val="Heading3"/>
        <w:spacing w:after="100" w:before="180"/>
      </w:pPr>
      <w:r>
        <w:t xml:space="preserve">Regression confirmed on all 3 after the fixes</w:t>
      </w:r>
    </w:p>
    <w:p>
      <w:pPr>
        <w:pStyle w:val="ListParagraph"/>
        <w:numPr>
          <w:ilvl w:val="0"/>
          <w:numId w:val="1"/>
        </w:numPr>
        <w:spacing w:after="60"/>
      </w:pPr>
      <w:r>
        <w:t xml:space="preserve">All 3 forms re-tested for zero console errors and confirmed the Section 5.27 Save/"Logged in as" mechanism still blocks and updates correctly -- the new calc engines did not interfere with the existing Save behavior on any of the three</w:t>
      </w:r>
    </w:p>
    <w:p>
      <w:pPr>
        <w:pStyle w:val="Heading2"/>
        <w:spacing w:after="120" w:before="240"/>
      </w:pPr>
      <w:r>
        <w:t xml:space="preserve">5.32 Four Previously-Untested Categories, Completed (2026-08-27)</w:t>
      </w:r>
    </w:p>
    <w:p>
      <w:pPr>
        <w:spacing w:after="120"/>
      </w:pPr>
      <w:r>
        <w:rPr>
          <w:i/>
          <w:iCs/>
        </w:rPr>
        <w:t xml:space="preserve">Client asked for the four categories flagged as never tested at all (Section 5.30) to be run. All four addressed, with one genuine limitation of this environment stated honestly rather than worked around or glossed over.</w:t>
      </w:r>
    </w:p>
    <w:p>
      <w:pPr>
        <w:pStyle w:val="Heading3"/>
        <w:spacing w:after="100" w:before="180"/>
      </w:pPr>
      <w:r>
        <w:t xml:space="preserve">Cross-browser: a real environment limitation, stated directly</w:t>
      </w:r>
    </w:p>
    <w:p>
      <w:pPr>
        <w:pStyle w:val="ListParagraph"/>
        <w:numPr>
          <w:ilvl w:val="0"/>
          <w:numId w:val="1"/>
        </w:numPr>
        <w:spacing w:after="60"/>
      </w:pPr>
      <w:r>
        <w:t xml:space="preserve">Only Chromium is installed in this testing environment -- Firefox and WebKit (Safari's engine) are not available to launch, confirmed by attempting to start each. Genuine cross-browser rendering testing was therefore not possible here, and this BRD does not claim otherwise. Performed a compatibility AUDIT instead: scanned all 14 forms for higher-risk modern JS syntax (e.g. optional chaining) -- none found. Confirmed CSS Flexbox usage (universally well-supported) throughout. Noted one inherent, expected cross-browser difference: native &lt;input type="date"&gt; elements render with different picker styles across browsers/devices (Chrome's calendar icon, iOS's wheel picker, Firefox's own style) -- not a bug, just a known characteristic of using native date inputs rather than a custom-built picker</w:t>
      </w:r>
    </w:p>
    <w:p>
      <w:pPr>
        <w:pStyle w:val="Heading3"/>
        <w:spacing w:after="100" w:before="180"/>
      </w:pPr>
      <w:r>
        <w:t xml:space="preserve">Mobile/responsive layout: functional, one minor visual finding</w:t>
      </w:r>
    </w:p>
    <w:p>
      <w:pPr>
        <w:pStyle w:val="ListParagraph"/>
        <w:numPr>
          <w:ilvl w:val="0"/>
          <w:numId w:val="1"/>
        </w:numPr>
        <w:spacing w:after="60"/>
      </w:pPr>
      <w:r>
        <w:t xml:space="preserve">Tested all 14 forms at a 375px mobile viewport (iPhone-size). CONFIRMED: zero horizontal page overflow on any form -- specifically verified this holds even for Daily Trial Balance's 26-column, 3400px-wide ledger, which correctly stays contained in its own horizontal-scroll wrapper rather than breaking the page layout. MINOR FINDING: the header's "Manual Entry Mode" tag is visibly clipped at the right edge on a 375px screen -- functional, not broken, but not fully polished at this width. Not fixed, flagged for a decision on priority</w:t>
      </w:r>
    </w:p>
    <w:p>
      <w:pPr>
        <w:pStyle w:val="Heading3"/>
        <w:spacing w:after="100" w:before="180"/>
      </w:pPr>
      <w:r>
        <w:t xml:space="preserve">Sensitive data handling: one good pattern confirmed, two gaps found</w:t>
      </w:r>
    </w:p>
    <w:p>
      <w:pPr>
        <w:pStyle w:val="ListParagraph"/>
        <w:numPr>
          <w:ilvl w:val="0"/>
          <w:numId w:val="1"/>
        </w:numPr>
        <w:spacing w:after="60"/>
      </w:pPr>
      <w:r>
        <w:t xml:space="preserve">CONFIRMED GOOD: Manage Users' password reset flow never displays or handles a raw password value anywhere -- confirmed by reading the actual code, which uses an emailed reset link exclusively (self-service or admin-initiated), with an explicit code comment confirming no password value is ever shown</w:t>
      </w:r>
    </w:p>
    <w:p>
      <w:pPr>
        <w:pStyle w:val="ListParagraph"/>
        <w:numPr>
          <w:ilvl w:val="0"/>
          <w:numId w:val="1"/>
        </w:numPr>
        <w:spacing w:after="60"/>
      </w:pPr>
      <w:r>
        <w:t xml:space="preserve">CONFIRMED: Employee Master's Account Number is the only field across all 14 forms carrying an explicit sensitivity flag ("Sensitive -- verify handling before real use", plus a red note about encryption-at-rest and role-restricted access). REAL GAP FOUND: two other fields hold comparable personal/financial data but carry no such flag -- Credit/Remittance Master's Phone Number (personal contact data), and Employee Master's own IFSC Code (sits directly next to the flagged Account Number, and combined with it is enough information to identify a bank account, yet is not itself flagged). Not fixed yet -- flagged for a decision on whether to extend the same sensitivity note to these two fields</w:t>
      </w:r>
    </w:p>
    <w:p>
      <w:pPr>
        <w:pStyle w:val="Heading3"/>
        <w:spacing w:after="100" w:before="180"/>
      </w:pPr>
      <w:r>
        <w:t xml:space="preserve">Load testing with realistic data volume: no issues found</w:t>
      </w:r>
    </w:p>
    <w:p>
      <w:pPr>
        <w:pStyle w:val="ListParagraph"/>
        <w:numPr>
          <w:ilvl w:val="0"/>
          <w:numId w:val="1"/>
        </w:numPr>
        <w:spacing w:after="60"/>
      </w:pPr>
      <w:r>
        <w:t xml:space="preserve">Daily Trial Balance's ledger (Section 9) tested at a full financial year's volume -- 365 rows, up from the confirmed 5-row default -- added in 0.32 seconds, with calcAll() completing across all 365 rows in 0.008 seconds and zero console errors. Daily Sales Summary/Trial Balance's dynamic oil-item extensibility stress-tested at 50 added items (well beyond realistic daily use) -- computed correctly (500 = 50 items x 1 qty x 10 rate) in 0.003 seconds, zero errors. No performance concerns found at either realistic or stress-test volume</w:t>
      </w:r>
    </w:p>
    <w:p>
      <w:pPr>
        <w:pStyle w:val="Heading2"/>
        <w:spacing w:after="120" w:before="240"/>
      </w:pPr>
      <w:r>
        <w:t xml:space="preserve">5.33 Employee Master Restricted to Manager/Owner — Pump Sales Man Blocked (2026-08-28)</w:t>
      </w:r>
    </w:p>
    <w:p>
      <w:pPr>
        <w:spacing w:after="120"/>
      </w:pPr>
      <w:r>
        <w:rPr>
          <w:i/>
          <w:iCs/>
        </w:rPr>
        <w:t xml:space="preserve">NEW REQUIREMENT: client confirmed Employee Master should be restricted by role -- only Manager, Supervisor, or Owner may view this form; Pump Sales Man (Data Entry role, per Section 2's confirmed role table) must not be able to see it at all, given it holds employee bank account and IFSC details (Section 5.32's sensitivity flags).</w:t>
      </w:r>
    </w:p>
    <w:p>
      <w:pPr>
        <w:pStyle w:val="ListParagraph"/>
        <w:numPr>
          <w:ilvl w:val="0"/>
          <w:numId w:val="1"/>
        </w:numPr>
        <w:spacing w:after="60"/>
      </w:pPr>
      <w:r>
        <w:t xml:space="preserve">CONFIRMED, going beyond Rate Master's existing precedent: Rate Master's own "Super User Only" restriction (Section 5.11) is a visual label only -- no functional gate exists behind it in that form, since it predates the "Logged in as" mechanism (Section 5.27). For Employee Master, given the sensitivity of the data involved, implemented an actual functional gate rather than just a label, reusing the existing "Logged in as" selector already on this form</w:t>
      </w:r>
    </w:p>
    <w:p>
      <w:pPr>
        <w:pStyle w:val="ListParagraph"/>
        <w:numPr>
          <w:ilvl w:val="0"/>
          <w:numId w:val="1"/>
        </w:numPr>
        <w:spacing w:after="60"/>
      </w:pPr>
      <w:r>
        <w:t xml:space="preserve">CONFIRMED: "Logged in as" expanded to include Pump Sales Man options (previously only had Owner/Manager, since nothing on this form needed to demonstrate a blocked role before). Selecting a Pump Sales Man login genuinely hides the entire form's content (Employee list, Payroll Run, Insurance sections) and replaces it with an "Access Restricted" message -- tested directly, not assumed from the code: content visibility confirmed true/false in both states, and switching back to Manager/Owner correctly restores full access</w:t>
      </w:r>
    </w:p>
    <w:p>
      <w:pPr>
        <w:pStyle w:val="ListParagraph"/>
        <w:numPr>
          <w:ilvl w:val="0"/>
          <w:numId w:val="1"/>
        </w:numPr>
        <w:spacing w:after="60"/>
      </w:pPr>
      <w:r>
        <w:t xml:space="preserve">Defense in depth added to Save itself: even if a Pump Sales Man login were somehow selected while content was still visible (e.g. a race condition or manual DOM manipulation), the Save function independently checks and refuses with an explicit restricted message, rather than relying solely on the content being hidden. Tested directly by calling the save function while a Pump Sales Man login was active</w:t>
      </w:r>
    </w:p>
    <w:p>
      <w:pPr>
        <w:pStyle w:val="ListParagraph"/>
        <w:numPr>
          <w:ilvl w:val="0"/>
          <w:numId w:val="1"/>
        </w:numPr>
        <w:spacing w:after="60"/>
      </w:pPr>
      <w:r>
        <w:t xml:space="preserve">HONEST LIMITATION STATED directly in the code, not glossed over: this is a client-side check against a demo dropdown, not a real authenticated session -- there is no login/backend system in this static mockup. A real implementation must enforce this restriction server-side (BRD Section 4); a client-side-only check could be bypassed by viewing page source or disabling JavaScript, and must never be relied on alone in the real system</w:t>
      </w:r>
    </w:p>
    <w:p>
      <w:pPr>
        <w:pStyle w:val="ListParagraph"/>
        <w:numPr>
          <w:ilvl w:val="0"/>
          <w:numId w:val="1"/>
        </w:numPr>
        <w:spacing w:after="60"/>
      </w:pPr>
      <w:r>
        <w:t xml:space="preserve">Visual "Manager / Owner Only" tag also added to the header, matching Rate Master's established labeling convention, so the restriction is visible even before anyone interacts with the Logged in as selector</w:t>
      </w:r>
    </w:p>
    <w:p>
      <w:pPr>
        <w:pStyle w:val="Heading2"/>
        <w:spacing w:after="120" w:before="240"/>
      </w:pPr>
      <w:r>
        <w:t xml:space="preserve">5.34 Record Repayment: Partial Payments Explicitly Confirmed, Real Bug Caught (2026-08-28)</w:t>
      </w:r>
    </w:p>
    <w:p>
      <w:pPr>
        <w:spacing w:after="120"/>
      </w:pPr>
      <w:r>
        <w:rPr>
          <w:i/>
          <w:iCs/>
        </w:rPr>
        <w:t xml:space="preserve">The open question from the original Record Repayment form was previously described as "implicitly resolved" via Credit/Remittance Master's design (Section 5.17) -- but that inference was about the newer Master form, not an explicit confirmation for the older, still-existing standalone Record Repayment form itself (Section 5.9, retirement status still separately unresolved). Client now confirmed directly, specifically for this form: partial repayments are the norm -- full settlement happens roughly 90% of the time, but is not required, with at least one customer who reliably pays partially. What actually matters is that whoever processes the payment (Supervisor, Owner, or Manager) is accurately recorded -- not whether the payment fully settles the balance.</w:t>
      </w:r>
    </w:p>
    <w:p>
      <w:pPr>
        <w:pStyle w:val="ListParagraph"/>
        <w:numPr>
          <w:ilvl w:val="0"/>
          <w:numId w:val="1"/>
        </w:numPr>
        <w:spacing w:after="60"/>
      </w:pPr>
      <w:r>
        <w:t xml:space="preserve">REAL GAP FOUND while implementing this: "Payment Collected By" had existed as a field since this form was first built, but was still a plain, unwired manual text input -- not connected to the "Logged in as" auto-fill mechanism the way Mgr Name already was (Section 5.27). FIXED: now auto-fills from Logged in as on Save, per row, matching the established pattern</w:t>
      </w:r>
    </w:p>
    <w:p>
      <w:pPr>
        <w:pStyle w:val="ListParagraph"/>
        <w:numPr>
          <w:ilvl w:val="0"/>
          <w:numId w:val="1"/>
        </w:numPr>
        <w:spacing w:after="60"/>
      </w:pPr>
      <w:r>
        <w:t xml:space="preserve">REAL BUG CAUGHT DURING TESTING, not shipped: the first implementation blindly overwrote every row's "Payment Collected By" on every Save click -- meaning if Person A saved a first partial payment, then Person B later saved after adding a second partial payment, Person A's row would be silently overwritten to say Person B collected it too. Caught by testing a realistic two-partial-payment scenario with two different collectors, not assumed correct from the code. FIXED: a row is only auto-filled if it is still empty -- once a row has been saved by someone, it stays attributed to that person regardless of who saves the form afterward. Re-tested and confirmed: Row 1 correctly stays with its original collector across multiple subsequent saves by a different person</w:t>
      </w:r>
    </w:p>
    <w:p>
      <w:pPr>
        <w:pStyle w:val="ListParagraph"/>
        <w:numPr>
          <w:ilvl w:val="0"/>
          <w:numId w:val="1"/>
        </w:numPr>
        <w:spacing w:after="60"/>
      </w:pPr>
      <w:r>
        <w:t xml:space="preserve">Daily Sales Summary's itemized Oil Sales cascade, re-verified after the Section 5.29 Save fix: confirmed unaffected, all 5 items and the combined total still correct</w:t>
      </w:r>
    </w:p>
    <w:p>
      <w:pPr>
        <w:pStyle w:val="ListParagraph"/>
        <w:numPr>
          <w:ilvl w:val="0"/>
          <w:numId w:val="1"/>
        </w:numPr>
        <w:spacing w:after="60"/>
      </w:pPr>
      <w:r>
        <w:t xml:space="preserve">Yearly Sales Report, re-verified after unrelated changes elsewhere in the project: confirmed unaffected, including the Gross Profit consistency fix from Section 5.28 still holding</w:t>
      </w:r>
    </w:p>
    <w:p>
      <w:pPr>
        <w:pStyle w:val="ListParagraph"/>
        <w:numPr>
          <w:ilvl w:val="0"/>
          <w:numId w:val="1"/>
        </w:numPr>
        <w:spacing w:after="60"/>
      </w:pPr>
      <w:r>
        <w:t xml:space="preserve">REAL BUG FOUND AND FIXED: Print CSS for the Last Updated bar (Section 5.27) did not actually work. Tested directly with print-media emulation rather than assumed from the CSS rule's presence -- the bar remained VISIBLE under print media on 13 of 14 forms, despite each having a ".last-updated-bar { display: none; }" rule inside @media print. Root cause: the bar element also carries an inline style attribute (style="...display:flex..."), and inline styles take precedence over stylesheet rules regardless of the media query -- the print rule was being silently overridden on every affected form. FIXED by adding !important to the print rule ("display: none !important") across all 13 affected forms (Payment Receipt uses a different, non-inline bar implementation and was never affected). Verified the fix with the same print-media emulation test on all 13 -- bar now genuinely hidden in print, and separately confirmed the fix did not affect normal screen visibility</w:t>
      </w:r>
    </w:p>
    <w:p>
      <w:pPr>
        <w:pStyle w:val="ListParagraph"/>
        <w:numPr>
          <w:ilvl w:val="0"/>
          <w:numId w:val="1"/>
        </w:numPr>
        <w:spacing w:after="60"/>
      </w:pPr>
      <w:r>
        <w:t xml:space="preserve">Password Reset and Payment Receipt, full regression on their own core features (not just the Save-adjacent behavior checked in Section 5.29): Password Reset's Account field confirmed intact; Payment Receipt's total calculation, conditional payment-method reference fields, and Print trigger all confirmed still working correctly</w:t>
      </w:r>
    </w:p>
    <w:p>
      <w:pPr>
        <w:pStyle w:val="ListParagraph"/>
        <w:numPr>
          <w:ilvl w:val="0"/>
          <w:numId w:val="1"/>
        </w:numPr>
        <w:spacing w:after="60"/>
      </w:pPr>
      <w:r>
        <w:t xml:space="preserve">Broader documentation drift sample, 5 additional specific claims checked directly against HTML rather than assumed still accurate: ledger's 26-column structure, the "2T Sales = full Oil subtotal" fix (Section 5.8.10), Rate Master's Supervisor/Owner-only push restriction, Inventory Tracking's corrected note (Section 5.29), and Employee Master's Payroll auto-pull-by-name-match -- all 5 confirmed accurate, no further drift found in this sample</w:t>
      </w:r>
    </w:p>
    <w:p>
      <w:pPr>
        <w:pStyle w:val="Heading2"/>
        <w:spacing w:after="120" w:before="240"/>
      </w:pPr>
      <w:r>
        <w:t xml:space="preserve">5.9 Old Credit Accounts Tracking Module</w:t>
      </w:r>
    </w:p>
    <w:p>
      <w:pPr>
        <w:spacing w:after="120"/>
      </w:pPr>
      <w:r>
        <w:rPr>
          <w:i/>
          <w:iCs/>
        </w:rPr>
        <w:t xml:space="preserve">A dedicated module tracks Old/Pending Credit Accounts. New credit entries originate either from the Daily Sales Report's "Today New Credit(s)" section (Section 5.4.1) or from direct manual input into this module for regular, ongoing tracking outside the daily form — so staff can log or review credit accounts at any time, not only at shift close. Repayments (settlements against outstanding credit) are recorded separately as they are collected.</w:t>
      </w:r>
    </w:p>
    <w:p>
      <w:pPr>
        <w:pStyle w:val="ListParagraph"/>
        <w:numPr>
          <w:ilvl w:val="0"/>
          <w:numId w:val="1"/>
        </w:numPr>
        <w:spacing w:after="60"/>
      </w:pPr>
      <w:r>
        <w:t xml:space="preserve">Module name: Old Credit Accounts Tracking</w:t>
      </w:r>
    </w:p>
    <w:p>
      <w:pPr>
        <w:pStyle w:val="ListParagraph"/>
        <w:numPr>
          <w:ilvl w:val="0"/>
          <w:numId w:val="1"/>
        </w:numPr>
        <w:spacing w:after="60"/>
      </w:pPr>
      <w:r>
        <w:t xml:space="preserve">Status: Core entry fields confirmed (below); running-balance/aging views, roles, and reporting still to be finalized in the design phase</w:t>
      </w:r>
    </w:p>
    <w:p>
      <w:pPr>
        <w:pStyle w:val="ListParagraph"/>
        <w:numPr>
          <w:ilvl w:val="0"/>
          <w:numId w:val="1"/>
        </w:numPr>
        <w:spacing w:after="60"/>
      </w:pPr>
      <w:r>
        <w:t xml:space="preserve">Data relationship: sourced from / linked to the Daily Sales Report's Today New Credit(s) entries (Section 5.4.1), and also directly entered manually into this module as a standalone way to keep credit accounts up to date on a regular basis — credits recorded via either path should feed the same underlying record rather than being entered twice</w:t>
      </w:r>
    </w:p>
    <w:p>
      <w:pPr>
        <w:pStyle w:val="ListParagraph"/>
        <w:numPr>
          <w:ilvl w:val="0"/>
          <w:numId w:val="1"/>
        </w:numPr>
        <w:spacing w:after="60"/>
      </w:pPr>
      <w:r>
        <w:t xml:space="preserve">Form structure — CONFIRMED (Option B): two separate forms/actions — New Credit Entry and Record Repayment — both tied to a creditor record, rather than one combined form or two standalone unlinked forms. Each action is performed against a specific creditor (select existing creditor or add new), so both New Credit Entry and Record Repayment write to that creditor's shared history — this is what enables the running-balance and aging view planned for this module</w:t>
      </w:r>
    </w:p>
    <w:p>
      <w:pPr>
        <w:pStyle w:val="ListParagraph"/>
        <w:numPr>
          <w:ilvl w:val="0"/>
          <w:numId w:val="1"/>
        </w:numPr>
        <w:spacing w:after="60"/>
      </w:pPr>
      <w:r>
        <w:t xml:space="preserve">Confirmed fields — New Credit Entry: Creditor Name (select existing creditor record or add new), Type (Diesel or Petrol), In Ltrs, Rate, Amount, Signature</w:t>
      </w:r>
    </w:p>
    <w:p>
      <w:pPr>
        <w:pStyle w:val="ListParagraph"/>
        <w:numPr>
          <w:ilvl w:val="0"/>
          <w:numId w:val="1"/>
        </w:numPr>
        <w:spacing w:after="60"/>
      </w:pPr>
      <w:r>
        <w:t xml:space="preserve">Confirmed fields — Repayment / Settlement Entry: recorded against the selected creditor record; Payment Credited (amount and date repaid against the creditor's outstanding balance), Payment Collected By (the staff member who collected the repayment)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c>
          <w:tcPr>
            <w:tcW w:type="dxa" w:w="2400"/>
            <w:shd w:fill="1F4E78" w:val="clear"/>
          </w:tcPr>
          <w:p>
            <w:r>
              <w:rPr>
                <w:b/>
                <w:bCs/>
                <w:color w:val="FFFFFF"/>
              </w:rPr>
              <w:t xml:space="preserve">Sub-form</w:t>
            </w:r>
          </w:p>
        </w:tc>
        <w:tc>
          <w:tcPr>
            <w:tcW w:type="dxa" w:w="2400"/>
            <w:shd w:fill="1F4E78" w:val="clear"/>
          </w:tcPr>
          <w:p>
            <w:r>
              <w:rPr>
                <w:b/>
                <w:bCs/>
                <w:color w:val="FFFFFF"/>
              </w:rPr>
              <w:t xml:space="preserve">Field</w:t>
            </w:r>
          </w:p>
        </w:tc>
        <w:tc>
          <w:tcPr>
            <w:tcW w:type="dxa" w:w="4550"/>
            <w:shd w:fill="1F4E78" w:val="clear"/>
          </w:tcPr>
          <w:p>
            <w:r>
              <w:rPr>
                <w:b/>
                <w:bCs/>
                <w:color w:val="FFFFFF"/>
              </w:rPr>
              <w:t xml:space="preserve">Notes</w:t>
            </w:r>
          </w:p>
        </w:tc>
      </w:tr>
      <w:tr>
        <w:tc>
          <w:tcPr>
            <w:tcW w:type="dxa" w:w="2400"/>
            <w:vMerge w:val="restart"/>
          </w:tcPr>
          <w:p>
            <w:r>
              <w:rPr>
                <w:b w:val="false"/>
                <w:bCs w:val="false"/>
              </w:rPr>
              <w:t xml:space="preserve">New Credit Entry</w:t>
            </w:r>
          </w:p>
        </w:tc>
        <w:tc>
          <w:tcPr>
            <w:tcW w:type="dxa" w:w="2400"/>
          </w:tcPr>
          <w:p>
            <w:r>
              <w:rPr>
                <w:b w:val="false"/>
                <w:bCs w:val="false"/>
              </w:rPr>
              <w:t xml:space="preserve">Creditor Name</w:t>
            </w:r>
          </w:p>
        </w:tc>
        <w:tc>
          <w:tcPr>
            <w:tcW w:type="dxa" w:w="4550"/>
          </w:tcPr>
          <w:p>
            <w:r>
              <w:rPr>
                <w:b w:val="false"/>
                <w:bCs w:val="false"/>
              </w:rPr>
              <w:t xml:space="preserve">Free-text name of the customer receiving credit</w:t>
            </w:r>
          </w:p>
        </w:tc>
      </w:tr>
      <w:tr>
        <w:tc>
          <w:tcPr>
            <w:tcW w:type="dxa" w:w="2400"/>
            <w:vMerge/>
          </w:tcPr>
          <w:p/>
        </w:tc>
        <w:tc>
          <w:tcPr>
            <w:tcW w:type="dxa" w:w="2400"/>
          </w:tcPr>
          <w:p>
            <w:r>
              <w:rPr>
                <w:b w:val="false"/>
                <w:bCs w:val="false"/>
              </w:rPr>
              <w:t xml:space="preserve">Type</w:t>
            </w:r>
          </w:p>
        </w:tc>
        <w:tc>
          <w:tcPr>
            <w:tcW w:type="dxa" w:w="4550"/>
          </w:tcPr>
          <w:p>
            <w:r>
              <w:rPr>
                <w:b w:val="false"/>
                <w:bCs w:val="false"/>
              </w:rPr>
              <w:t xml:space="preserve">Fuel type: 1. Diesel or 2. Petrol</w:t>
            </w:r>
          </w:p>
        </w:tc>
      </w:tr>
      <w:tr>
        <w:tc>
          <w:tcPr>
            <w:tcW w:type="dxa" w:w="2400"/>
            <w:vMerge/>
          </w:tcPr>
          <w:p/>
        </w:tc>
        <w:tc>
          <w:tcPr>
            <w:tcW w:type="dxa" w:w="2400"/>
          </w:tcPr>
          <w:p>
            <w:r>
              <w:rPr>
                <w:b w:val="false"/>
                <w:bCs w:val="false"/>
              </w:rPr>
              <w:t xml:space="preserve">In Ltrs</w:t>
            </w:r>
          </w:p>
        </w:tc>
        <w:tc>
          <w:tcPr>
            <w:tcW w:type="dxa" w:w="4550"/>
          </w:tcPr>
          <w:p>
            <w:r>
              <w:rPr>
                <w:b w:val="false"/>
                <w:bCs w:val="false"/>
              </w:rPr>
              <w:t xml:space="preserve">Quantity of fuel given on credit, in litres</w:t>
            </w:r>
          </w:p>
        </w:tc>
      </w:tr>
      <w:tr>
        <w:tc>
          <w:tcPr>
            <w:tcW w:type="dxa" w:w="2400"/>
            <w:vMerge/>
          </w:tcPr>
          <w:p/>
        </w:tc>
        <w:tc>
          <w:tcPr>
            <w:tcW w:type="dxa" w:w="2400"/>
          </w:tcPr>
          <w:p>
            <w:r>
              <w:rPr>
                <w:b w:val="false"/>
                <w:bCs w:val="false"/>
              </w:rPr>
              <w:t xml:space="preserve">Rate</w:t>
            </w:r>
          </w:p>
        </w:tc>
        <w:tc>
          <w:tcPr>
            <w:tcW w:type="dxa" w:w="4550"/>
          </w:tcPr>
          <w:p>
            <w:r>
              <w:rPr>
                <w:b w:val="false"/>
                <w:bCs w:val="false"/>
              </w:rPr>
              <w:t xml:space="preserve">Per-litre rate applied at time of the credit sale</w:t>
            </w:r>
          </w:p>
        </w:tc>
      </w:tr>
      <w:tr>
        <w:tc>
          <w:tcPr>
            <w:tcW w:type="dxa" w:w="2400"/>
            <w:vMerge/>
          </w:tcPr>
          <w:p/>
        </w:tc>
        <w:tc>
          <w:tcPr>
            <w:tcW w:type="dxa" w:w="2400"/>
          </w:tcPr>
          <w:p>
            <w:r>
              <w:rPr>
                <w:b w:val="false"/>
                <w:bCs w:val="false"/>
              </w:rPr>
              <w:t xml:space="preserve">Amount</w:t>
            </w:r>
          </w:p>
        </w:tc>
        <w:tc>
          <w:tcPr>
            <w:tcW w:type="dxa" w:w="4550"/>
          </w:tcPr>
          <w:p>
            <w:r>
              <w:rPr>
                <w:b w:val="false"/>
                <w:bCs w:val="false"/>
              </w:rPr>
              <w:t xml:space="preserve">In Ltrs × Rate; added to the creditor's outstanding balance</w:t>
            </w:r>
          </w:p>
        </w:tc>
      </w:tr>
      <w:tr>
        <w:tc>
          <w:tcPr>
            <w:tcW w:type="dxa" w:w="2400"/>
            <w:vMerge/>
          </w:tcPr>
          <w:p/>
        </w:tc>
        <w:tc>
          <w:tcPr>
            <w:tcW w:type="dxa" w:w="2400"/>
          </w:tcPr>
          <w:p>
            <w:r>
              <w:rPr>
                <w:b w:val="false"/>
                <w:bCs w:val="false"/>
              </w:rPr>
              <w:t xml:space="preserve">Signature</w:t>
            </w:r>
          </w:p>
        </w:tc>
        <w:tc>
          <w:tcPr>
            <w:tcW w:type="dxa" w:w="4550"/>
          </w:tcPr>
          <w:p>
            <w:r>
              <w:rPr>
                <w:b w:val="false"/>
                <w:bCs w:val="false"/>
              </w:rPr>
              <w:t xml:space="preserve">Creditor's acknowledgment of the credit taken (captured method — signature pad vs. printed/manual — to be confirmed in design)</w:t>
            </w:r>
          </w:p>
        </w:tc>
      </w:tr>
      <w:tr>
        <w:tc>
          <w:tcPr>
            <w:tcW w:type="dxa" w:w="2400"/>
            <w:vMerge w:val="restart"/>
          </w:tcPr>
          <w:p>
            <w:r>
              <w:rPr>
                <w:b w:val="false"/>
                <w:bCs w:val="false"/>
              </w:rPr>
              <w:t xml:space="preserve">Repayment / Settlement Entry</w:t>
            </w:r>
          </w:p>
        </w:tc>
        <w:tc>
          <w:tcPr>
            <w:tcW w:type="dxa" w:w="2400"/>
          </w:tcPr>
          <w:p>
            <w:r>
              <w:rPr>
                <w:b w:val="false"/>
                <w:bCs w:val="false"/>
              </w:rPr>
              <w:t xml:space="preserve">Payment Credited</w:t>
            </w:r>
          </w:p>
        </w:tc>
        <w:tc>
          <w:tcPr>
            <w:tcW w:type="dxa" w:w="4550"/>
          </w:tcPr>
          <w:p>
            <w:r>
              <w:rPr>
                <w:b w:val="false"/>
                <w:bCs w:val="false"/>
              </w:rPr>
              <w:t xml:space="preserve">Amount and date repaid by the creditor; reduces their outstanding balance</w:t>
            </w:r>
          </w:p>
        </w:tc>
      </w:tr>
      <w:tr>
        <w:tc>
          <w:tcPr>
            <w:tcW w:type="dxa" w:w="2400"/>
            <w:vMerge/>
          </w:tcPr>
          <w:p/>
        </w:tc>
        <w:tc>
          <w:tcPr>
            <w:tcW w:type="dxa" w:w="2400"/>
          </w:tcPr>
          <w:p>
            <w:r>
              <w:rPr>
                <w:b w:val="false"/>
                <w:bCs w:val="false"/>
              </w:rPr>
              <w:t xml:space="preserve">Payment Collected By</w:t>
            </w:r>
          </w:p>
        </w:tc>
        <w:tc>
          <w:tcPr>
            <w:tcW w:type="dxa" w:w="4550"/>
          </w:tcPr>
          <w:p>
            <w:r>
              <w:rPr>
                <w:b w:val="false"/>
                <w:bCs w:val="false"/>
              </w:rPr>
              <w:t xml:space="preserve">Staff member who collected the repayment (accountability / audit trail)</w:t>
            </w:r>
          </w:p>
        </w:tc>
      </w:tr>
    </w:tbl>
    <w:p>
      <w:pPr>
        <w:pStyle w:val="ListParagraph"/>
        <w:numPr>
          <w:ilvl w:val="0"/>
          <w:numId w:val="1"/>
        </w:numPr>
        <w:spacing w:after="60"/>
      </w:pPr>
      <w:r>
        <w:t xml:space="preserve">Remaining open questions (to confirm in design phase): per-customer running credit balance and aging view (built on the creditor-record structure above), whether repayments can be partial or must fully settle a specific credit entry, and which roles can enter new credits vs. record repayments</w:t>
      </w:r>
    </w:p>
    <w:p>
      <w:pPr>
        <w:pStyle w:val="ListParagraph"/>
        <w:numPr>
          <w:ilvl w:val="0"/>
          <w:numId w:val="1"/>
        </w:numPr>
        <w:spacing w:after="60"/>
      </w:pPr>
      <w:r>
        <w:t xml:space="preserve">Credit Report: consolidated report listing all New Credit Entry and Repayment transactions, sorted by pending (outstanding) payments first, so overdue/unsettled creditor balances surface at the top rather than being buried in date order; exact columns and print/export format to be finalized alongside the running-balance view in the design phase</w:t>
      </w:r>
    </w:p>
    <w:p>
      <w:pPr>
        <w:pStyle w:val="ListParagraph"/>
        <w:numPr>
          <w:ilvl w:val="0"/>
          <w:numId w:val="1"/>
        </w:numPr>
        <w:spacing w:after="60"/>
      </w:pPr>
      <w:r>
        <w:t xml:space="preserve">UI / Branding: New Credit Entry, Record Repayment, and the Credit Report use the same IndianOil brand colour scheme as the Daily Sales Report / Daily Sales Data Entry form (Section 5.4), so the module reads as part of the same system rather than a visually separate module</w:t>
      </w:r>
    </w:p>
    <w:p>
      <w:pPr>
        <w:pStyle w:val="Heading2"/>
        <w:spacing w:after="120" w:before="240"/>
      </w:pPr>
      <w:r>
        <w:t xml:space="preserve">5.10 Inventory Tracking Module</w:t>
      </w:r>
    </w:p>
    <w:p>
      <w:pPr>
        <w:spacing w:after="120"/>
      </w:pPr>
      <w:r>
        <w:rPr>
          <w:i/>
          <w:iCs/>
        </w:rPr>
        <w:t xml:space="preserve">CONFIRMED: a dedicated module to keep track of oil/lubricant inventory, covering five named items. UPDATED (2026-08-15): item names CORRECTED to match the Daily Sales Report's Oil Sale(s) table exactly (Section 5.4.1) — 2T/1.20 ML Total#, 2T/2.40 ML Total#, Acid Water Total 1 Lts, Acid Water Total 5 Lts, 20/40 Engine Total in Lts — replacing the earlier draft names used when this module was first added. Exact naming match matters here: the "Sold (Today)" field below is meant to auto-pull from the Daily Sales Report by matching SKU identifier, which only works if both forms use identical item names.</w:t>
      </w:r>
    </w:p>
    <w:p>
      <w:pPr>
        <w:pStyle w:val="ListParagraph"/>
        <w:numPr>
          <w:ilvl w:val="0"/>
          <w:numId w:val="1"/>
        </w:numPr>
        <w:spacing w:after="60"/>
      </w:pPr>
      <w:r>
        <w:t xml:space="preserve">RESOLVED (2026-08-15) — was OPEN QUESTION, SKU granularity mismatch with the Daily Sales Report, now fixed by splitting the Daily Sales Report to match (see Section 5.4.1): the Daily Sales Report's Oil Sale(s) table (Section 5.4.1) currently tracks these as 3 COMBINED lines — "2T Oil [1.20ML/2.40ML]" and "Acid Water 1L or 5L" each span both sizes in one row — while this Inventory module needs 5 SEPARATE SKUs (splitting each combined item by size). This is a genuine mismatch, not resolved here: either (a) the Daily Sales Report's Oil Sale(s) table should also split into 5 rows to match, or (b) the Inventory module needs an allocation rule for how a combined daily sales entry maps to the correct SKU-level stock deduction. To be confirmed with the client before this module is finalized</w:t>
      </w:r>
    </w:p>
    <w:p>
      <w:pPr>
        <w:pStyle w:val="ListParagraph"/>
        <w:numPr>
          <w:ilvl w:val="0"/>
          <w:numId w:val="1"/>
        </w:numPr>
        <w:spacing w:after="60"/>
      </w:pPr>
      <w:r>
        <w:t xml:space="preserve">Form structure (Option B pattern, consistent with Section 5.9): two separate forms/actions — Current Stock Levels (a live snapshot per item) and Restock Entry (logging a new delivery/purchase) — rather than one combined form, since checking stock and logging a delivery happen at different moments</w:t>
      </w:r>
    </w:p>
    <w:p>
      <w:pPr>
        <w:pStyle w:val="ListParagraph"/>
        <w:numPr>
          <w:ilvl w:val="0"/>
          <w:numId w:val="1"/>
        </w:numPr>
        <w:spacing w:after="60"/>
      </w:pPr>
      <w:r>
        <w:t xml:space="preserve">Current Stock Levels — proposed fields per item: Item, Unit, Opening Stock, Received (today), Sold (today), Closing Stock, Reorder Level, Status (OK / Low). "Sold" should be AUTO-PULLED from the Daily Sales Report's Oil Sale(s) data (Section 5.4.1) — same normalization principle already applied elsewhere in this BRD — not re-entered manually; "Closing Stock" is a computed field (Opening + Received − Sold)</w:t>
      </w:r>
    </w:p>
    <w:p>
      <w:pPr>
        <w:pStyle w:val="ListParagraph"/>
        <w:numPr>
          <w:ilvl w:val="0"/>
          <w:numId w:val="1"/>
        </w:numPr>
        <w:spacing w:after="60"/>
      </w:pPr>
      <w:r>
        <w:t xml:space="preserve">Restock Entry — proposed fields: Date, Item (select from the 5 SKUs), Quantity Received, Supplier / Invoice Reference, Received By</w:t>
      </w:r>
    </w:p>
    <w:p>
      <w:pPr>
        <w:pStyle w:val="ListParagraph"/>
        <w:numPr>
          <w:ilvl w:val="0"/>
          <w:numId w:val="1"/>
        </w:numPr>
        <w:spacing w:after="60"/>
      </w:pPr>
      <w:r>
        <w:t xml:space="preserve">Open design questions: exact Reorder Level thresholds per item (to be confirmed with the client), whether low-stock status should trigger a notification/alert, and whether this module needs its own report (e.g. a Stock Status Report) alongside the reports in Section 5.7</w:t>
      </w:r>
    </w:p>
    <w:p>
      <w:pPr>
        <w:pStyle w:val="Heading2"/>
        <w:spacing w:after="120" w:before="240"/>
      </w:pPr>
      <w:r>
        <w:t xml:space="preserve">5.11 Rate Master Module</w:t>
      </w:r>
    </w:p>
    <w:p>
      <w:pPr>
        <w:spacing w:after="120"/>
      </w:pPr>
      <w:r>
        <w:rPr>
          <w:i/>
          <w:iCs/>
        </w:rPr>
        <w:t xml:space="preserve">CONFIRMED (2026-08-16): a dedicated module for entering current IOCL rates, so that Daily Sales Entry (Section 5.4.1) and Daily Trial Balance (Section 5.8) both receive Diesel/Petrol and oil rates automatically, on a regular basis whenever IOCL changes pricing — rather than each daily record requiring rates typed by hand.</w:t>
      </w:r>
    </w:p>
    <w:p>
      <w:pPr>
        <w:pStyle w:val="ListParagraph"/>
        <w:numPr>
          <w:ilvl w:val="0"/>
          <w:numId w:val="1"/>
        </w:numPr>
        <w:spacing w:after="60"/>
      </w:pPr>
      <w:r>
        <w:t xml:space="preserve">Rates covered: UPDATED (2026-08-16) — Diesel (HS) and Petrol (MS) split into separate Buy Rate and Sell Rate rows (Buy Rate HS, Sell Rate HS, Buy Rate MS, Sell Rate MS — 4 rows, up from 2), since these are genuinely different figures: Buy Rate is what SVR pays IOCL per litre, Sell Rate is what customers pay at the pump. Plus per-unit rates for the same 5 oil SKUs used throughout this BRD (2T/1.20 ML Total#, 2T/2.40 ML Total#, Acid Water Total 1 Lts, Acid Water Total 5 Lts, 20/40 Engine Total in Lts) — item names kept identical to Sections 5.4.1 and 5.10 so rate lookups match by name without ambiguity</w:t>
      </w:r>
    </w:p>
    <w:p>
      <w:pPr>
        <w:pStyle w:val="ListParagraph"/>
        <w:numPr>
          <w:ilvl w:val="0"/>
          <w:numId w:val="1"/>
        </w:numPr>
        <w:spacing w:after="60"/>
      </w:pPr>
      <w:r>
        <w:t xml:space="preserve">Form structure: Section 1 — Update Rates (current rate shown read-only alongside a New Rate entry field, per item, plus Effective Date/Updated By/Source); Section 2 — Rate Change History, a running log (Effective Date, Item, Old Rate, New Rate, Updated By), same running-ledger pattern already used elsewhere in this BRD (e.g. Section 5.8's Daily Mgr Calculation)</w:t>
      </w:r>
    </w:p>
    <w:p>
      <w:pPr>
        <w:pStyle w:val="ListParagraph"/>
        <w:numPr>
          <w:ilvl w:val="0"/>
          <w:numId w:val="1"/>
        </w:numPr>
        <w:spacing w:after="60"/>
      </w:pPr>
      <w:r>
        <w:t xml:space="preserve">Consumers of this module: Daily Sales Entry's Gas Sale(s) Rate column and Oil Sale(s) Rate column (Section 5.4.1) both auto-pull from here — CLARIFIED (2026-08-16): for Diesel/Petrol specifically, Gas Sale(s) pulls Sell Rate HS / Sell Rate MS, NOT Buy Rate, since that form records customer-facing sales, not what SVR paid IOCL. Buy Rate is captured here for cost/margin tracking but is not currently consumed by any other form in this BRD — open question whether Buy Rate should feed a profit/margin calculation somewhere in Daily Trial Balance (e.g. Section 8's Trail Balance - Profit Pump Vs Computer Readings, or Section 9's Day Profit column), not yet confirmed or implemented. Daily Trial Balance's Section 3 (Day Sales Report, pulled from Daily Sales Report) inherits the same Sell Rate indirectly, since it duplicates Daily Sales Report data rather than storing its own separate rate</w:t>
      </w:r>
    </w:p>
    <w:p>
      <w:pPr>
        <w:pStyle w:val="ListParagraph"/>
        <w:numPr>
          <w:ilvl w:val="0"/>
          <w:numId w:val="1"/>
        </w:numPr>
        <w:spacing w:after="60"/>
      </w:pPr>
      <w:r>
        <w:t xml:space="preserve">Open design questions: RESOLVED (2026-08-16, client confirmed): which role(s) can update rates — Super User ONLY (the Dealership Owner, per Section 2), NOT Manager, Administrator, or Data Entry. This is a narrower restriction than originally assumed. Still OPEN: whether a rate change takes effect immediately or only from its stated Effective Date onward (affecting same-day records already in progress), and whether historical Daily Sales/Trial Balance records should keep the rate that was active when they were created even if the rate is later changed (rate versioning) — to be confirmed in the design phase</w:t>
      </w:r>
    </w:p>
    <w:p>
      <w:pPr>
        <w:pStyle w:val="Heading2"/>
        <w:spacing w:after="120" w:before="240"/>
      </w:pPr>
      <w:r>
        <w:t xml:space="preserve">5.12 User Preferences — Color Theme</w:t>
      </w:r>
    </w:p>
    <w:p>
      <w:pPr>
        <w:spacing w:after="120"/>
      </w:pPr>
      <w:r>
        <w:rPr>
          <w:i/>
          <w:iCs/>
        </w:rPr>
        <w:t xml:space="preserve">CONFIRMED (2026-08-16): a user-selectable color theme, limited to exactly the three verified IOCL brand colors — Red #e31e24, Blue #0033a0, Orange #F37022 (current default) — applied consistently across every form (all 7: Daily Sales Entry, Daily Trial Balance, Inventory Tracking, Manage Users, Old Credit Accounts — New Credit Entry and Record Repayment, and Rate Master) and the Password Reset page.</w:t>
      </w:r>
    </w:p>
    <w:p>
      <w:pPr>
        <w:pStyle w:val="ListParagraph"/>
        <w:numPr>
          <w:ilvl w:val="0"/>
          <w:numId w:val="1"/>
        </w:numPr>
        <w:spacing w:after="60"/>
      </w:pPr>
      <w:r>
        <w:t xml:space="preserve">What the preference controls: the accent color used for section headings and summary-box headers on every form. The header bar itself stays IOCL Blue regardless of the selected accent (except the Orange theme, where the header also becomes orange-toned) — this keeps the IndianOil wordmark blue recognizable across all three variants</w:t>
      </w:r>
    </w:p>
    <w:p>
      <w:pPr>
        <w:pStyle w:val="ListParagraph"/>
        <w:numPr>
          <w:ilvl w:val="0"/>
          <w:numId w:val="1"/>
        </w:numPr>
        <w:spacing w:after="60"/>
      </w:pPr>
      <w:r>
        <w:t xml:space="preserve">Implementation confirmed and tested in the HTML mockups: a single CSS custom property (--io-accent) drives every themed element; a 3-swatch selector in the header (matching the language-toggle's pill styling) switches it instantly. Verified this does not interfere with any form's underlying data/calculation logic (Daily Sales Entry's auto-calculation engine, Manage Users' Reset Password and 2FA features all retested after theme switching with no regressions)</w:t>
      </w:r>
    </w:p>
    <w:p>
      <w:pPr>
        <w:pStyle w:val="ListParagraph"/>
        <w:numPr>
          <w:ilvl w:val="0"/>
          <w:numId w:val="1"/>
        </w:numPr>
        <w:spacing w:after="60"/>
      </w:pPr>
      <w:r>
        <w:t xml:space="preserve">OPEN QUESTION, not yet resolved: whether this preference is GLOBAL (one setting for the whole application) or INDEPENDENT PER FORM (each form can show a different accent). The client's phrasing ("for every form") was ambiguous between "apply this feature to every form" and "let every form have its own independent setting" — to be confirmed before backend implementation, since it determines whether the preference is stored once per user or once per user per form</w:t>
      </w:r>
    </w:p>
    <w:p>
      <w:pPr>
        <w:pStyle w:val="ListParagraph"/>
        <w:numPr>
          <w:ilvl w:val="0"/>
          <w:numId w:val="1"/>
        </w:numPr>
        <w:spacing w:after="60"/>
      </w:pPr>
      <w:r>
        <w:t xml:space="preserve">Persistence: in the real system, the selected theme should be stored per-user in SQLite via the Python backend (Section 4), not in browser storage — the HTML mockups intentionally do NOT use localStorage/sessionStorage (resets each time the file is reopened), consistent with this being a demonstration of the UI behavior only, not the persistence layer</w:t>
      </w:r>
    </w:p>
    <w:p>
      <w:pPr>
        <w:pStyle w:val="Heading2"/>
        <w:spacing w:after="120" w:before="240"/>
      </w:pPr>
      <w:r>
        <w:t xml:space="preserve">5.13 Print Availability — All Forms</w:t>
      </w:r>
    </w:p>
    <w:p>
      <w:pPr>
        <w:spacing w:after="120"/>
      </w:pPr>
      <w:r>
        <w:rPr>
          <w:i/>
          <w:iCs/>
        </w:rPr>
        <w:t xml:space="preserve">CONFIRMED (2026-08-16): every form has an explicit, visible Print button (not just reliance on the browser's native Ctrl+P) — previously only the Daily Sales Entry form had print capability exposed. Tested and confirmed working on all 7 forms plus the Password Reset page.</w:t>
      </w:r>
    </w:p>
    <w:p>
      <w:pPr>
        <w:pStyle w:val="ListParagraph"/>
        <w:numPr>
          <w:ilvl w:val="0"/>
          <w:numId w:val="1"/>
        </w:numPr>
        <w:spacing w:after="60"/>
      </w:pPr>
      <w:r>
        <w:t xml:space="preserve">Daily Sales Entry now has a general "Print" button (the current filled-in state) in addition to the two existing location-specific "Print Blank Form" buttons (Section 5.4) — these were previously the only print options and only covered the blank-template case, not printing what a pump sales man has already entered</w:t>
      </w:r>
    </w:p>
    <w:p>
      <w:pPr>
        <w:pStyle w:val="ListParagraph"/>
        <w:numPr>
          <w:ilvl w:val="0"/>
          <w:numId w:val="1"/>
        </w:numPr>
        <w:spacing w:after="60"/>
      </w:pPr>
      <w:r>
        <w:t xml:space="preserve">The other 6 forms (Daily Trial Balance, Inventory Tracking, Manage Users, New Credit Entry, Record Repayment, Rate Master) each received a single "Print" button; print CSS (A4 layout, hiding interactive-only controls) was already present in each from their original build but had no visible trigger until now</w:t>
      </w:r>
    </w:p>
    <w:p>
      <w:pPr>
        <w:pStyle w:val="Heading2"/>
        <w:spacing w:after="120" w:before="240"/>
      </w:pPr>
      <w:r>
        <w:t xml:space="preserve">5.14 Two-Factor Authentication — Manage Users</w:t>
      </w:r>
    </w:p>
    <w:p>
      <w:pPr>
        <w:spacing w:after="120"/>
      </w:pPr>
      <w:r>
        <w:rPr>
          <w:i/>
          <w:iCs/>
        </w:rPr>
        <w:t xml:space="preserve">CONFIRMED (2026-08-16): the Manage Users module (Section 5.3) supports Two-Factor Authentication via Google Authenticator (TOTP, RFC 6238) on the user's cell phone, set up per user from within the Manage Users form.</w:t>
      </w:r>
    </w:p>
    <w:p>
      <w:pPr>
        <w:spacing w:after="120"/>
      </w:pPr>
      <w:r>
        <w:rPr>
          <w:i/>
          <w:iCs/>
        </w:rPr>
        <w:t xml:space="preserve">CORRECTED UI STRUCTURE (2026-08-16): the initial build placed 2FA setup as its own permanently-visible standalone section — WRONG per client feedback. Two-Factor Authentication is a simple ENABLE/DISABLE field on the user's account record, in the same list as Role and Status (Section 5.3's Add/Edit User fields), not a separate always-shown section. The QR code / manual key / verification setup UI is now hidden by default and only appears when the field is set to Enabled for the account being added/edited — collapsing again if set back to Disabled. The User List (Section 2 of the form) also gained a "2FA" status column so each existing user's enabled/disabled state is visible at a glance without opening their record</w:t>
      </w:r>
    </w:p>
    <w:p>
      <w:pPr>
        <w:spacing w:after="120"/>
      </w:pPr>
      <w:r>
        <w:rPr>
          <w:i/>
          <w:iCs/>
        </w:rPr>
        <w:t xml:space="preserve">Setup flow confirmed and genuinely implemented/tested in the HTML mockup (not just described): a QR code (rendered server-side in the real system; shown as a labeled placeholder in this mockup) plus a manual entry key, matching the standard Google Authenticator setup pattern; the user scans or manually enters the key, then confirms setup by entering the current 6-digit code from their app</w:t>
      </w:r>
    </w:p>
    <w:p>
      <w:pPr>
        <w:pStyle w:val="ListParagraph"/>
        <w:numPr>
          <w:ilvl w:val="0"/>
          <w:numId w:val="1"/>
        </w:numPr>
        <w:spacing w:after="60"/>
      </w:pPr>
      <w:r>
        <w:t xml:space="preserve">CORRECTION (2026-08-16): the initial build implemented the TOTP mechanism itself but omitted an actual Cell Phone Number field on the user record — a real gap, since TOTP alone only requires the authenticator app on a device, not a stored phone number, but the client's request explicitly named the cell phone. Fixed: "Cell Phone Number" added as a field in Section 5.3's Add/Edit User (see updated field list above), and the Two-Factor Authentication section now visibly displays "Registered cell phone (this account's authenticator device)" — live-synced from the Add/Edit User field — so the connection between the phone and the Authenticator setup is explicit on the form, not just implied</w:t>
      </w:r>
    </w:p>
    <w:p>
      <w:pPr>
        <w:pStyle w:val="ListParagraph"/>
        <w:numPr>
          <w:ilvl w:val="0"/>
          <w:numId w:val="1"/>
        </w:numPr>
        <w:spacing w:after="60"/>
      </w:pPr>
      <w:r>
        <w:t xml:space="preserve">Clarifying the phone number's actual role, so it is not mistaken for a security credential: the phone NUMBER itself is reference/contact information only (useful for account recovery, and for confirming which physical device is registered) — it is NOT part of the TOTP secret and is never used to send SMS codes in this design. The actual 2FA credential is the secret key shared between the backend and the Authenticator app when the QR code is scanned; losing or changing the phone number alone does not compromise or require resetting 2FA, but losing the physical device does (see the open account-recovery question below)</w:t>
      </w:r>
    </w:p>
    <w:p>
      <w:pPr>
        <w:pStyle w:val="ListParagraph"/>
        <w:numPr>
          <w:ilvl w:val="0"/>
          <w:numId w:val="1"/>
        </w:numPr>
        <w:spacing w:after="60"/>
      </w:pPr>
      <w:r>
        <w:t xml:space="preserve">CRITICAL security requirement, stated explicitly so it is not lost in implementation: TOTP verification MUST happen server-side (Python backend), never client-side. The mockup's JavaScript TOTP computation (verified correct against a known RFC 6238 reference value) exists ONLY to demonstrate the UX flow in a static file with no backend — it is not a suggestion that the real system validate codes in the browser, which would be insecure (a modified client could report success without a valid code)</w:t>
      </w:r>
    </w:p>
    <w:p>
      <w:pPr>
        <w:pStyle w:val="ListParagraph"/>
        <w:numPr>
          <w:ilvl w:val="0"/>
          <w:numId w:val="1"/>
        </w:numPr>
        <w:spacing w:after="60"/>
      </w:pPr>
      <w:r>
        <w:t xml:space="preserve">RESOLVED (2026-08-16, client confirmed): 2FA via Google Authenticator IS included in scope — but is OPTIONAL per user, not mandatory. Each user account can individually choose to set it up (via Section 5.3's Two-Factor Authentication section) or leave it disabled; the system must not force every Manager/Administrator/Super User account to enable it. Still OPEN, not yet resolved: is it required on every login for users who HAVE enabled it, or only for sensitive actions (e.g. Manage Users itself, Rate Master updates); and what the account-recovery path is if a user who has enabled 2FA loses their phone/authenticator app — neither of these is assumed or resolved here, both still need client confirmation before backend implementation</w:t>
      </w:r>
    </w:p>
    <w:p>
      <w:pPr>
        <w:pStyle w:val="Heading2"/>
        <w:spacing w:after="120" w:before="240"/>
      </w:pPr>
      <w:r>
        <w:t xml:space="preserve">5.15 Monthly Expenses Module</w:t>
      </w:r>
    </w:p>
    <w:p>
      <w:pPr>
        <w:spacing w:after="120"/>
      </w:pPr>
      <w:r>
        <w:rPr>
          <w:i/>
          <w:iCs/>
        </w:rPr>
        <w:t xml:space="preserve">NEW (2026-08-19): a dedicated module for tracking monthly operating expenses -- Bi-weekly Salary, Salary Advances, Unload Beta, Buying Indian Oils, and Monthly Electrical Bill -- with an auto-computed monthly rollup. Built using the same base template, color theme, and language toggle as every other form in this BRD.</w:t>
      </w:r>
    </w:p>
    <w:p>
      <w:pPr>
        <w:pStyle w:val="ListParagraph"/>
        <w:numPr>
          <w:ilvl w:val="0"/>
          <w:numId w:val="1"/>
        </w:numPr>
        <w:spacing w:after="60"/>
      </w:pPr>
      <w:r>
        <w:t xml:space="preserve">Section 1 -- Expense Entries: a date-based, expandable ledger (Date, Category, Description, Amount), similar in pattern to Section 5.9's running ledger and Section 5.4.1's Expenses line. Category is a dropdown with 6 options: Bi-weekly Salary, Salary Advances, Unload Beta, Buying Indian Oils, Monthly Electrical Bill, and Other (a catch-all for anything not fitting the five named categories)</w:t>
      </w:r>
    </w:p>
    <w:p>
      <w:pPr>
        <w:pStyle w:val="ListParagraph"/>
        <w:numPr>
          <w:ilvl w:val="0"/>
          <w:numId w:val="1"/>
        </w:numPr>
        <w:spacing w:after="60"/>
      </w:pPr>
      <w:r>
        <w:t xml:space="preserve">Section 2 -- Monthly Summary: auto-totals Section 1's entries GROUPED BY category, plus a grand total, for the Month/Year selected in the header. Implemented and tested as real JavaScript, not a static mockup -- confirmed the grouping logic correctly sums multiple entries in the same category (e.g. two separate Bi-weekly Salary entries combining into one category total) and correctly updates when rows are added dynamically via "+ Add row"</w:t>
      </w:r>
    </w:p>
    <w:p>
      <w:pPr>
        <w:pStyle w:val="ListParagraph"/>
        <w:numPr>
          <w:ilvl w:val="0"/>
          <w:numId w:val="1"/>
        </w:numPr>
        <w:spacing w:after="60"/>
      </w:pPr>
      <w:r>
        <w:t xml:space="preserve">Two named categories connect to concepts already established elsewhere in this BRD: "Bi-weekly Salary" and "Monthly Electrical Bill" correspond to "Salaries Mid/End of Month" and "Power Bill" already tracked in Daily Trial Balance's Section 9 Expenses breakdown (Section 5.8.2) -- OPEN QUESTION, not resolved: should this new Monthly Expenses module be the SOURCE that feeds Trial Balance Section 9's Expenses figures, or are these two independent entry points recording the same real-world expenses twice? Not assumed either way, needs client confirmation before backend design</w:t>
      </w:r>
    </w:p>
    <w:p>
      <w:pPr>
        <w:pStyle w:val="ListParagraph"/>
        <w:numPr>
          <w:ilvl w:val="0"/>
          <w:numId w:val="1"/>
        </w:numPr>
        <w:spacing w:after="60"/>
      </w:pPr>
      <w:r>
        <w:t xml:space="preserve">"Buying Indian Oils" likely connects to Rate Master's Buy Rate HS/MS (Section 5.11) -- the cost side of fuel/oil purchases from IOCL -- but this module tracks it as a manually-entered monthly total, not derived from Buy Rate x quantity purchased. Not wired together; flagged as a possible future connection, not built this session</w:t>
      </w:r>
    </w:p>
    <w:p>
      <w:pPr>
        <w:pStyle w:val="ListParagraph"/>
        <w:numPr>
          <w:ilvl w:val="0"/>
          <w:numId w:val="1"/>
        </w:numPr>
        <w:spacing w:after="60"/>
      </w:pPr>
      <w:r>
        <w:t xml:space="preserve">Print, Import from Excel, and Export to Excel all included, matching the standard pattern used across every other form in this BRD</w:t>
      </w:r>
    </w:p>
    <w:p>
      <w:pPr>
        <w:pStyle w:val="Heading2"/>
        <w:spacing w:after="120" w:before="240"/>
      </w:pPr>
      <w:r>
        <w:t xml:space="preserve">5.16 Employee Master Module</w:t>
      </w:r>
    </w:p>
    <w:p>
      <w:pPr>
        <w:spacing w:after="120"/>
      </w:pPr>
      <w:r>
        <w:rPr>
          <w:i/>
          <w:iCs/>
        </w:rPr>
        <w:t xml:space="preserve">NEW (2026-08-19): a dedicated HR/payroll module tracking employee records, bank details, and yearly insurance premiums. CONFIRMED station size: one Owner, one Manager, four Employees (six people total) -- the form defaults to 6 rows per table, matching this exactly, with "+ Add row" available if staffing grows</w:t>
      </w:r>
    </w:p>
    <w:p>
      <w:pPr>
        <w:pStyle w:val="ListParagraph"/>
        <w:numPr>
          <w:ilvl w:val="0"/>
          <w:numId w:val="1"/>
        </w:numPr>
        <w:spacing w:after="60"/>
      </w:pPr>
      <w:r>
        <w:t xml:space="preserve">Section 1 -- Employee Master: Name, Role (Owner/Manager/Employee dropdown), Daily Wage, Bank Name, Account Number, IFSC Code, Bank Branch / Address, and a per-employee "Request Pay Stub" action (UPDATED 2026-08-19, see below)</w:t>
      </w:r>
    </w:p>
    <w:p>
      <w:pPr>
        <w:pStyle w:val="ListParagraph"/>
        <w:numPr>
          <w:ilvl w:val="0"/>
          <w:numId w:val="1"/>
        </w:numPr>
        <w:spacing w:after="60"/>
      </w:pPr>
      <w:r>
        <w:t xml:space="preserve">CONFIRMED (2026-08-19): all employee salaries are paid via Bank Deposit — no cash payroll for any employee. Bank Name, Account Number, IFSC Code, and the new Bank Branch / Address field are therefore required for every row, not optional</w:t>
      </w:r>
    </w:p>
    <w:p>
      <w:pPr>
        <w:pStyle w:val="ListParagraph"/>
        <w:numPr>
          <w:ilvl w:val="0"/>
          <w:numId w:val="1"/>
        </w:numPr>
        <w:spacing w:after="60"/>
      </w:pPr>
      <w:r>
        <w:t xml:space="preserve">CONFIRMED (2026-08-19) — new feature: Request Pay Stub. Each employee row has a "Request Pay Stub" action button, tested and working in the mockup (validates a name is present, then confirms the request) — genuinely implemented, not just described. Real generation/delivery of the actual pay stub PDF requires backend work (pulling that employee's Daily Wage and days worked for the requested period, then generating and sending the document) — NOT implemented in this static mockup, clearly commented as such in the code. OPEN QUESTIONS, not resolved: who initiates the request (the employee themselves, via some employee-facing access not yet designed, or a Manager/Administrator on their behalf, matching how Reset Password works in Section 5.3) — this BRD does not yet define employee-level system access at all, only the 4 roles already confirmed in Section 2 (Data Entry, Manager, Administrator, Super User) — and where/how the generated pay stub is delivered (email, printed handout, or both)</w:t>
      </w:r>
    </w:p>
    <w:p>
      <w:pPr>
        <w:pStyle w:val="ListParagraph"/>
        <w:numPr>
          <w:ilvl w:val="0"/>
          <w:numId w:val="1"/>
        </w:numPr>
        <w:spacing w:after="60"/>
      </w:pPr>
      <w:r>
        <w:t xml:space="preserve">Section 2 -- Accidental Insurance (Yearly): Employee Name, Insurance Provider, Policy Number, Yearly Premium, Renewal Date, one row per employee</w:t>
      </w:r>
    </w:p>
    <w:p>
      <w:pPr>
        <w:pStyle w:val="ListParagraph"/>
        <w:numPr>
          <w:ilvl w:val="0"/>
          <w:numId w:val="1"/>
        </w:numPr>
        <w:spacing w:after="60"/>
      </w:pPr>
      <w:r>
        <w:t xml:space="preserve">Section 3 -- Health Insurance (Yearly): same field structure as Section 2, kept as a separate table rather than combined columns, since the two insurance types have independent providers, policy numbers, and renewal dates per employee</w:t>
      </w:r>
    </w:p>
    <w:p>
      <w:pPr>
        <w:pStyle w:val="ListParagraph"/>
        <w:numPr>
          <w:ilvl w:val="0"/>
          <w:numId w:val="1"/>
        </w:numPr>
        <w:spacing w:after="60"/>
      </w:pPr>
      <w:r>
        <w:t xml:space="preserve">Section 4 -- Annual Premium Summary: auto-totals both insurance sections plus a grand total. Implemented and tested as real JavaScript, including on dynamically added rows</w:t>
      </w:r>
    </w:p>
    <w:p>
      <w:pPr>
        <w:pStyle w:val="ListParagraph"/>
        <w:numPr>
          <w:ilvl w:val="0"/>
          <w:numId w:val="1"/>
        </w:numPr>
        <w:spacing w:after="60"/>
      </w:pPr>
      <w:r>
        <w:t xml:space="preserve">CRITICAL SECURITY NOTE, stated explicitly so it is not lost in implementation: bank Account Number is genuinely sensitive financial data. This mockup labels the field accordingly ("Sensitive — verify handling before real use") and states in the BRD that real production use requires encryption at rest and role-restricted access (Super User/Manager only per Section 2's role table) -- this access control is NOT yet designed and must be addressed before this module is built for real, not treated as equivalent to the other, less sensitive fields on this form</w:t>
      </w:r>
    </w:p>
    <w:p>
      <w:pPr>
        <w:pStyle w:val="ListParagraph"/>
        <w:numPr>
          <w:ilvl w:val="0"/>
          <w:numId w:val="1"/>
        </w:numPr>
        <w:spacing w:after="60"/>
      </w:pPr>
      <w:r>
        <w:t xml:space="preserve">No demo/placeholder data was seeded into Account Number, Policy Number, or premium figures in the delivered mockup, unlike other forms in this BRD that use real verified figures for testing -- deliberately, since fabricating realistic-looking bank/policy numbers for a live financial system's mockup was judged inappropriate even as placeholder content</w:t>
      </w:r>
    </w:p>
    <w:p>
      <w:pPr>
        <w:pStyle w:val="ListParagraph"/>
        <w:numPr>
          <w:ilvl w:val="0"/>
          <w:numId w:val="1"/>
        </w:numPr>
        <w:spacing w:after="60"/>
      </w:pPr>
      <w:r>
        <w:t xml:space="preserve">Print, Import from Excel, and Export to Excel all included, matching the standard pattern -- though Export in particular should be reviewed carefully given the sensitive fields this form contains, before enabling it in a real deployment</w:t>
      </w:r>
    </w:p>
    <w:p>
      <w:pPr>
        <w:pStyle w:val="Heading2"/>
        <w:spacing w:after="120" w:before="240"/>
      </w:pPr>
      <w:r>
        <w:t xml:space="preserve">5.17 Credit/Remittance Master Module</w:t>
      </w:r>
    </w:p>
    <w:p>
      <w:pPr>
        <w:spacing w:after="120"/>
      </w:pPr>
      <w:r>
        <w:rPr>
          <w:i/>
          <w:iCs/>
        </w:rPr>
        <w:t xml:space="preserve">NEW (2026-08-25): merges the previously separate New Credit Entry and Record Repayment forms into one Credit/Remittance Master, per client request. This is a genuine merge with new capability, not a cosmetic combination -- a real Creditor Balance Summary was added, requested and confirmed by the client specifically to handle a case the two separate forms could not: the same person having both an old credit and a new ongoing credit at once.</w:t>
      </w:r>
    </w:p>
    <w:p>
      <w:pPr>
        <w:pStyle w:val="Heading3"/>
        <w:spacing w:after="100" w:before="180"/>
      </w:pPr>
      <w:r>
        <w:t xml:space="preserve">Section 1: New Credit</w:t>
      </w:r>
    </w:p>
    <w:p>
      <w:pPr>
        <w:pStyle w:val="ListParagraph"/>
        <w:numPr>
          <w:ilvl w:val="0"/>
          <w:numId w:val="1"/>
        </w:numPr>
        <w:spacing w:after="60"/>
      </w:pPr>
      <w:r>
        <w:t xml:space="preserve">Fields: Creditor Name (free text -- accommodates a brand-new customer joining as easily as an existing one, per explicit client confirmation), Phone Number (NEW -- confirmed as a required creditor detail), Type (Diesel/Petrol), In Ltrs, Rate, Amount (auto = In Ltrs x Rate, genuinely computed and tested, not a placeholder), Given By / Pump Sales Man (NEW -- confirmed as important, records which staff member extended the credit), Date (NEW -- was missing from the original New Credit Entry form entirely), Signature</w:t>
      </w:r>
    </w:p>
    <w:p>
      <w:pPr>
        <w:pStyle w:val="Heading3"/>
        <w:spacing w:after="100" w:before="180"/>
      </w:pPr>
      <w:r>
        <w:t xml:space="preserve">Section 2: Remittance</w:t>
      </w:r>
    </w:p>
    <w:p>
      <w:pPr>
        <w:pStyle w:val="ListParagraph"/>
        <w:numPr>
          <w:ilvl w:val="0"/>
          <w:numId w:val="1"/>
        </w:numPr>
        <w:spacing w:after="60"/>
      </w:pPr>
      <w:r>
        <w:t xml:space="preserve">Fields: Creditor Name (must match Section 1's spelling for the summary to group correctly -- stated on the form itself), Payment Amount, Date, Source (NEW dropdown: Direct Entry / Daily Sales Entry / Daily Trial Balance -- CONFIRMED per this session's requirement that remittance can be captured directly on this form OR flow in from either of those two forms' own credit-repayment sections), Pump Sales Man Involved (NEW -- confirmed important, same as Section 1's Given By, replacing the older, more generic "Payment Collected By" label from Record Repayment). The open question from the original Record Repayment form ("can a repayment be partial, or must it fully settle a specific credit entry?") is IMPLICITLY RESOLVED by this design: repayments are tracked as their own rows against a creditor NAME, not against one specific credit entry, so partial repayment is naturally supported -- the Creditor Balance Summary simply nets everything for that name</w:t>
      </w:r>
    </w:p>
    <w:p>
      <w:pPr>
        <w:pStyle w:val="Heading3"/>
        <w:spacing w:after="100" w:before="180"/>
      </w:pPr>
      <w:r>
        <w:t xml:space="preserve">Section 3: Creditor Balance Summary (NEW)</w:t>
      </w:r>
    </w:p>
    <w:p>
      <w:pPr>
        <w:pStyle w:val="ListParagraph"/>
        <w:numPr>
          <w:ilvl w:val="0"/>
          <w:numId w:val="1"/>
        </w:numPr>
        <w:spacing w:after="60"/>
      </w:pPr>
      <w:r>
        <w:t xml:space="preserve">Auto-computed, not manually entered -- genuinely implemented as real JavaScript, not a static mockup. Groups every Section 1 (credit) and Section 2 (remittance) row by Creditor Name into Total Credit Given, Total Remitted, and Outstanding Balance. CONFIRMED via explicit testing of the exact scenario the client raised: the same person ("Ravindra") given credit twice -- once by one Pump Sales Man, once by a different one on a separate day -- correctly combines into a SINGLE balance line (not two), with the correct net Outstanding Balance after a partial remittance was recorded. A brand-new customer joining fresh in the same session was also tested and correctly appears as their own new line, unaffected by the grouping logic for existing creditors</w:t>
      </w:r>
    </w:p>
    <w:p>
      <w:pPr>
        <w:pStyle w:val="Heading3"/>
        <w:spacing w:after="100" w:before="180"/>
      </w:pPr>
      <w:r>
        <w:t xml:space="preserve">Data flow and open items</w:t>
      </w:r>
    </w:p>
    <w:p>
      <w:pPr>
        <w:pStyle w:val="ListParagraph"/>
        <w:numPr>
          <w:ilvl w:val="0"/>
          <w:numId w:val="1"/>
        </w:numPr>
        <w:spacing w:after="60"/>
      </w:pPr>
      <w:r>
        <w:t xml:space="preserve">CONFIRMED intent, not yet wired (no live cross-file link exists between static HTML mockups, same limitation already noted throughout this BRD for every other cross-form reference): this Master is understood to be the CONSOLIDATED record that Daily Sales Entry's New Credit(s) and Old/Pending Credit Received sections, and Daily Trial Balance's New Credit/Salary Adv and Credit Remittance sections, all ultimately feed into -- not a fourth independent entry point capturing the same real-world events separately. The real backend design for how these forms reconcile into one shared dataset is not yet specified</w:t>
      </w:r>
    </w:p>
    <w:p>
      <w:pPr>
        <w:pStyle w:val="ListParagraph"/>
        <w:numPr>
          <w:ilvl w:val="0"/>
          <w:numId w:val="1"/>
        </w:numPr>
        <w:spacing w:after="60"/>
      </w:pPr>
      <w:r>
        <w:t xml:space="preserve">OPEN QUESTION, not resolved: whether the original standalone New Credit Entry and Record Repayment forms should now be retired/deprecated in favor of this Master, or kept alongside it for some other reason (e.g. a simpler quick-entry form for use on the pump floor, feeding into this Master later). Neither original file was deleted or altered in this session -- both remain available -- pending explicit client direction</w:t>
      </w:r>
    </w:p>
    <w:p>
      <w:pPr>
        <w:pStyle w:val="Heading2"/>
        <w:spacing w:after="120" w:before="240"/>
      </w:pPr>
      <w:r>
        <w:t xml:space="preserve">5.35 New Credit Entry &amp; Record Repayment Formally Retired (2026-08-28)</w:t>
      </w:r>
    </w:p>
    <w:p>
      <w:pPr>
        <w:spacing w:after="120"/>
      </w:pPr>
      <w:r>
        <w:rPr>
          <w:i/>
          <w:iCs/>
        </w:rPr>
        <w:t xml:space="preserve">RESOLVED: the open question above is now settled by direct client confirmation, reached through explicit clarification rather than assumed from an ambiguous first answer -- an initial response described the "updated by / updated date" tracking mechanism as satisfactory (Section 5.34's fix), which answered a related but different question; a follow-up confirmation specifically on retire-vs-keep was needed before acting, given the consequence of retiring a form is not reversible without real effort. CLIENT CONFIRMED DIRECTLY: New Credit Entry and Record Repayment are retired. Credit/Remittance Master (Section 5.17) is the one form for New Credit and Repayment going forward.</w:t>
      </w:r>
    </w:p>
    <w:p>
      <w:pPr>
        <w:pStyle w:val="ListParagraph"/>
        <w:numPr>
          <w:ilvl w:val="0"/>
          <w:numId w:val="1"/>
        </w:numPr>
        <w:spacing w:after="60"/>
      </w:pPr>
      <w:r>
        <w:t xml:space="preserve">CONFIRMED: neither file was deleted -- both kept for historical reference, consistent with how this project has always handled retirement/deprecation (files are marked, never silently removed). Both now display a prominent red retirement banner at the top of the form stating they are retired and directing to Credit/Remittance Master, and both have Save functionally disabled -- tested directly: even with a valid "Logged in as" selection, clicking Save produces an explicit "this form is retired" message rather than appearing to succeed, so no new data can silently enter a retired form</w:t>
      </w:r>
    </w:p>
    <w:p>
      <w:pPr>
        <w:pStyle w:val="ListParagraph"/>
        <w:numPr>
          <w:ilvl w:val="0"/>
          <w:numId w:val="1"/>
        </w:numPr>
        <w:spacing w:after="60"/>
      </w:pPr>
      <w:r>
        <w:t xml:space="preserve">Dead code cleanup: Record Repayment's Save function had accumulated the same-day partial-payment fix and its bug correction (Section 5.34) immediately before being retired -- rather than leave an unreachable, superseded function sitting in the file under a confusing name, the retirement replacement cleanly replaces the whole function, with a comment noting the superseded logic's history for anyone reading the file later. New Credit Entry's equivalent old function was removed the same way, not left as dead code</w:t>
      </w:r>
    </w:p>
    <w:p>
      <w:pPr>
        <w:pStyle w:val="Heading2"/>
        <w:spacing w:after="120" w:before="240"/>
      </w:pPr>
      <w:r>
        <w:t xml:space="preserve">5.36 Seven Open Questions Resolved in One Round (2026-08-28)</w:t>
      </w:r>
    </w:p>
    <w:p>
      <w:pPr>
        <w:spacing w:after="120"/>
      </w:pPr>
      <w:r>
        <w:rPr>
          <w:i/>
          <w:iCs/>
        </w:rPr>
        <w:t xml:space="preserve">Client answered items 3, 5, 6, 7a, 7c, 8, and 10 from the open-questions list together. Two of these (4 and 9) required actual implementation, documented separately below; the rest are documentation-only resolutions.</w:t>
      </w:r>
    </w:p>
    <w:p>
      <w:pPr>
        <w:pStyle w:val="Heading3"/>
        <w:spacing w:after="100" w:before="180"/>
      </w:pPr>
      <w:r>
        <w:t xml:space="preserve">Item 3 — Theme/color preference scope: RESOLVED</w:t>
      </w:r>
    </w:p>
    <w:p>
      <w:pPr>
        <w:pStyle w:val="ListParagraph"/>
        <w:numPr>
          <w:ilvl w:val="0"/>
          <w:numId w:val="1"/>
        </w:numPr>
        <w:spacing w:after="60"/>
      </w:pPr>
      <w:r>
        <w:t xml:space="preserve">CLIENT CONFIRMED: existing color codes, as already used across the BRD and sample HTML forms, are correct and require no change. The already-built per-form independent theme toggle (Section 5.6.1) is confirmed as the intended behavior, resolving the earlier ambiguity between global vs. per-form scope</w:t>
      </w:r>
    </w:p>
    <w:p>
      <w:pPr>
        <w:pStyle w:val="Heading3"/>
        <w:spacing w:after="100" w:before="180"/>
      </w:pPr>
      <w:r>
        <w:t xml:space="preserve">Item 5 — Reports delivery mechanism: RESOLVED</w:t>
      </w:r>
    </w:p>
    <w:p>
      <w:pPr>
        <w:pStyle w:val="ListParagraph"/>
        <w:numPr>
          <w:ilvl w:val="0"/>
          <w:numId w:val="1"/>
        </w:numPr>
        <w:spacing w:after="60"/>
      </w:pPr>
      <w:r>
        <w:t xml:space="preserve">CLIENT CONFIRMED: Excel and PDF export are the confirmed delivery formats for Daily/Weekly/Monthly Sales Reports (Section 5.7) -- not an in-app dashboard or scheduled email. Actual report generation remains unbuilt as a feature (still design-phase work), but the format decision is now settled</w:t>
      </w:r>
    </w:p>
    <w:p>
      <w:pPr>
        <w:pStyle w:val="Heading3"/>
        <w:spacing w:after="100" w:before="180"/>
      </w:pPr>
      <w:r>
        <w:t xml:space="preserve">Item 6 — "New/Old Airtel Balance": RESOLVED, genuine mystery clarified</w:t>
      </w:r>
    </w:p>
    <w:p>
      <w:pPr>
        <w:pStyle w:val="ListParagraph"/>
        <w:numPr>
          <w:ilvl w:val="0"/>
          <w:numId w:val="1"/>
        </w:numPr>
        <w:spacing w:after="60"/>
      </w:pPr>
      <w:r>
        <w:t xml:space="preserve">CLIENT CLARIFIED: "Airtel" is a CUSTOMER NAME, not a reference to the telecom company -- this had been an open mystery since the field was first found not to map to anything in the IOC Account Statement Report (Section 5.1/4.1's open question). Given this, the "New/Old Airtel Balance" fields (Section 11 of Daily Trial Balance) correctly track a real creditor's outstanding balance under that name, same as any other creditor in Credit/Remittance Master -- NOT removed or merged, since the fields are legitimate, just previously misunderstood</w:t>
      </w:r>
    </w:p>
    <w:p>
      <w:pPr>
        <w:pStyle w:val="Heading3"/>
        <w:spacing w:after="100" w:before="180"/>
      </w:pPr>
      <w:r>
        <w:t xml:space="preserve">Item 7a &amp; 7c — Carry-forward edge cases: RESOLVED</w:t>
      </w:r>
    </w:p>
    <w:p>
      <w:pPr>
        <w:pStyle w:val="ListParagraph"/>
        <w:numPr>
          <w:ilvl w:val="0"/>
          <w:numId w:val="1"/>
        </w:numPr>
        <w:spacing w:after="60"/>
      </w:pPr>
      <w:r>
        <w:t xml:space="preserve">7a (missed rollover): CLIENT CONFIRMED the "catch-up on startup" approach -- whenever the system next starts, it should check whether today's carry-forward already ran and perform it if not, exactly as originally proposed</w:t>
      </w:r>
    </w:p>
    <w:p>
      <w:pPr>
        <w:pStyle w:val="ListParagraph"/>
        <w:numPr>
          <w:ilvl w:val="0"/>
          <w:numId w:val="1"/>
        </w:numPr>
        <w:spacing w:after="60"/>
      </w:pPr>
      <w:r>
        <w:t xml:space="preserve">7c (post-rollover corrections): CLIENT CONFIRMED manual re-sync is acceptable -- no automatic correction logic needs to be built for this edge case</w:t>
      </w:r>
    </w:p>
    <w:p>
      <w:pPr>
        <w:pStyle w:val="Heading3"/>
        <w:spacing w:after="100" w:before="180"/>
      </w:pPr>
      <w:r>
        <w:t xml:space="preserve">Item 8 — "GOOD"/"Not Good" status logic: RESOLVED with an added workflow detail</w:t>
      </w:r>
    </w:p>
    <w:p>
      <w:pPr>
        <w:pStyle w:val="ListParagraph"/>
        <w:numPr>
          <w:ilvl w:val="0"/>
          <w:numId w:val="1"/>
        </w:numPr>
        <w:spacing w:after="60"/>
      </w:pPr>
      <w:r>
        <w:t xml:space="preserve">CLIENT CONFIRMED the discovered Rs100 threshold (Section 5.8.2) is correct, and added a real operational detail beyond the status text itself: when the gap exceeds Rs100, the workflow is that Supervisor or Manager calls the Owner directly -- this is a business process to note for the eventual real system's notification design, not just a status label to display</w:t>
      </w:r>
    </w:p>
    <w:p>
      <w:pPr>
        <w:pStyle w:val="Heading3"/>
        <w:spacing w:after="100" w:before="180"/>
      </w:pPr>
      <w:r>
        <w:t xml:space="preserve">Item 10 — Employee pay stub requests: RESOLVED</w:t>
      </w:r>
    </w:p>
    <w:p>
      <w:pPr>
        <w:pStyle w:val="ListParagraph"/>
        <w:numPr>
          <w:ilvl w:val="0"/>
          <w:numId w:val="1"/>
        </w:numPr>
        <w:spacing w:after="60"/>
      </w:pPr>
      <w:r>
        <w:t xml:space="preserve">CLIENT CONFIRMED: no employee-facing system access is needed -- an employee asks informally (verbally, in person), and a Manager or Supervisor generates/provides the pay stub on their behalf using the existing Manager/Administrator access already confirmed in Section 2. CLIENT NOTED this is rare in practice but still worth having as a feature</w:t>
      </w:r>
    </w:p>
    <w:p>
      <w:pPr>
        <w:pStyle w:val="Heading2"/>
        <w:spacing w:after="120" w:before="240"/>
      </w:pPr>
      <w:r>
        <w:t xml:space="preserve">5.37 Item 4 Implemented: Credit/Remittance Master Restricted to Supervisor/Manager/Owner (2026-08-28)</w:t>
      </w:r>
    </w:p>
    <w:p>
      <w:pPr>
        <w:spacing w:after="120"/>
      </w:pPr>
      <w:r>
        <w:rPr>
          <w:i/>
          <w:iCs/>
        </w:rPr>
        <w:t xml:space="preserve">CLIENT CONFIRMED: New Credit and Repayment entry (Credit/Remittance Master, Section 5.17) is restricted to Supervisor, Manager, and Owner roles -- Pump Sales Man must not be able to enter new credits or record repayments. Implemented the same functional gate pattern established for Employee Master (Section 5.33), reusing the existing "Logged in as" selector already on this form. Selecting a Pump Sales Man login genuinely hides all form content and shows an "Access Restricted" message; Save independently refuses as defense in depth. Tested directly: content visibility confirmed true/false in both states, Save attempt while blocked produces the explicit restriction message, and switching to an authorized role correctly restores full access. Same honest limitation stated in the code as Employee Master's gate: this is a client-side check against a demo dropdown, not a real authenticated session -- must be enforced server-side in the real system</w:t>
      </w:r>
    </w:p>
    <w:p>
      <w:pPr>
        <w:pStyle w:val="Heading2"/>
        <w:spacing w:after="120" w:before="240"/>
      </w:pPr>
      <w:r>
        <w:t xml:space="preserve">5.38 Item 9 Implemented: Monthly Expenses Confirmed as Source, Pull Button Added (2026-08-28)</w:t>
      </w:r>
    </w:p>
    <w:p>
      <w:pPr>
        <w:spacing w:after="120"/>
      </w:pPr>
      <w:r>
        <w:rPr>
          <w:i/>
          <w:iCs/>
        </w:rPr>
        <w:t xml:space="preserve">CLIENT CONFIRMED direction, then asked how the mechanism would actually work before it was built -- a fair question given the granularity mismatch (Monthly Expenses aggregates across a month; Trial Balance's Section 8 is a daily form). Resolved by recognizing Monthly Expenses already carries a DATE on every row (exp-date-payroll, exp-date-ops per row), so a daily pull is genuinely feasible: Trial Balance's Section 8 can sum just TODAY's matching dated entries from Monthly Expenses, the same pattern already established for Daily Sales Summary feeding Section 2 (Section 5.25).</w:t>
      </w:r>
    </w:p>
    <w:p>
      <w:pPr>
        <w:pStyle w:val="ListParagraph"/>
        <w:numPr>
          <w:ilvl w:val="0"/>
          <w:numId w:val="1"/>
        </w:numPr>
        <w:spacing w:after="60"/>
      </w:pPr>
      <w:r>
        <w:t xml:space="preserve">IMPLEMENTED: an "Update from Monthly Expenses (Today)" button added to Section 8's Regular Expenses block, same honest-demo pattern as every other cross-form action in this BRD -- no shared backend exists between these static files, so this demonstrates the confirmed mechanism rather than performing a real pull. A resolution note added directly above the section confirming Monthly Expenses is the source, not an independent second entry point. Tested: button click produces the correct demo message, and the existing core Trial Balance formula chain (ledger, default rates) confirmed unaffected by this addition</w:t>
      </w:r>
    </w:p>
    <w:p>
      <w:pPr>
        <w:pStyle w:val="Heading2"/>
        <w:spacing w:after="120" w:before="240"/>
      </w:pPr>
      <w:r>
        <w:t xml:space="preserve">5.39 Monthly Expenses Date Range Report — Category Filter Added, Real Bug Caught (2026-08-28)</w:t>
      </w:r>
    </w:p>
    <w:p>
      <w:pPr>
        <w:spacing w:after="120"/>
      </w:pPr>
      <w:r>
        <w:rPr>
          <w:i/>
          <w:iCs/>
        </w:rPr>
        <w:t xml:space="preserve">NEW: client requested a category-specific search within the existing Date Range Report (Section 5.19) -- e.g. "all Power Bill entries this financial year," not just a combined total across every category. Added a "Category" dropdown alongside the existing From/To fields, populated fresh from the current payrollCats/operationalCats arrays each time Generate Report runs, so a category added later via "+ New Category" shows up in the filter automatically without a separate hook into that feature.</w:t>
      </w:r>
    </w:p>
    <w:p>
      <w:pPr>
        <w:pStyle w:val="ListParagraph"/>
        <w:numPr>
          <w:ilvl w:val="0"/>
          <w:numId w:val="1"/>
        </w:numPr>
        <w:spacing w:after="60"/>
      </w:pPr>
      <w:r>
        <w:t xml:space="preserve">REAL BUG FOUND AND FIXED DURING TESTING, not shipped: the first implementation matched category by each row's underlying &lt;select&gt; VALUE -- but the form's original hardcoded rows use lowercase value attributes ("powerbill", "repairs") while the category arrays and dynamically-added rows (via "+ New Category" / "+ Add row") use the visible TEXT ("Power Bill", "Repairs") as the effective value. Filtering by "Power Bill" correctly matched a dynamically-added row but silently failed to match the original hardcoded row for the exact same category -- caught by testing both an original row and a newly-added row together in the same filter run, not assumed correct from one working case. FIXED by matching on the option's visible TEXT instead of its value, consistent with how the existing groupByCategory function (used by the Monthly Summary, Section 4) already did this correctly</w:t>
      </w:r>
    </w:p>
    <w:p>
      <w:pPr>
        <w:pStyle w:val="ListParagraph"/>
        <w:numPr>
          <w:ilvl w:val="0"/>
          <w:numId w:val="1"/>
        </w:numPr>
        <w:spacing w:after="60"/>
      </w:pPr>
      <w:r>
        <w:t xml:space="preserve">Tested after the fix: an original hardcoded row (Power Bill, in Section 2's pre-existing first row) and a dynamically-added row (Repairs, added via + Add row) both filtered correctly, individually and together -- date range alone showed both entries and their combined total (17000); filtering to just Power Bill correctly isolated 12000; filtering to just Repairs correctly isolated 5000</w:t>
      </w:r>
    </w:p>
    <w:p>
      <w:pPr>
        <w:pStyle w:val="ListParagraph"/>
        <w:numPr>
          <w:ilvl w:val="0"/>
          <w:numId w:val="1"/>
        </w:numPr>
        <w:spacing w:after="60"/>
      </w:pPr>
      <w:r>
        <w:t xml:space="preserve">Print, Import from Excel, and Export to Excel included, matching the standard pattern used across every other form in this BRD</w:t>
      </w:r>
    </w:p>
    <w:p>
      <w:pPr>
        <w:pStyle w:val="Heading2"/>
        <w:spacing w:after="120" w:before="240"/>
      </w:pPr>
      <w:r>
        <w:t xml:space="preserve">5.18 Payroll: Two Existing Forms Enhanced, Not a Third Form (2026-08-25)</w:t>
      </w:r>
    </w:p>
    <w:p>
      <w:pPr>
        <w:spacing w:after="120"/>
      </w:pPr>
      <w:r>
        <w:rPr>
          <w:i/>
          <w:iCs/>
        </w:rPr>
        <w:t xml:space="preserve">Client asked for a form to capture bi-weekly salaries, track salary advances from Daily Sales/Daily Trial Balance, and a section for SVR operational expenses -- explicitly asking whether this should be one form or two, given employees can request pay stubs. RECOMMENDED AND CONFIRMED: neither a new third form nor a fourth -- enhance the two forms that already cover this ground (Employee Master, Section 5.16, and Monthly Expenses, Section 5.15), since a new form would duplicate bank details, Daily Wage, and the Request Pay Stub feature already built into Employee Master, and the expense categories already built into Monthly Expenses.</w:t>
      </w:r>
    </w:p>
    <w:p>
      <w:pPr>
        <w:pStyle w:val="Heading3"/>
        <w:spacing w:after="100" w:before="180"/>
      </w:pPr>
      <w:r>
        <w:t xml:space="preserve">Employee Master: new Payroll Run section (Section 2, renumbering Insurance to 3/4 and Summary to 5)</w:t>
      </w:r>
    </w:p>
    <w:p>
      <w:pPr>
        <w:pStyle w:val="ListParagraph"/>
        <w:numPr>
          <w:ilvl w:val="0"/>
          <w:numId w:val="1"/>
        </w:numPr>
        <w:spacing w:after="60"/>
      </w:pPr>
      <w:r>
        <w:t xml:space="preserve">Fields: Employee Name, Pay Period (1st Half/2nd Half), Days Worked, Daily Wage (auto-pulled), Gross Salary (auto = Days Worked x Daily Wage), Salary Advance Deduction, Net Pay (auto = Gross - Advance), Bank Account (auto-pulled), Pay Date, and a Request Pay Stub action per row (same confirmed feature already built for Section 1)</w:t>
      </w:r>
    </w:p>
    <w:p>
      <w:pPr>
        <w:pStyle w:val="ListParagraph"/>
        <w:numPr>
          <w:ilvl w:val="0"/>
          <w:numId w:val="1"/>
        </w:numPr>
        <w:spacing w:after="60"/>
      </w:pPr>
      <w:r>
        <w:t xml:space="preserve">CONFIRMED and genuinely implemented, not a placeholder: Daily Wage and Bank Account auto-pull from Section 1 by matching Employee Name exactly -- tested end-to-end (15 days x Rs 600 = Rs 9,000 gross, minus Rs 500 advance = Rs 8,500 net, bank details correctly pulled). Also tested the mismatch case: a Payroll Run row with a name not found in Section 1 correctly shows "no match in Section 1" rather than silently pulling nothing or erroring</w:t>
      </w:r>
    </w:p>
    <w:p>
      <w:pPr>
        <w:pStyle w:val="ListParagraph"/>
        <w:numPr>
          <w:ilvl w:val="0"/>
          <w:numId w:val="1"/>
        </w:numPr>
        <w:spacing w:after="60"/>
      </w:pPr>
      <w:r>
        <w:t xml:space="preserve">CONFIRMED intent, not live-wired (same static-file limitation noted throughout this BRD): this section's pay-run total is understood to feed Monthly Expenses' Bi-weekly Salary category as the source of that rollup figure</w:t>
      </w:r>
    </w:p>
    <w:p>
      <w:pPr>
        <w:pStyle w:val="Heading3"/>
        <w:spacing w:after="100" w:before="180"/>
      </w:pPr>
      <w:r>
        <w:t xml:space="preserve">Monthly Expenses: split into Payroll and Operational Expenses, made fully dynamic</w:t>
      </w:r>
    </w:p>
    <w:p>
      <w:pPr>
        <w:pStyle w:val="ListParagraph"/>
        <w:numPr>
          <w:ilvl w:val="0"/>
          <w:numId w:val="1"/>
        </w:numPr>
        <w:spacing w:after="60"/>
      </w:pPr>
      <w:r>
        <w:t xml:space="preserve">INTERPRETATION NOTE: the client's original phrasing ("add more expense types in a different section") was read as confirmation to visually split Section 1 into two sections -- Payroll (Bi-weekly Salary, Salary Advances) and Operational Expenses (Power Bill, Unload Beta, Buying Indian Oils, Other) -- since a follow-up clarifying question on this specific point went unanswered directly. Flagged here in case a single combined section with just extensible categories was actually intended instead</w:t>
      </w:r>
    </w:p>
    <w:p>
      <w:pPr>
        <w:pStyle w:val="ListParagraph"/>
        <w:numPr>
          <w:ilvl w:val="0"/>
          <w:numId w:val="1"/>
        </w:numPr>
        <w:spacing w:after="60"/>
      </w:pPr>
      <w:r>
        <w:t xml:space="preserve">REAL NAMING INCONSISTENCY FOUND AND FIXED: Monthly Expenses previously used "Monthly Electrical Bill" while Daily Trial Balance's own Expense category dropdown (Section 5.8.5) uses "Power Bill" for what is confirmed to be the same real-world expense. Renamed to "Power Bill" here to match exactly, closing a cross-form terminology gap that existed since Monthly Expenses was first built (Section 62)</w:t>
      </w:r>
    </w:p>
    <w:p>
      <w:pPr>
        <w:pStyle w:val="ListParagraph"/>
        <w:numPr>
          <w:ilvl w:val="0"/>
          <w:numId w:val="1"/>
        </w:numPr>
        <w:spacing w:after="60"/>
      </w:pPr>
      <w:r>
        <w:t xml:space="preserve">CONFIRMED: both new sections have their own "+ New Category" button, matching the extensibility pattern already built for Daily Trial Balance (Section 5.8.7). The Monthly Summary section was rebuilt as fully dynamic (grouped from whichever categories actually appear in the entries, not a fixed list of disabled fields) specifically so a newly-added category gets its own summary line automatically -- tested by adding a new category ("Vehicle Repair"), using it on a new row, and confirming it appeared correctly in the Operational Subtotal and as its own summary line, without needing any further code change</w:t>
      </w:r>
    </w:p>
    <w:p>
      <w:pPr>
        <w:pStyle w:val="Heading2"/>
        <w:spacing w:after="120" w:before="240"/>
      </w:pPr>
      <w:r>
        <w:t xml:space="preserve">5.19 Date Range Report — Employee Master and Monthly Expenses (2026-08-25)</w:t>
      </w:r>
    </w:p>
    <w:p>
      <w:pPr>
        <w:spacing w:after="120"/>
      </w:pPr>
      <w:r>
        <w:rPr>
          <w:i/>
          <w:iCs/>
        </w:rPr>
        <w:t xml:space="preserve">NEW: client asked for a start-to-end date range search on both forms, for pulling a specific period (e.g. a full financial year) of expenses/payroll for a company claim. Implemented as real, working JavaScript filtering on both forms, not a static mockup control.</w:t>
      </w:r>
    </w:p>
    <w:p>
      <w:pPr>
        <w:pStyle w:val="ListParagraph"/>
        <w:numPr>
          <w:ilvl w:val="0"/>
          <w:numId w:val="1"/>
        </w:numPr>
        <w:spacing w:after="60"/>
      </w:pPr>
      <w:r>
        <w:t xml:space="preserve">Employee Master: a "Payroll Date Range Report" block added directly below the Payroll Run section (Section 5.18), with From/To date pickers, "Generate Report" and "Clear" buttons. Filters Payroll Run rows by Pay Date (inclusive of both endpoints), showing Rows in Range, Gross Salary, Salary Advances, and Net Pay totaled for just that period. Rows outside the range are visually dimmed (not deleted or hidden entirely), so the full record stays visible for context. Tested with 3 payroll entries across 3 months, confirming a Jan 1 - Mar 31 filter correctly included the January and March entries, excluded the June one, and totaled Gross/Net correctly for just the 2 in-range rows</w:t>
      </w:r>
    </w:p>
    <w:p>
      <w:pPr>
        <w:pStyle w:val="ListParagraph"/>
        <w:numPr>
          <w:ilvl w:val="0"/>
          <w:numId w:val="1"/>
        </w:numPr>
        <w:spacing w:after="60"/>
      </w:pPr>
      <w:r>
        <w:t xml:space="preserve">Monthly Expenses: a new Section 3, "Expense &amp; Payroll Date Range Report" (Monthly Summary renumbered to Section 4), filtering BOTH Section 1 (Payroll) and Section 2 (Operational Expenses) by their own Date columns simultaneously, showing Entries in Range, Payroll subtotal, Operational subtotal, and Grand Total for the period. Tested across both tables at once: a Jan-Mar filter correctly included a February payroll entry and a January operational entry while excluding a July operational entry, with the combined totals correct</w:t>
      </w:r>
    </w:p>
    <w:p>
      <w:pPr>
        <w:pStyle w:val="ListParagraph"/>
        <w:numPr>
          <w:ilvl w:val="0"/>
          <w:numId w:val="1"/>
        </w:numPr>
        <w:spacing w:after="60"/>
      </w:pPr>
      <w:r>
        <w:t xml:space="preserve">CONFIRMED on both forms: the filter works correctly on rows added dynamically via "+ Add row" after the form loaded, not just the default rows present at page load — the date field's class was added to the row-creation JavaScript on both forms specifically to support this</w:t>
      </w:r>
    </w:p>
    <w:p>
      <w:pPr>
        <w:pStyle w:val="ListParagraph"/>
        <w:numPr>
          <w:ilvl w:val="0"/>
          <w:numId w:val="1"/>
        </w:numPr>
        <w:spacing w:after="60"/>
      </w:pPr>
      <w:r>
        <w:t xml:space="preserve">Basic input validation: both forms require both a From and To date before generating a report, and reject a From date that is after the To date, with a clear message rather than silently producing an empty or wrong report</w:t>
      </w:r>
    </w:p>
    <w:p>
      <w:pPr>
        <w:pStyle w:val="Heading2"/>
        <w:spacing w:after="120" w:before="240"/>
      </w:pPr>
      <w:r>
        <w:t xml:space="preserve">5.20 Payment Receipt Module</w:t>
      </w:r>
    </w:p>
    <w:p>
      <w:pPr>
        <w:spacing w:after="120"/>
      </w:pPr>
      <w:r>
        <w:rPr>
          <w:i/>
          <w:iCs/>
        </w:rPr>
        <w:t xml:space="preserve">NEW (2026-08-25): a printable customer-facing payment receipt, per client request, listing SVR Indian Oil Service Station (14-1-108/1 G.B.C Road, Ponnur, Guntur Dist, Andhra Pradesh 522124) with fuel type, litres, rate, total amount, and payment method. DESIGN DECISION: built as a narrow receipt-style layout (380px, print-optimized to a small paper width), NOT the full A4 business-form template used for every other document in this BRD -- this is a customer-facing point-of-sale receipt, printed per transaction on what would typically be a small receipt printer, a fundamentally different artifact from the internal daily/monthly forms elsewhere in this project. Still uses the confirmed IOCL color theme and logo for brand consistency</w:t>
      </w:r>
    </w:p>
    <w:p>
      <w:pPr>
        <w:pStyle w:val="Heading3"/>
        <w:spacing w:after="100" w:before="180"/>
      </w:pPr>
      <w:r>
        <w:t xml:space="preserve">Fields beyond the client's explicit list, suggested and included</w:t>
      </w:r>
    </w:p>
    <w:p>
      <w:pPr>
        <w:pStyle w:val="ListParagraph"/>
        <w:numPr>
          <w:ilvl w:val="0"/>
          <w:numId w:val="1"/>
        </w:numPr>
        <w:spacing w:after="60"/>
      </w:pPr>
      <w:r>
        <w:t xml:space="preserve">Time (not just Date) -- multiple transactions happen the same day, Date alone does not uniquely identify one</w:t>
      </w:r>
    </w:p>
    <w:p>
      <w:pPr>
        <w:pStyle w:val="ListParagraph"/>
        <w:numPr>
          <w:ilvl w:val="0"/>
          <w:numId w:val="1"/>
        </w:numPr>
        <w:spacing w:after="60"/>
      </w:pPr>
      <w:r>
        <w:t xml:space="preserve">Pump Serial# and Attendant name -- reuses the confirmed Pump Serial# concept from Daily Sales Entry (Section 5.4.2) and the Pump Sales Man concept used throughout this BRD, so a disputed receipt can be traced to which pump and which staff member served it</w:t>
      </w:r>
    </w:p>
    <w:p>
      <w:pPr>
        <w:pStyle w:val="ListParagraph"/>
        <w:numPr>
          <w:ilvl w:val="0"/>
          <w:numId w:val="1"/>
        </w:numPr>
        <w:spacing w:after="60"/>
      </w:pPr>
      <w:r>
        <w:t xml:space="preserve">Vehicle Number -- common on fuel receipts, useful for dispute resolution or fleet/business customer record-keeping</w:t>
      </w:r>
    </w:p>
    <w:p>
      <w:pPr>
        <w:pStyle w:val="ListParagraph"/>
        <w:numPr>
          <w:ilvl w:val="0"/>
          <w:numId w:val="1"/>
        </w:numPr>
        <w:spacing w:after="60"/>
      </w:pPr>
      <w:r>
        <w:t xml:space="preserve">Payment reference detail, shown conditionally based on the selected Paid By method (genuinely implemented and tested, not just described): Cash shows no extra fields; Phone Pay shows a UPI Transaction Ref#; Credit Card shows an Auth/Transaction Ref# plus the last 4 digits of the card -- consistent with the Card Holder/Terminal ID and Transaction/Receipt# fields already confirmed on Daily Sales Entry's Credit Cards Swiping(s) section (Section 5.4.1), applied here at the individual-transaction level</w:t>
      </w:r>
    </w:p>
    <w:p>
      <w:pPr>
        <w:pStyle w:val="Heading3"/>
        <w:spacing w:after="100" w:before="180"/>
      </w:pPr>
      <w:r>
        <w:t xml:space="preserve">Tax treatment flagged, not assumed</w:t>
      </w:r>
    </w:p>
    <w:p>
      <w:pPr>
        <w:pStyle w:val="ListParagraph"/>
        <w:numPr>
          <w:ilvl w:val="0"/>
          <w:numId w:val="1"/>
        </w:numPr>
        <w:spacing w:after="60"/>
      </w:pPr>
      <w:r>
        <w:t xml:space="preserve">RESOLVED (2026-08-25, client confirmed): no GST applies to fuel (Diesel/Petrol) sales in India, taxed instead via VAT/Excise — confirmed directly, not just assumed as the standard case. The receipt's note simplified accordingly (from a "verify before use" caveat to a stated fact). The oil/lubricant GST distinction raised earlier is not re-flagged here, per the client's explicit "not needed" — worth remembering only if oil/lubricant items are ever actually added to this receipt type in the future, not restated as an open item now</w:t>
      </w:r>
    </w:p>
    <w:p>
      <w:pPr>
        <w:pStyle w:val="Heading3"/>
        <w:spacing w:after="100" w:before="180"/>
      </w:pPr>
      <w:r>
        <w:t xml:space="preserve">Open items</w:t>
      </w:r>
    </w:p>
    <w:p>
      <w:pPr>
        <w:pStyle w:val="ListParagraph"/>
        <w:numPr>
          <w:ilvl w:val="0"/>
          <w:numId w:val="1"/>
        </w:numPr>
        <w:spacing w:after="60"/>
      </w:pPr>
      <w:r>
        <w:t xml:space="preserve">Rate is manually entered here, not auto-pulled from Rate Master's Sell Rate, since this receipt is a standalone print artifact rather than part of the interconnected form set already established elsewhere in this BRD -- flagged rather than silently wired, since wiring it would require this file to share state with Rate Master, which no static HTML file in this project currently does</w:t>
      </w:r>
    </w:p>
    <w:p>
      <w:pPr>
        <w:pStyle w:val="ListParagraph"/>
        <w:numPr>
          <w:ilvl w:val="0"/>
          <w:numId w:val="1"/>
        </w:numPr>
        <w:spacing w:after="60"/>
      </w:pPr>
      <w:r>
        <w:t xml:space="preserve">GENUINELY NEW GRANULARITY, not yet reconciled with the rest of this BRD: every other sales-tracking form in this project (Daily Sales Entry, Daily Trial Balance) operates at a DAILY total level per fuel/pump, not per individual transaction. This receipt is the first artifact in this BRD to model a SINGLE transaction. Whether/how individual receipts should roll up into Daily Sales Entry's daily totals (e.g. does the sum of a day's receipts need to reconcile against that day's Current Reading minus Last Shift Reading?) is not specified -- flagged as an open design question, not assumed either way</w:t>
      </w:r>
    </w:p>
    <w:p>
      <w:pPr>
        <w:pStyle w:val="ListParagraph"/>
        <w:numPr>
          <w:ilvl w:val="0"/>
          <w:numId w:val="1"/>
        </w:numPr>
        <w:spacing w:after="60"/>
      </w:pPr>
      <w:r>
        <w:t xml:space="preserve">Also not confirmed: whether a dealer license number or GSTIN (for any non-fuel items) should appear on the receipt -- IOCL dealership receipts commonly show a dealer code, but this was not provided and is not assumed</w:t>
      </w:r>
    </w:p>
    <w:p>
      <w:pPr>
        <w:spacing w:after="120"/>
      </w:pPr>
      <w:r>
        <w:rPr>
          <w:i/>
          <w:iCs/>
        </w:rPr>
        <w:t xml:space="preserve">CONFIRMED (2026-08-25, same day): Time, Pump Serial#, and payment reference details all confirmed as wanted, as originally suggested. Pump Serial# placeholder updated to show both station serials together ("12BC4523V-Off/11CC2012V-Rd"), matching the combined format already used on Daily Sales Entry's own header. Vehicle Number explicitly confirmed as optional — labeled as such on the receipt, only completed if the customer provides it. Thank-you message updated to "Thank You for Choosing IOCL!" per client wording</w:t>
      </w:r>
    </w:p>
    <w:p>
      <w:pPr>
        <w:pStyle w:val="Heading2"/>
        <w:spacing w:after="120" w:before="240"/>
      </w:pPr>
      <w:r>
        <w:t xml:space="preserve">5.21 Save Button Added Across All 12 Forms (2026-08-26)</w:t>
      </w:r>
    </w:p>
    <w:p>
      <w:pPr>
        <w:spacing w:after="120"/>
      </w:pPr>
      <w:r>
        <w:rPr>
          <w:i/>
          <w:iCs/>
        </w:rPr>
        <w:t xml:space="preserve">Closes the gap confirmed in Section 77 (no form had a Save button, checked project-wide). A "Save" button added to every one of the 12 forms, positioned first/most-prominent in each form's existing action-button row, matching each form's own established styling. Honest demo, consistent with every other backend-dependent feature in this project: shows a timestamped confirmation message stating that a real Save would write to the shared SQLite backend (Section 4), not implemented here since no backend or database exists in these static mockups. Tested on all 12 forms individually -- each shows exactly one Save button, clicking it produces the expected confirmation message, zero console errors on any form</w:t>
      </w:r>
    </w:p>
    <w:p>
      <w:pPr>
        <w:pStyle w:val="ListParagraph"/>
        <w:numPr>
          <w:ilvl w:val="0"/>
          <w:numId w:val="1"/>
        </w:numPr>
        <w:spacing w:after="60"/>
      </w:pPr>
      <w:r>
        <w:t xml:space="preserve">Manage Users required special handling: this form has two action-button rows, one for the "Send Password Reset Email" action (Section 1) and one form-level row at the bottom (Print). Save was added only to the form-level row, not the section-specific one, since Save is a whole-form action</w:t>
      </w:r>
    </w:p>
    <w:p>
      <w:pPr>
        <w:pStyle w:val="ListParagraph"/>
        <w:numPr>
          <w:ilvl w:val="0"/>
          <w:numId w:val="1"/>
        </w:numPr>
        <w:spacing w:after="60"/>
      </w:pPr>
      <w:r>
        <w:t xml:space="preserve">Payment Receipt required its own treatment: this form uses a distinct narrow receipt-style layout (Section 5.20), not the standard export-bar pattern every other form shares. Save was added matching Payment Receipt's own button style, positioned next to Print Receipt rather than in a standard export-bar</w:t>
      </w:r>
    </w:p>
    <w:p>
      <w:pPr>
        <w:pStyle w:val="Heading2"/>
        <w:spacing w:after="120" w:before="240"/>
      </w:pPr>
      <w:r>
        <w:t xml:space="preserve">5.22 Software Installation &amp; Troubleshooting Guide (PDF, 2026-08-26)</w:t>
      </w:r>
    </w:p>
    <w:p>
      <w:pPr>
        <w:spacing w:after="120"/>
      </w:pPr>
      <w:r>
        <w:rPr>
          <w:i/>
          <w:iCs/>
        </w:rPr>
        <w:t xml:space="preserve">NEW deliverable: SVR-Software-Install-Guide.pdf, a 3-page reference covering (1) what software is needed on a new PC, distinguishing the end-user station PC from the development/build machine, (2) confirmation that a single .exe installer is sufficient for the station PC, (3) step-by-step installation instructions, and (4) troubleshooting guidance for startup failures, including the per-component log file table. Built entirely from content already confirmed in Section 4.6 -- no new claims invented for this document that were not already established in this BRD.</w:t>
      </w:r>
    </w:p>
    <w:p>
      <w:pPr>
        <w:pStyle w:val="ListParagraph"/>
        <w:numPr>
          <w:ilvl w:val="0"/>
          <w:numId w:val="1"/>
        </w:numPr>
        <w:spacing w:after="60"/>
      </w:pPr>
      <w:r>
        <w:t xml:space="preserve">REAL GAP SURFACED WHILE WRITING THIS DOCUMENT, not previously called out explicitly: Section 4.6's own description of the single-installer bundle names "Python + SQLite + the ElectronJS frontend" but does NOT explicitly include Tesseract OCR, even though Tesseract is separately confirmed as part of Software Requirements (Section 4.2). Whether Tesseract needs its own bundling step, or is covered by the same installer, is not confirmed anywhere in this BRD. Flagged as an OPEN ITEM directly in the PDF itself (not glossed over), since this affects whether Scan/Upload works immediately after installation or needs a separate setup step</w:t>
      </w:r>
    </w:p>
    <w:p>
      <w:pPr>
        <w:pStyle w:val="Heading1"/>
        <w:spacing w:after="150" w:before="300"/>
      </w:pPr>
      <w:r>
        <w:t xml:space="preserve">6. Format &amp; Output (CRAFT – Format)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1F4E78" w:val="clear"/>
          </w:tcPr>
          <w:p>
            <w:r>
              <w:rPr>
                <w:b/>
                <w:bCs/>
                <w:color w:val="FFFFFF"/>
              </w:rPr>
              <w:t xml:space="preserve">Output</w:t>
            </w:r>
          </w:p>
        </w:tc>
        <w:tc>
          <w:tcPr>
            <w:tcW w:type="dxa" w:w="6233"/>
            <w:shd w:fill="1F4E78" w:val="clear"/>
          </w:tcPr>
          <w:p>
            <w:r>
              <w:rPr>
                <w:b/>
                <w:bCs/>
                <w:color w:val="FFFFFF"/>
              </w:rPr>
              <w:t xml:space="preserve">Description</w:t>
            </w:r>
          </w:p>
        </w:tc>
      </w:tr>
      <w:tr>
        <w:tc>
          <w:tcPr>
            <w:tcW w:type="dxa" w:w="3117"/>
          </w:tcPr>
          <w:p>
            <w:r>
              <w:rPr>
                <w:b w:val="false"/>
                <w:bCs w:val="false"/>
              </w:rPr>
              <w:t xml:space="preserve">Daily Sales Entry Form</w:t>
            </w:r>
          </w:p>
        </w:tc>
        <w:tc>
          <w:tcPr>
            <w:tcW w:type="dxa" w:w="6233"/>
          </w:tcPr>
          <w:p>
            <w:r>
              <w:rPr>
                <w:b w:val="false"/>
                <w:bCs w:val="false"/>
              </w:rPr>
              <w:t xml:space="preserve">Digital form matching the printed paper version used by pump sales men; up to two records are stored per shift, one per submitting pump sales man</w:t>
            </w:r>
          </w:p>
        </w:tc>
      </w:tr>
      <w:tr>
        <w:tc>
          <w:tcPr>
            <w:tcW w:type="dxa" w:w="3117"/>
          </w:tcPr>
          <w:p>
            <w:r>
              <w:rPr>
                <w:b w:val="false"/>
                <w:bCs w:val="false"/>
              </w:rPr>
              <w:t xml:space="preserve">Printed Output</w:t>
            </w:r>
          </w:p>
        </w:tc>
        <w:tc>
          <w:tcPr>
            <w:tcW w:type="dxa" w:w="6233"/>
          </w:tcPr>
          <w:p>
            <w:r>
              <w:rPr>
                <w:b w:val="false"/>
                <w:bCs w:val="false"/>
              </w:rPr>
              <w:t xml:space="preserve">Printer-ready version of blank or filled form</w:t>
            </w:r>
          </w:p>
        </w:tc>
      </w:tr>
      <w:tr>
        <w:tc>
          <w:tcPr>
            <w:tcW w:type="dxa" w:w="3117"/>
          </w:tcPr>
          <w:p>
            <w:r>
              <w:rPr>
                <w:b w:val="false"/>
                <w:bCs w:val="false"/>
              </w:rPr>
              <w:t xml:space="preserve">User List View</w:t>
            </w:r>
          </w:p>
        </w:tc>
        <w:tc>
          <w:tcPr>
            <w:tcW w:type="dxa" w:w="6233"/>
          </w:tcPr>
          <w:p>
            <w:r>
              <w:rPr>
                <w:b w:val="false"/>
                <w:bCs w:val="false"/>
              </w:rPr>
              <w:t xml:space="preserve">Tabular view: Name / Email / Login Name / Role</w:t>
            </w:r>
          </w:p>
        </w:tc>
      </w:tr>
      <w:tr>
        <w:tc>
          <w:tcPr>
            <w:tcW w:type="dxa" w:w="3117"/>
          </w:tcPr>
          <w:p>
            <w:r>
              <w:rPr>
                <w:b w:val="false"/>
                <w:bCs w:val="false"/>
              </w:rPr>
              <w:t xml:space="preserve">Data Storage</w:t>
            </w:r>
          </w:p>
        </w:tc>
        <w:tc>
          <w:tcPr>
            <w:tcW w:type="dxa" w:w="6233"/>
          </w:tcPr>
          <w:p>
            <w:r>
              <w:rPr>
                <w:b w:val="false"/>
                <w:bCs w:val="false"/>
              </w:rPr>
              <w:t xml:space="preserve">Stored in SQLite backend, tagged by date, worker, and role</w:t>
            </w:r>
          </w:p>
        </w:tc>
      </w:tr>
      <w:tr>
        <w:tc>
          <w:tcPr>
            <w:tcW w:type="dxa" w:w="3117"/>
          </w:tcPr>
          <w:p>
            <w:r>
              <w:rPr>
                <w:b w:val="false"/>
                <w:bCs w:val="false"/>
              </w:rPr>
              <w:t xml:space="preserve">Daily Sales Report (Owner/Bank)</w:t>
            </w:r>
          </w:p>
        </w:tc>
        <w:tc>
          <w:tcPr>
            <w:tcW w:type="dxa" w:w="6233"/>
          </w:tcPr>
          <w:p>
            <w:r>
              <w:rPr>
                <w:b w:val="false"/>
                <w:bCs w:val="false"/>
              </w:rPr>
              <w:t xml:space="preserve">Consolidated daily report combining both pump sales men' entries, required daily for the station owner and the bank (see Section 5.7)</w:t>
            </w:r>
          </w:p>
        </w:tc>
      </w:tr>
      <w:tr>
        <w:tc>
          <w:tcPr>
            <w:tcW w:type="dxa" w:w="3117"/>
          </w:tcPr>
          <w:p>
            <w:r>
              <w:rPr>
                <w:b w:val="false"/>
                <w:bCs w:val="false"/>
              </w:rPr>
              <w:t xml:space="preserve">Weekly Total Sales Report</w:t>
            </w:r>
          </w:p>
        </w:tc>
        <w:tc>
          <w:tcPr>
            <w:tcW w:type="dxa" w:w="6233"/>
          </w:tcPr>
          <w:p>
            <w:r>
              <w:rPr>
                <w:b w:val="false"/>
                <w:bCs w:val="false"/>
              </w:rPr>
              <w:t xml:space="preserve">Aggregated sales totals across each 7-day week (see Section 5.7)</w:t>
            </w:r>
          </w:p>
        </w:tc>
      </w:tr>
      <w:tr>
        <w:tc>
          <w:tcPr>
            <w:tcW w:type="dxa" w:w="3117"/>
          </w:tcPr>
          <w:p>
            <w:r>
              <w:rPr>
                <w:b w:val="false"/>
                <w:bCs w:val="false"/>
              </w:rPr>
              <w:t xml:space="preserve">Monthly Sales Report</w:t>
            </w:r>
          </w:p>
        </w:tc>
        <w:tc>
          <w:tcPr>
            <w:tcW w:type="dxa" w:w="6233"/>
          </w:tcPr>
          <w:p>
            <w:r>
              <w:rPr>
                <w:b w:val="false"/>
                <w:bCs w:val="false"/>
              </w:rPr>
              <w:t xml:space="preserve">Aggregated sales totals across each calendar month (see Section 5.7)</w:t>
            </w:r>
          </w:p>
        </w:tc>
      </w:tr>
      <w:tr>
        <w:tc>
          <w:tcPr>
            <w:tcW w:type="dxa" w:w="3117"/>
          </w:tcPr>
          <w:p>
            <w:r>
              <w:rPr>
                <w:b w:val="false"/>
                <w:bCs w:val="false"/>
              </w:rPr>
              <w:t xml:space="preserve">Credit Report</w:t>
            </w:r>
          </w:p>
        </w:tc>
        <w:tc>
          <w:tcPr>
            <w:tcW w:type="dxa" w:w="6233"/>
          </w:tcPr>
          <w:p>
            <w:r>
              <w:rPr>
                <w:b w:val="false"/>
                <w:bCs w:val="false"/>
              </w:rPr>
              <w:t xml:space="preserve">All Old Credit Accounts transactions (new credits and repayments), sorted by pending payments first (see Section 5.9)</w:t>
            </w:r>
          </w:p>
        </w:tc>
      </w:tr>
      <w:tr>
        <w:tc>
          <w:tcPr>
            <w:tcW w:type="dxa" w:w="3117"/>
          </w:tcPr>
          <w:p>
            <w:r>
              <w:rPr>
                <w:b w:val="false"/>
                <w:bCs w:val="false"/>
              </w:rPr>
              <w:t xml:space="preserve">Daily Trial Balance Report</w:t>
            </w:r>
          </w:p>
        </w:tc>
        <w:tc>
          <w:tcPr>
            <w:tcW w:type="dxa" w:w="6233"/>
          </w:tcPr>
          <w:p>
            <w:r>
              <w:rPr>
                <w:b w:val="false"/>
                <w:bCs w:val="false"/>
              </w:rPr>
              <w:t xml:space="preserve">The completed Trial Balance form, emailed to management daily (see Section 5.8); requires email-sending integration</w:t>
            </w:r>
          </w:p>
        </w:tc>
      </w:tr>
      <w:tr>
        <w:tc>
          <w:tcPr>
            <w:tcW w:type="dxa" w:w="3117"/>
          </w:tcPr>
          <w:p>
            <w:r>
              <w:rPr>
                <w:b w:val="false"/>
                <w:bCs w:val="false"/>
              </w:rPr>
              <w:t xml:space="preserve">Stock Status Report</w:t>
            </w:r>
          </w:p>
        </w:tc>
        <w:tc>
          <w:tcPr>
            <w:tcW w:type="dxa" w:w="6233"/>
          </w:tcPr>
          <w:p>
            <w:r>
              <w:rPr>
                <w:b w:val="false"/>
                <w:bCs w:val="false"/>
              </w:rPr>
              <w:t xml:space="preserve">Current stock levels for all 5 inventory SKUs, flagging any below Reorder Level (see Section 5.10); OPEN — whether this is a standalone report is still to be confirmed</w:t>
            </w:r>
          </w:p>
        </w:tc>
      </w:tr>
    </w:tbl>
    <w:p>
      <w:pPr>
        <w:pStyle w:val="Heading1"/>
        <w:spacing w:after="150" w:before="300"/>
      </w:pPr>
      <w:r>
        <w:t xml:space="preserve">7. Target Users (CRAFT – Target)</w:t>
      </w:r>
    </w:p>
    <w:p>
      <w:pPr>
        <w:pStyle w:val="ListParagraph"/>
        <w:numPr>
          <w:ilvl w:val="0"/>
          <w:numId w:val="1"/>
        </w:numPr>
        <w:spacing w:after="60"/>
      </w:pPr>
      <w:r>
        <w:t xml:space="preserve">Up to 2 Daily Sales Pump Sales Men per shift (Data Entry role) — primary daily users; headcount varies day to day (as low as 1 when a pump is out of service, or a substitute covering for a sick worker) rather than a fixed count</w:t>
      </w:r>
    </w:p>
    <w:p>
      <w:pPr>
        <w:pStyle w:val="ListParagraph"/>
        <w:numPr>
          <w:ilvl w:val="0"/>
          <w:numId w:val="1"/>
        </w:numPr>
        <w:spacing w:after="60"/>
      </w:pPr>
      <w:r>
        <w:t xml:space="preserve">Manager — oversight, deletion rights, reporting</w:t>
      </w:r>
    </w:p>
    <w:p>
      <w:pPr>
        <w:pStyle w:val="ListParagraph"/>
        <w:numPr>
          <w:ilvl w:val="0"/>
          <w:numId w:val="1"/>
        </w:numPr>
        <w:spacing w:after="60"/>
      </w:pPr>
      <w:r>
        <w:t xml:space="preserve">Administrator — user management, system configuration</w:t>
      </w:r>
    </w:p>
    <w:p>
      <w:pPr>
        <w:pStyle w:val="ListParagraph"/>
        <w:numPr>
          <w:ilvl w:val="0"/>
          <w:numId w:val="1"/>
        </w:numPr>
        <w:spacing w:after="60"/>
      </w:pPr>
      <w:r>
        <w:t xml:space="preserve">Station Owner / Bank — report recipients only (not system login users); receive Daily, Weekly, and Monthly Sales Reports (see Section 5.7)</w:t>
      </w:r>
    </w:p>
    <w:p>
      <w:pPr>
        <w:pStyle w:val="ListParagraph"/>
        <w:numPr>
          <w:ilvl w:val="0"/>
          <w:numId w:val="1"/>
        </w:numPr>
        <w:spacing w:after="60"/>
      </w:pPr>
      <w:r>
        <w:t xml:space="preserve">Management — report recipients only (not system login users); receive the Daily Trial Balance Report via email (see Section 5.8)</w:t>
      </w:r>
    </w:p>
    <w:p>
      <w:pPr>
        <w:pStyle w:val="Heading1"/>
        <w:spacing w:after="150" w:before="300"/>
      </w:pPr>
      <w:r>
        <w:t xml:space="preserve">8. OCR / Upload Mode Test Scenarios (from Scanned Samples)</w:t>
      </w:r>
    </w:p>
    <w:p>
      <w:pPr>
        <w:spacing w:after="120"/>
      </w:pPr>
      <w:r>
        <w:rPr>
          <w:i/>
          <w:iCs/>
        </w:rPr>
        <w:t xml:space="preserve">Two additional scanned copies were reviewed for Upload Mode / OCR testing: M. Ravindra (Road Front, 28-7-26) and G. Vijay (Office Front, 28 July 2026). Together with the earlier two manual-entry samples, these surface real handwriting and data-entry patterns the system must handle — not just the ideal case. Each finding below is a required test scenario for both OCR extraction (Upload Mode) and manual data validation (Manual Mode).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c>
          <w:tcPr>
            <w:tcW w:type="dxa" w:w="2400"/>
            <w:shd w:fill="1F4E78" w:val="clear"/>
          </w:tcPr>
          <w:p>
            <w:r>
              <w:rPr>
                <w:b/>
                <w:bCs/>
                <w:color w:val="FFFFFF"/>
              </w:rPr>
              <w:t xml:space="preserve">Test Scenario</w:t>
            </w:r>
          </w:p>
        </w:tc>
        <w:tc>
          <w:tcPr>
            <w:tcW w:type="dxa" w:w="3450"/>
            <w:shd w:fill="1F4E78" w:val="clear"/>
          </w:tcPr>
          <w:p>
            <w:r>
              <w:rPr>
                <w:b/>
                <w:bCs/>
                <w:color w:val="FFFFFF"/>
              </w:rPr>
              <w:t xml:space="preserve">Observed in Sample</w:t>
            </w:r>
          </w:p>
        </w:tc>
        <w:tc>
          <w:tcPr>
            <w:tcW w:type="dxa" w:w="3500"/>
            <w:shd w:fill="1F4E78" w:val="clear"/>
          </w:tcPr>
          <w:p>
            <w:r>
              <w:rPr>
                <w:b/>
                <w:bCs/>
                <w:color w:val="FFFFFF"/>
              </w:rPr>
              <w:t xml:space="preserve">Digital Form Handling Requirement</w:t>
            </w:r>
          </w:p>
        </w:tc>
      </w:tr>
      <w:tr>
        <w:tc>
          <w:tcPr>
            <w:tcW w:type="dxa" w:w="2400"/>
          </w:tcPr>
          <w:p>
            <w:r>
              <w:t xml:space="preserve">Multiple scratch-work lines in one Amount cell</w:t>
            </w:r>
          </w:p>
        </w:tc>
        <w:tc>
          <w:tcPr>
            <w:tcW w:type="dxa" w:w="3450"/>
          </w:tcPr>
          <w:p>
            <w:r>
              <w:t xml:space="preserve">Expenses Amount cell has 2–3 stacked calculation attempts (e.g. "526.8+588.5+120+100=1335.3" then "526.8+588.5=1115.3" then "20500/-") before the final Total Amt Expenses</w:t>
            </w:r>
          </w:p>
        </w:tc>
        <w:tc>
          <w:tcPr>
            <w:tcW w:type="dxa" w:w="3500"/>
          </w:tcPr>
          <w:p>
            <w:r>
              <w:t xml:space="preserve">Treat the row-level Amount as free-text/expression input (per 5.4.1); OCR/upload review step must let staff confirm which line is the intended final value rather than auto-summing every line</w:t>
            </w:r>
          </w:p>
        </w:tc>
      </w:tr>
      <w:tr>
        <w:tc>
          <w:tcPr>
            <w:tcW w:type="dxa" w:w="2400"/>
          </w:tcPr>
          <w:p>
            <w:r>
              <w:t xml:space="preserve">Hand corrections / overwrites</w:t>
            </w:r>
          </w:p>
        </w:tc>
        <w:tc>
          <w:tcPr>
            <w:tcW w:type="dxa" w:w="3450"/>
          </w:tcPr>
          <w:p>
            <w:r>
              <w:t xml:space="preserve">Gas Sale rate cell shows a struck-through value before the final rate; Oil Sale "Before Stock" digit appears overwritten</w:t>
            </w:r>
          </w:p>
        </w:tc>
        <w:tc>
          <w:tcPr>
            <w:tcW w:type="dxa" w:w="3500"/>
          </w:tcPr>
          <w:p>
            <w:r>
              <w:t xml:space="preserve">Manual Mode must allow easy inline correction pre-save; Upload Mode (OCR) must flag low-confidence / overwritten digits for human review rather than silently accepting the first reading</w:t>
            </w:r>
          </w:p>
        </w:tc>
      </w:tr>
      <w:tr>
        <w:tc>
          <w:tcPr>
            <w:tcW w:type="dxa" w:w="2400"/>
          </w:tcPr>
          <w:p>
            <w:r>
              <w:t xml:space="preserve">Free-text values in structured-looking fields</w:t>
            </w:r>
          </w:p>
        </w:tc>
        <w:tc>
          <w:tcPr>
            <w:tcW w:type="dxa" w:w="3450"/>
          </w:tcPr>
          <w:p>
            <w:r>
              <w:t xml:space="preserve">Card Type entered as "Xpower" (not a standard card brand); Oil item relabeled "B.Water" instead of "Acid Water"; Quantity written as "5L:1" / "1L:2" mixing unit and count</w:t>
            </w:r>
          </w:p>
        </w:tc>
        <w:tc>
          <w:tcPr>
            <w:tcW w:type="dxa" w:w="3500"/>
          </w:tcPr>
          <w:p>
            <w:r>
              <w:t xml:space="preserve">Card Type stays free text, not a fixed dropdown; Oil Sale item names remain editable rather than hard-coded; Quantity field accepts text, not just a plain number</w:t>
            </w:r>
          </w:p>
        </w:tc>
      </w:tr>
      <w:tr>
        <w:tc>
          <w:tcPr>
            <w:tcW w:type="dxa" w:w="2400"/>
          </w:tcPr>
          <w:p>
            <w:r>
              <w:t xml:space="preserve">Orphan / non-reconciling totals</w:t>
            </w:r>
          </w:p>
        </w:tc>
        <w:tc>
          <w:tcPr>
            <w:tcW w:type="dxa" w:w="3450"/>
          </w:tcPr>
          <w:p>
            <w:r>
              <w:t xml:space="preserve">"Total Amt − Old Credit Amt" filled with ₹16,900.09 even though the Old/Pending Credit table above it has no rows entered</w:t>
            </w:r>
          </w:p>
        </w:tc>
        <w:tc>
          <w:tcPr>
            <w:tcW w:type="dxa" w:w="3500"/>
          </w:tcPr>
          <w:p>
            <w:r>
              <w:t xml:space="preserve">Totals should auto-calculate from entered row data wherever possible; if a worker-entered total doesn't reconcile with its rows, the form should flag the mismatch rather than silently storing it</w:t>
            </w:r>
          </w:p>
        </w:tc>
      </w:tr>
      <w:tr>
        <w:tc>
          <w:tcPr>
            <w:tcW w:type="dxa" w:w="2400"/>
          </w:tcPr>
          <w:p>
            <w:r>
              <w:t xml:space="preserve">Missing key totals</w:t>
            </w:r>
          </w:p>
        </w:tc>
        <w:tc>
          <w:tcPr>
            <w:tcW w:type="dxa" w:w="3450"/>
          </w:tcPr>
          <w:p>
            <w:r>
              <w:t xml:space="preserve">Net Bal Hand-off left entirely blank on one sample; Gas Sale "Total Amt" cell blank while individual Diesel/Petrol amounts are filled on another</w:t>
            </w:r>
          </w:p>
        </w:tc>
        <w:tc>
          <w:tcPr>
            <w:tcW w:type="dxa" w:w="3500"/>
          </w:tcPr>
          <w:p>
            <w:r>
              <w:t xml:space="preserve">Every Total / Net Bal Hand-off field must be system-calculated (per Section 5 auto-calc logic already prototyped), so a skipped manual sum never blocks or delays submission</w:t>
            </w:r>
          </w:p>
        </w:tc>
      </w:tr>
      <w:tr>
        <w:tc>
          <w:tcPr>
            <w:tcW w:type="dxa" w:w="2400"/>
          </w:tcPr>
          <w:p>
            <w:r>
              <w:t xml:space="preserve">Pre-printed toggle corrected by hand</w:t>
            </w:r>
          </w:p>
        </w:tc>
        <w:tc>
          <w:tcPr>
            <w:tcW w:type="dxa" w:w="3450"/>
          </w:tcPr>
          <w:p>
            <w:r>
              <w:t xml:space="preserve">"Pump / Road Front / Office Front" line has one option struck through by hand to indicate the actual location</w:t>
            </w:r>
          </w:p>
        </w:tc>
        <w:tc>
          <w:tcPr>
            <w:tcW w:type="dxa" w:w="3500"/>
          </w:tcPr>
          <w:p>
            <w:r>
              <w:t xml:space="preserve">Confirms the Location field (Section 5.2) should remain a selectable toggle/dropdown in the digital form, removing the need for manual strike-through</w:t>
            </w:r>
          </w:p>
        </w:tc>
      </w:tr>
      <w:tr>
        <w:tc>
          <w:tcPr>
            <w:tcW w:type="dxa" w:w="2400"/>
          </w:tcPr>
          <w:p>
            <w:r>
              <w:t xml:space="preserve">Fully empty repeating sections</w:t>
            </w:r>
          </w:p>
        </w:tc>
        <w:tc>
          <w:tcPr>
            <w:tcW w:type="dxa" w:w="3450"/>
          </w:tcPr>
          <w:p>
            <w:r>
              <w:t xml:space="preserve">Credit Card Swiping table left completely blank (all dashes) on one sample; New Credits and Old Credit tables blank on both</w:t>
            </w:r>
          </w:p>
        </w:tc>
        <w:tc>
          <w:tcPr>
            <w:tcW w:type="dxa" w:w="3500"/>
          </w:tcPr>
          <w:p>
            <w:r>
              <w:t xml:space="preserve">Reconfirms the 5.4.1 requirement: all repeating-row sections must submit successfully with zero rows entered</w:t>
            </w:r>
          </w:p>
        </w:tc>
      </w:tr>
    </w:tbl>
    <w:p>
      <w:pPr>
        <w:spacing w:after="120" w:before="120"/>
      </w:pPr>
      <w:r>
        <w:rPr>
          <w:i/>
          <w:iCs/>
        </w:rPr>
        <w:t xml:space="preserve">These scenarios should be carried into the System Design &amp; Architecture document as concrete Upload Mode (OCR) and Manual Mode validation test cases, alongside the confirmed field structure in Section 5.4.1.</w:t>
      </w:r>
    </w:p>
    <w:p>
      <w:pPr>
        <w:pStyle w:val="Heading1"/>
        <w:spacing w:after="150" w:before="300"/>
      </w:pPr>
      <w:r>
        <w:t xml:space="preserve">9. Open Items for Next Phase (Design)</w:t>
      </w:r>
    </w:p>
    <w:p>
      <w:pPr>
        <w:spacing w:after="60"/>
      </w:pPr>
      <w:r>
        <w:t xml:space="preserve">☑ Confirm OCR/handwriting-recognition engine for scanned form translation — CONFIRMED: Tesseract OCR (open-source). Note: Tesseract processes uploaded image/PDF files directly — it is not tied to any scanner/printer brand, so it works the same regardless of whether the form was scanned on the attached HP printer or any other device; up to two scanned forms per shift (one per pump sales man) will be converted into two separate digital Daily Sales Entry records (see Section 5.4). Caveat: Tesseract is optimized for printed/typed text; accuracy on handwritten entries (as seen in the sample forms, Section 8) will be lower and should be validated during the design/prototype phase — a human review step before final save is recommended for Upload Mode regardless of engine choice</w:t>
      </w:r>
    </w:p>
    <w:p>
      <w:pPr>
        <w:spacing w:after="60"/>
      </w:pPr>
      <w:r>
        <w:t xml:space="preserve">☑ Confirm exact fields/columns on the printed Daily Sales Report (attach sample) — CONFIRMED: four handwritten sample copies received across Pump/Road Front and Office Front shifts (28–30 Jul 2026); exact field structure documented in Section 5.4.1, with real-world edge cases captured in Section 8</w:t>
      </w:r>
    </w:p>
    <w:p>
      <w:pPr>
        <w:spacing w:after="60"/>
      </w:pPr>
      <w:r>
        <w:t xml:space="preserve">☑ Confirm installer strategy (single .exe vs. Python + SQLite prerequisite installer) — CONFIRMED: single packaged .exe installer (default/recommended approach), bundling Python and SQLite so the pump-side machine needs no separate prerequisite installation</w:t>
      </w:r>
    </w:p>
    <w:p>
      <w:pPr>
        <w:spacing w:after="60"/>
      </w:pPr>
      <w:r>
        <w:t xml:space="preserve">☑ Confirm CI/CD hosting (GitHub Actions runner, target OS for build) — CONFIRMED: GitHub-hosted Actions runner, targeting windows-latest to match the single .exe installer strategy (Section 9)</w:t>
      </w:r>
    </w:p>
    <w:p>
      <w:pPr>
        <w:spacing w:after="60"/>
      </w:pPr>
      <w:r>
        <w:t xml:space="preserve">☑ Define Telugu translation source (static labels vs. dynamic translation service) — CONFIRMED: static labels, switched instantly the moment the user toggles the language selector on the form (client-side, pre-translated field/section labels — no dynamic/external translation service call)</w:t>
      </w:r>
    </w:p>
    <w:p>
      <w:pPr>
        <w:spacing w:after="60"/>
      </w:pPr>
      <w:r>
        <w:t xml:space="preserve">☑ Confirm Daily Trial Balance Module structure (Section 5.8) — CONFIRMED against sample workbook (GAS_STATION_-27-07-26.xlsx); duplicate sections vs. Daily Sales Report identified for elimination. Remaining: exact field naming, roles, and Upload vs. Manual entry mode for the design phase</w:t>
      </w:r>
    </w:p>
    <w:p>
      <w:pPr>
        <w:spacing w:after="60"/>
      </w:pPr>
      <w:r>
        <w:t xml:space="preserve">☑ Gather core field requirements for the Old Credit Accounts Tracking Module (Section 5.9) — CONFIRMED: New Credit Entry fields (Creditor Name, Type, In Ltrs, Rate, Amount, Signature) and Repayment/Settlement fields (Payment Credited, Payment Collected By). Remaining: running-balance/aging view, partial-repayment handling, and role permissions — to be finalized in the design phase</w:t>
      </w:r>
    </w:p>
    <w:p>
      <w:pPr>
        <w:spacing w:before="300"/>
      </w:pPr>
      <w:r>
        <w:t xml:space="preserve">Prepared for requirement-gathering phase. Once confirmed, this feeds into the System Design &amp; Architecture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2026-07-29T23:51:21.592Z</dcterms:created>
  <dcterms:modified xsi:type="dcterms:W3CDTF">2026-07-29T23:51:21.619Z</dcterms:modified>
</cp:coreProperties>
</file>

<file path=docProps/custom.xml><?xml version="1.0" encoding="utf-8"?>
<Properties xmlns="http://schemas.openxmlformats.org/officeDocument/2006/custom-properties" xmlns:vt="http://schemas.openxmlformats.org/officeDocument/2006/docPropsVTypes"/>
</file>