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C63"/>
          <w:sz w:val="32"/>
        </w:rPr>
        <w:t>Daily Trial Balance — notes for preparing each new day</w:t>
      </w:r>
    </w:p>
    <w:p>
      <w:pPr>
        <w:spacing w:after="200"/>
      </w:pPr>
      <w:r>
        <w:rPr>
          <w:i w:val="0"/>
          <w:color w:val="555555"/>
          <w:sz w:val="19"/>
        </w:rPr>
        <w:t>SVR Indian Oil Service Station, Ponnur    ·    file: Trail_balance_SEP12-onwards.xlsx</w:t>
      </w:r>
    </w:p>
    <w:p>
      <w:pPr>
        <w:spacing w:after="80"/>
      </w:pPr>
      <w:r>
        <w:rPr>
          <w:i w:val="0"/>
          <w:sz w:val="21"/>
        </w:rPr>
        <w:t>SEP14 has already been prepared for you — everything below is done on that tab. Use these notes when you create SEP15 and the days after it.</w:t>
      </w:r>
    </w:p>
    <w:p>
      <w:pPr>
        <w:spacing w:before="240" w:after="60"/>
      </w:pPr>
      <w:r>
        <w:rPr>
          <w:b/>
          <w:color w:val="0B3C63"/>
          <w:sz w:val="23"/>
        </w:rPr>
        <w:t>1.  Three cells must be re-pointed to yesterday</w:t>
      </w:r>
    </w:p>
    <w:p>
      <w:pPr>
        <w:spacing w:after="80"/>
      </w:pPr>
      <w:r>
        <w:rPr>
          <w:i w:val="0"/>
          <w:sz w:val="21"/>
        </w:rPr>
        <w:t>Copy yesterday's tab, rename it, then change these three. Excel does NOT do this for you when a sheet is copied — the formulas keep pointing at the old day.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Cell</w:t>
            </w:r>
          </w:p>
        </w:tc>
        <w:tc>
          <w:tcPr>
            <w:tcW w:type="dxa" w:w="2880"/>
          </w:tcPr>
          <w:p>
            <w:r/>
            <w:r>
              <w:rPr>
                <w:b/>
                <w:sz w:val="19"/>
              </w:rPr>
              <w:t>On SEP15 it must read</w:t>
            </w:r>
          </w:p>
        </w:tc>
        <w:tc>
          <w:tcPr>
            <w:tcW w:type="dxa" w:w="2880"/>
          </w:tcPr>
          <w:p>
            <w:r/>
            <w:r>
              <w:rPr>
                <w:b/>
                <w:sz w:val="19"/>
              </w:rPr>
              <w:t>What it is</w:t>
            </w:r>
          </w:p>
        </w:tc>
      </w:tr>
      <w:tr>
        <w:tc>
          <w:tcPr>
            <w:tcW w:type="dxa" w:w="2880"/>
          </w:tcPr>
          <w:p>
            <w:r/>
            <w:r>
              <w:rPr>
                <w:b/>
                <w:sz w:val="19"/>
              </w:rPr>
              <w:t>D49</w:t>
            </w:r>
          </w:p>
        </w:tc>
        <w:tc>
          <w:tcPr>
            <w:tcW w:type="dxa" w:w="2880"/>
          </w:tcPr>
          <w:p>
            <w:r/>
            <w:r>
              <w:rPr>
                <w:sz w:val="19"/>
              </w:rPr>
              <w:t>='SEP14'!D52</w:t>
            </w:r>
          </w:p>
        </w:tc>
        <w:tc>
          <w:tcPr>
            <w:tcW w:type="dxa" w:w="2880"/>
          </w:tcPr>
          <w:p>
            <w:r/>
            <w:r>
              <w:rPr>
                <w:sz w:val="19"/>
              </w:rPr>
              <w:t>Yesterday's Cash/Book value</w:t>
            </w:r>
          </w:p>
        </w:tc>
      </w:tr>
      <w:tr>
        <w:tc>
          <w:tcPr>
            <w:tcW w:type="dxa" w:w="2880"/>
          </w:tcPr>
          <w:p>
            <w:r/>
            <w:r>
              <w:rPr>
                <w:b/>
                <w:sz w:val="19"/>
              </w:rPr>
              <w:t>D76</w:t>
            </w:r>
          </w:p>
        </w:tc>
        <w:tc>
          <w:tcPr>
            <w:tcW w:type="dxa" w:w="2880"/>
          </w:tcPr>
          <w:p>
            <w:r/>
            <w:r>
              <w:rPr>
                <w:sz w:val="19"/>
              </w:rPr>
              <w:t>='SEP14'!D80</w:t>
            </w:r>
          </w:p>
        </w:tc>
        <w:tc>
          <w:tcPr>
            <w:tcW w:type="dxa" w:w="2880"/>
          </w:tcPr>
          <w:p>
            <w:r/>
            <w:r>
              <w:rPr>
                <w:sz w:val="19"/>
              </w:rPr>
              <w:t>Yesterday's Actual Reported Trial Balance</w:t>
            </w:r>
          </w:p>
        </w:tc>
      </w:tr>
      <w:tr>
        <w:tc>
          <w:tcPr>
            <w:tcW w:type="dxa" w:w="2880"/>
          </w:tcPr>
          <w:p>
            <w:r/>
            <w:r>
              <w:rPr>
                <w:b/>
                <w:sz w:val="19"/>
              </w:rPr>
              <w:t>D97</w:t>
            </w:r>
          </w:p>
        </w:tc>
        <w:tc>
          <w:tcPr>
            <w:tcW w:type="dxa" w:w="2880"/>
          </w:tcPr>
          <w:p>
            <w:r/>
            <w:r>
              <w:rPr>
                <w:sz w:val="19"/>
              </w:rPr>
              <w:t>='SEP14'!D80</w:t>
            </w:r>
          </w:p>
        </w:tc>
        <w:tc>
          <w:tcPr>
            <w:tcW w:type="dxa" w:w="2880"/>
          </w:tcPr>
          <w:p>
            <w:r/>
            <w:r>
              <w:rPr>
                <w:sz w:val="19"/>
              </w:rPr>
              <w:t>The same figure, repeated in Section 8</w:t>
            </w:r>
          </w:p>
        </w:tc>
      </w:tr>
    </w:tbl>
    <w:p>
      <w:pPr>
        <w:spacing w:after="40"/>
      </w:pPr>
      <w:r>
        <w:rPr>
          <w:i w:val="0"/>
          <w:color w:val="A83220"/>
          <w:sz w:val="21"/>
        </w:rPr>
        <w:t>D76 is the important one. If it points at the wrong day, the whole trial balance is built on the wrong opening figure and every day after it is wrong too.</w:t>
      </w:r>
    </w:p>
    <w:p>
      <w:pPr>
        <w:spacing w:after="80"/>
      </w:pPr>
      <w:r>
        <w:rPr>
          <w:i w:val="0"/>
          <w:color w:val="555555"/>
          <w:sz w:val="19"/>
        </w:rPr>
        <w:t>Nothing else in the sheet needs re-pointing — every other formula moves with the copy on its own.</w:t>
      </w:r>
    </w:p>
    <w:p>
      <w:pPr>
        <w:spacing w:before="240" w:after="60"/>
      </w:pPr>
      <w:r>
        <w:rPr>
          <w:b/>
          <w:color w:val="0B3C63"/>
          <w:sz w:val="23"/>
        </w:rPr>
        <w:t>2.  Six figures are copied from yesterday — nothing else</w:t>
      </w:r>
    </w:p>
    <w:p>
      <w:pPr>
        <w:spacing w:after="80"/>
      </w:pPr>
      <w:r>
        <w:rPr>
          <w:i w:val="0"/>
          <w:sz w:val="21"/>
        </w:rPr>
        <w:t>Type yesterday's closing figure into today's opening cell. Do not round them and do not re-read them from the pump; they must match yesterday exactly.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Copy from yesterday</w:t>
            </w:r>
          </w:p>
        </w:tc>
        <w:tc>
          <w:tcPr>
            <w:tcW w:type="dxa" w:w="2880"/>
          </w:tcPr>
          <w:p>
            <w:r/>
            <w:r>
              <w:rPr>
                <w:b/>
                <w:sz w:val="19"/>
              </w:rPr>
              <w:t>Into today</w:t>
            </w:r>
          </w:p>
        </w:tc>
        <w:tc>
          <w:tcPr>
            <w:tcW w:type="dxa" w:w="2880"/>
          </w:tcPr>
          <w:p>
            <w:r/>
            <w:r>
              <w:rPr>
                <w:b/>
                <w:sz w:val="19"/>
              </w:rPr>
              <w:t>What it is</w:t>
            </w:r>
          </w:p>
        </w:tc>
      </w:tr>
      <w:tr>
        <w:tc>
          <w:tcPr>
            <w:tcW w:type="dxa" w:w="2880"/>
          </w:tcPr>
          <w:p>
            <w:r/>
            <w:r>
              <w:rPr>
                <w:b/>
                <w:sz w:val="19"/>
              </w:rPr>
              <w:t>C3  and  C4</w:t>
            </w:r>
          </w:p>
        </w:tc>
        <w:tc>
          <w:tcPr>
            <w:tcW w:type="dxa" w:w="2880"/>
          </w:tcPr>
          <w:p>
            <w:r/>
            <w:r>
              <w:rPr>
                <w:sz w:val="19"/>
              </w:rPr>
              <w:t>B3  and  B4</w:t>
            </w:r>
          </w:p>
        </w:tc>
        <w:tc>
          <w:tcPr>
            <w:tcW w:type="dxa" w:w="2880"/>
          </w:tcPr>
          <w:p>
            <w:r/>
            <w:r>
              <w:rPr>
                <w:sz w:val="19"/>
              </w:rPr>
              <w:t>IOCL Current becomes IOCL Last</w:t>
            </w:r>
          </w:p>
        </w:tc>
      </w:tr>
      <w:tr>
        <w:tc>
          <w:tcPr>
            <w:tcW w:type="dxa" w:w="2880"/>
          </w:tcPr>
          <w:p>
            <w:r/>
            <w:r>
              <w:rPr>
                <w:b/>
                <w:sz w:val="19"/>
              </w:rPr>
              <w:t>B7  and  B8</w:t>
            </w:r>
          </w:p>
        </w:tc>
        <w:tc>
          <w:tcPr>
            <w:tcW w:type="dxa" w:w="2880"/>
          </w:tcPr>
          <w:p>
            <w:r/>
            <w:r>
              <w:rPr>
                <w:sz w:val="19"/>
              </w:rPr>
              <w:t>C7  and  C8</w:t>
            </w:r>
          </w:p>
        </w:tc>
        <w:tc>
          <w:tcPr>
            <w:tcW w:type="dxa" w:w="2880"/>
          </w:tcPr>
          <w:p>
            <w:r/>
            <w:r>
              <w:rPr>
                <w:sz w:val="19"/>
              </w:rPr>
              <w:t>Office pump Current becomes Last Reading</w:t>
            </w:r>
          </w:p>
        </w:tc>
      </w:tr>
      <w:tr>
        <w:tc>
          <w:tcPr>
            <w:tcW w:type="dxa" w:w="2880"/>
          </w:tcPr>
          <w:p>
            <w:r/>
            <w:r>
              <w:rPr>
                <w:b/>
                <w:sz w:val="19"/>
              </w:rPr>
              <w:t>B11 and B12</w:t>
            </w:r>
          </w:p>
        </w:tc>
        <w:tc>
          <w:tcPr>
            <w:tcW w:type="dxa" w:w="2880"/>
          </w:tcPr>
          <w:p>
            <w:r/>
            <w:r>
              <w:rPr>
                <w:sz w:val="19"/>
              </w:rPr>
              <w:t>C11 and C12</w:t>
            </w:r>
          </w:p>
        </w:tc>
        <w:tc>
          <w:tcPr>
            <w:tcW w:type="dxa" w:w="2880"/>
          </w:tcPr>
          <w:p>
            <w:r/>
            <w:r>
              <w:rPr>
                <w:sz w:val="19"/>
              </w:rPr>
              <w:t>Road pump Current becomes Last Reading</w:t>
            </w:r>
          </w:p>
        </w:tc>
      </w:tr>
      <w:tr>
        <w:tc>
          <w:tcPr>
            <w:tcW w:type="dxa" w:w="2880"/>
          </w:tcPr>
          <w:p>
            <w:r/>
            <w:r>
              <w:rPr>
                <w:b/>
                <w:sz w:val="19"/>
              </w:rPr>
              <w:t>E19 to E25</w:t>
            </w:r>
          </w:p>
        </w:tc>
        <w:tc>
          <w:tcPr>
            <w:tcW w:type="dxa" w:w="2880"/>
          </w:tcPr>
          <w:p>
            <w:r/>
            <w:r>
              <w:rPr>
                <w:sz w:val="19"/>
              </w:rPr>
              <w:t>D19 to D25</w:t>
            </w:r>
          </w:p>
        </w:tc>
        <w:tc>
          <w:tcPr>
            <w:tcW w:type="dxa" w:w="2880"/>
          </w:tcPr>
          <w:p>
            <w:r/>
            <w:r>
              <w:rPr>
                <w:sz w:val="19"/>
              </w:rPr>
              <w:t>Oil Closing Stock becomes Opening Stock</w:t>
            </w:r>
          </w:p>
        </w:tc>
      </w:tr>
    </w:tbl>
    <w:p>
      <w:pPr>
        <w:spacing w:before="240" w:after="60"/>
      </w:pPr>
      <w:r>
        <w:rPr>
          <w:b/>
          <w:color w:val="0B3C63"/>
          <w:sz w:val="23"/>
        </w:rPr>
        <w:t>3.  Oil Sale(s) — the stock must follow the product, not the row</w:t>
      </w:r>
    </w:p>
    <w:p>
      <w:pPr>
        <w:pStyle w:val="ListBullet"/>
        <w:spacing w:after="40"/>
      </w:pPr>
      <w:r>
        <w:rPr>
          <w:b/>
        </w:rPr>
        <w:t xml:space="preserve">Opening Stock.  </w:t>
      </w:r>
      <w:r>
        <w:t>Opening Stock (D19:D25) is always yesterday's Closing Stock (E19:E25). Never count the tins again and never type a rounded figure.</w:t>
      </w:r>
    </w:p>
    <w:p>
      <w:pPr>
        <w:pStyle w:val="ListBullet"/>
        <w:spacing w:after="40"/>
      </w:pPr>
      <w:r>
        <w:rPr>
          <w:b/>
        </w:rPr>
        <w:t xml:space="preserve">Quantity.  </w:t>
      </w:r>
      <w:r>
        <w:t>Only the Quantity sold (B19:B25) is entered each day. Closing Stock calculates itself.</w:t>
      </w:r>
    </w:p>
    <w:p>
      <w:pPr>
        <w:pStyle w:val="ListBullet"/>
        <w:spacing w:after="40"/>
      </w:pPr>
      <w:r>
        <w:rPr>
          <w:b/>
        </w:rPr>
        <w:t xml:space="preserve">Names and order.  </w:t>
      </w:r>
      <w:r>
        <w:t>Do not rename, reorder, insert or delete an oil row. The seven names now match the Daily Sales Report form exactly. If a name is changed, the stock carried into the next day follows the wrong product — this is what went wrong between 11 and 12 September, when 29 units moved from 2T/1.50 to 2T/2.40 by accident.</w:t>
      </w:r>
    </w:p>
    <w:p>
      <w:pPr>
        <w:pStyle w:val="ListBullet"/>
        <w:spacing w:after="40"/>
      </w:pPr>
      <w:r>
        <w:rPr>
          <w:b/>
        </w:rPr>
        <w:t xml:space="preserve">A new oil product.  </w:t>
      </w:r>
      <w:r>
        <w:t>Tell the office first. A new product needs adding to every form and to the app, not only to this sheet.</w:t>
      </w:r>
    </w:p>
    <w:p>
      <w:pPr>
        <w:spacing w:before="240" w:after="60"/>
      </w:pPr>
      <w:r>
        <w:rPr>
          <w:b/>
          <w:color w:val="0B3C63"/>
          <w:sz w:val="23"/>
        </w:rPr>
        <w:t>4.  Never type over a calculated cell</w:t>
      </w:r>
    </w:p>
    <w:p>
      <w:pPr>
        <w:spacing w:after="80"/>
      </w:pPr>
      <w:r>
        <w:rPr>
          <w:i w:val="0"/>
          <w:sz w:val="21"/>
        </w:rPr>
        <w:t>These cells work them out for themselves. If you type a number into one, it stops calculating — and it will not correct itself when you fix the figures underneath it.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Section</w:t>
            </w:r>
          </w:p>
        </w:tc>
        <w:tc>
          <w:tcPr>
            <w:tcW w:type="dxa" w:w="4320"/>
          </w:tcPr>
          <w:p>
            <w:r/>
            <w:r>
              <w:rPr>
                <w:b/>
                <w:sz w:val="19"/>
              </w:rPr>
              <w:t>Calculated — leave alone</w:t>
            </w:r>
          </w:p>
        </w:tc>
      </w:tr>
      <w:tr>
        <w:tc>
          <w:tcPr>
            <w:tcW w:type="dxa" w:w="4320"/>
          </w:tcPr>
          <w:p>
            <w:r/>
            <w:r>
              <w:rPr>
                <w:b/>
                <w:sz w:val="19"/>
              </w:rPr>
              <w:t>1. IOCL Stock Readings</w:t>
            </w:r>
          </w:p>
        </w:tc>
        <w:tc>
          <w:tcPr>
            <w:tcW w:type="dxa" w:w="4320"/>
          </w:tcPr>
          <w:p>
            <w:r/>
            <w:r>
              <w:rPr>
                <w:sz w:val="19"/>
              </w:rPr>
              <w:t>D3 E3 F3 G3 H3  ·  D4 E4 F4 G4 H4 I4 J4 K4</w:t>
            </w:r>
          </w:p>
        </w:tc>
      </w:tr>
      <w:tr>
        <w:tc>
          <w:tcPr>
            <w:tcW w:type="dxa" w:w="4320"/>
          </w:tcPr>
          <w:p>
            <w:r/>
            <w:r>
              <w:rPr>
                <w:b/>
                <w:sz w:val="19"/>
              </w:rPr>
              <w:t>2. Day Sales Report</w:t>
            </w:r>
          </w:p>
        </w:tc>
        <w:tc>
          <w:tcPr>
            <w:tcW w:type="dxa" w:w="4320"/>
          </w:tcPr>
          <w:p>
            <w:r/>
            <w:r>
              <w:rPr>
                <w:sz w:val="19"/>
              </w:rPr>
              <w:t>D7 F7 D8 F8 F9  ·  D11 F11 D12 F12 F13  ·  B15 C15 D15 F15  ·  B16 C16 D16 F16 F17</w:t>
            </w:r>
          </w:p>
        </w:tc>
      </w:tr>
      <w:tr>
        <w:tc>
          <w:tcPr>
            <w:tcW w:type="dxa" w:w="4320"/>
          </w:tcPr>
          <w:p>
            <w:r/>
            <w:r>
              <w:rPr>
                <w:b/>
                <w:sz w:val="19"/>
              </w:rPr>
              <w:t>2.1 Oil Sales</w:t>
            </w:r>
          </w:p>
        </w:tc>
        <w:tc>
          <w:tcPr>
            <w:tcW w:type="dxa" w:w="4320"/>
          </w:tcPr>
          <w:p>
            <w:r/>
            <w:r>
              <w:rPr>
                <w:sz w:val="19"/>
              </w:rPr>
              <w:t>E19:E25 (Closing)  ·  F19:F25 (Amount)  ·  F26  ·  E27</w:t>
            </w:r>
          </w:p>
        </w:tc>
      </w:tr>
      <w:tr>
        <w:tc>
          <w:tcPr>
            <w:tcW w:type="dxa" w:w="4320"/>
          </w:tcPr>
          <w:p>
            <w:r/>
            <w:r>
              <w:rPr>
                <w:b/>
                <w:sz w:val="19"/>
              </w:rPr>
              <w:t>3. Daily Cash &amp; Bank</w:t>
            </w:r>
          </w:p>
        </w:tc>
        <w:tc>
          <w:tcPr>
            <w:tcW w:type="dxa" w:w="4320"/>
          </w:tcPr>
          <w:p>
            <w:r/>
            <w:r>
              <w:rPr>
                <w:sz w:val="19"/>
              </w:rPr>
              <w:t>B34  D35  D41  D47</w:t>
            </w:r>
          </w:p>
        </w:tc>
      </w:tr>
      <w:tr>
        <w:tc>
          <w:tcPr>
            <w:tcW w:type="dxa" w:w="4320"/>
          </w:tcPr>
          <w:p>
            <w:r/>
            <w:r>
              <w:rPr>
                <w:b/>
                <w:sz w:val="19"/>
              </w:rPr>
              <w:t>4. Cash/Book</w:t>
            </w:r>
          </w:p>
        </w:tc>
        <w:tc>
          <w:tcPr>
            <w:tcW w:type="dxa" w:w="4320"/>
          </w:tcPr>
          <w:p>
            <w:r/>
            <w:r>
              <w:rPr>
                <w:sz w:val="19"/>
              </w:rPr>
              <w:t>D49  D51  D52  D53  F54  F56</w:t>
            </w:r>
          </w:p>
        </w:tc>
      </w:tr>
      <w:tr>
        <w:tc>
          <w:tcPr>
            <w:tcW w:type="dxa" w:w="4320"/>
          </w:tcPr>
          <w:p>
            <w:r/>
            <w:r>
              <w:rPr>
                <w:b/>
                <w:sz w:val="19"/>
              </w:rPr>
              <w:t>5. Stock Value</w:t>
            </w:r>
          </w:p>
        </w:tc>
        <w:tc>
          <w:tcPr>
            <w:tcW w:type="dxa" w:w="4320"/>
          </w:tcPr>
          <w:p>
            <w:r/>
            <w:r>
              <w:rPr>
                <w:sz w:val="19"/>
              </w:rPr>
              <w:t>B67 D67  ·  B68 D68  ·  D69</w:t>
            </w:r>
          </w:p>
        </w:tc>
      </w:tr>
      <w:tr>
        <w:tc>
          <w:tcPr>
            <w:tcW w:type="dxa" w:w="4320"/>
          </w:tcPr>
          <w:p>
            <w:r/>
            <w:r>
              <w:rPr>
                <w:b/>
                <w:sz w:val="19"/>
              </w:rPr>
              <w:t>6 / 7. Trial Balance</w:t>
            </w:r>
          </w:p>
        </w:tc>
        <w:tc>
          <w:tcPr>
            <w:tcW w:type="dxa" w:w="4320"/>
          </w:tcPr>
          <w:p>
            <w:r/>
            <w:r>
              <w:rPr>
                <w:sz w:val="19"/>
              </w:rPr>
              <w:t>D72 D73 D74  ·  D76 D77 D78 D79 D80</w:t>
            </w:r>
          </w:p>
        </w:tc>
      </w:tr>
      <w:tr>
        <w:tc>
          <w:tcPr>
            <w:tcW w:type="dxa" w:w="4320"/>
          </w:tcPr>
          <w:p>
            <w:r/>
            <w:r>
              <w:rPr>
                <w:b/>
                <w:sz w:val="19"/>
              </w:rPr>
              <w:t>8. Mgmt Reporting</w:t>
            </w:r>
          </w:p>
        </w:tc>
        <w:tc>
          <w:tcPr>
            <w:tcW w:type="dxa" w:w="4320"/>
          </w:tcPr>
          <w:p>
            <w:r/>
            <w:r>
              <w:rPr>
                <w:sz w:val="19"/>
              </w:rPr>
              <w:t>D82:D86  ·  D95:D102</w:t>
            </w:r>
          </w:p>
        </w:tc>
      </w:tr>
      <w:tr>
        <w:tc>
          <w:tcPr>
            <w:tcW w:type="dxa" w:w="4320"/>
          </w:tcPr>
          <w:p>
            <w:r/>
            <w:r>
              <w:rPr>
                <w:b/>
                <w:sz w:val="19"/>
              </w:rPr>
              <w:t>10. Load/Unload</w:t>
            </w:r>
          </w:p>
        </w:tc>
        <w:tc>
          <w:tcPr>
            <w:tcW w:type="dxa" w:w="4320"/>
          </w:tcPr>
          <w:p>
            <w:r/>
            <w:r>
              <w:rPr>
                <w:sz w:val="19"/>
              </w:rPr>
              <w:t>F133 G133  ·  F134 G134</w:t>
            </w:r>
          </w:p>
        </w:tc>
      </w:tr>
    </w:tbl>
    <w:p>
      <w:pPr>
        <w:spacing w:after="80"/>
      </w:pPr>
      <w:r>
        <w:rPr>
          <w:i w:val="0"/>
          <w:color w:val="555555"/>
          <w:sz w:val="19"/>
        </w:rPr>
        <w:t>What you do type each day: C3 C4 · B7 B8 B11 B12 · B19:B25 · B29:B33 · D36:D40 · D43:D46 · D50 · D55:D58 (and F55 if the bank returned money) · D60:D62 · D88:D90 · C93 · D103:D105 · B133:E134 · B138 B139, and the new row in Section 9.</w:t>
      </w:r>
    </w:p>
    <w:p>
      <w:pPr>
        <w:spacing w:before="240" w:after="60"/>
      </w:pPr>
      <w:r>
        <w:rPr>
          <w:b/>
          <w:color w:val="0B3C63"/>
          <w:sz w:val="23"/>
        </w:rPr>
        <w:t>5.  Before you send the day out</w:t>
      </w:r>
    </w:p>
    <w:p>
      <w:pPr>
        <w:pStyle w:val="ListBullet"/>
        <w:spacing w:after="40"/>
      </w:pPr>
      <w:r>
        <w:rPr>
          <w:b/>
        </w:rPr>
        <w:t xml:space="preserve">Trial Balance difference (D86).  </w:t>
      </w:r>
      <w:r>
        <w:t>Call the office if it is over Rs 50.</w:t>
      </w:r>
    </w:p>
    <w:p>
      <w:pPr>
        <w:pStyle w:val="ListBullet"/>
        <w:spacing w:after="40"/>
      </w:pPr>
      <w:r>
        <w:rPr>
          <w:b/>
        </w:rPr>
        <w:t xml:space="preserve">Actual Reported SVR Net Worth (D100).  </w:t>
      </w:r>
      <w:r>
        <w:t>Call the office if it is NEGATIVE by any amount.</w:t>
      </w:r>
    </w:p>
    <w:p>
      <w:pPr>
        <w:pStyle w:val="ListBullet"/>
        <w:spacing w:after="40"/>
      </w:pPr>
      <w:r>
        <w:rPr>
          <w:b/>
        </w:rPr>
        <w:t xml:space="preserve">Consumption gap.  </w:t>
      </w:r>
      <w:r>
        <w:t>The pumps and the tank should not disagree by more than about 40 litres. 15 to 25 litres is normal here.</w:t>
      </w:r>
    </w:p>
    <w:p>
      <w:pPr>
        <w:pStyle w:val="ListBullet"/>
        <w:spacing w:after="40"/>
      </w:pPr>
      <w:r>
        <w:rPr>
          <w:b/>
        </w:rPr>
        <w:t xml:space="preserve">The two carry-forward figures.  </w:t>
      </w:r>
      <w:r>
        <w:t>D52 becomes tomorrow's D49, and D80 becomes tomorrow's D76. Check both read sensibly before the day goes out.</w:t>
      </w:r>
    </w:p>
    <w:p>
      <w:pPr>
        <w:spacing w:after="80"/>
      </w:pPr>
      <w:r>
        <w:rPr>
          <w:i/>
          <w:color w:val="555555"/>
          <w:sz w:val="19"/>
        </w:rPr>
        <w:t>The sheet's own printed notes at E53, E86 and E95 still read Rs 100. Go by Rs 50 — that is the current limit.</w:t>
      </w:r>
    </w:p>
    <w:p>
      <w:pPr>
        <w:spacing w:before="240" w:after="60"/>
      </w:pPr>
      <w:r>
        <w:rPr>
          <w:b/>
          <w:color w:val="0B3C63"/>
          <w:sz w:val="23"/>
        </w:rPr>
        <w:t>6.  Two things that are correct but look wrong</w:t>
      </w:r>
    </w:p>
    <w:p>
      <w:pPr>
        <w:pStyle w:val="ListBullet"/>
        <w:spacing w:after="40"/>
      </w:pPr>
      <w:r>
        <w:rPr>
          <w:b/>
        </w:rPr>
        <w:t xml:space="preserve">Cash/Book difference (D53).  </w:t>
      </w:r>
      <w:r>
        <w:t>On 12 September this reads 8,516.15, which is the money Yes Bank sent back. F55 records the return and F56 shows the true figure of −9.80. Always read F56 on a day that had a bank return.</w:t>
      </w:r>
    </w:p>
    <w:p>
      <w:pPr>
        <w:pStyle w:val="ListBullet"/>
        <w:spacing w:after="40"/>
      </w:pPr>
      <w:r>
        <w:rPr>
          <w:b/>
        </w:rPr>
        <w:t xml:space="preserve">Trial Balance difference (D79).  </w:t>
      </w:r>
      <w:r>
        <w:t>This is never near zero. It always carries the day's expenses and about Rs 33.75 of testing margin. On 13 September it was 672.90, and that was correct. What actually matters is the gap in litres between what the pumps sold and what the tank shows (K4), not the rupee figure.</w:t>
      </w:r>
    </w:p>
    <w:p/>
    <w:p>
      <w:pPr>
        <w:jc w:val="center"/>
      </w:pPr>
      <w:r>
        <w:rPr>
          <w:i/>
          <w:color w:val="555555"/>
          <w:sz w:val="19"/>
        </w:rPr>
        <w:t>Questions on any of this — ask the office before changing the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