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28"/>
        </w:rPr>
        <w:t>SIMATS ENGINEERING – ASSESSMENT TOOL 1</w:t>
      </w:r>
    </w:p>
    <w:p>
      <w:pPr>
        <w:jc w:val="center"/>
      </w:pPr>
      <w:r>
        <w:rPr>
          <w:i/>
          <w:sz w:val="20"/>
        </w:rPr>
        <w:t>Course: Artificial Intelligence (CSA17) | CO4: ML Techniques | Slot D | Marks: 40 | Duration: 1 Hour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1F2"/>
          </w:tcPr>
          <w:p>
            <w:r>
              <w:rPr>
                <w:b/>
                <w:sz w:val="18"/>
              </w:rPr>
              <w:t>Course Outcome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CO4: Implement ML techniques including decision trees, reinforcement learning, and classification models (BL3)</w:t>
            </w:r>
          </w:p>
        </w:tc>
      </w:tr>
      <w:tr>
        <w:tc>
          <w:tcPr>
            <w:tcW w:type="dxa" w:w="5270"/>
            <w:shd w:fill="D9E1F2"/>
          </w:tcPr>
          <w:p>
            <w:r>
              <w:rPr>
                <w:b/>
                <w:sz w:val="18"/>
              </w:rPr>
              <w:t>Weightage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50% of course grade</w:t>
            </w:r>
          </w:p>
        </w:tc>
      </w:tr>
      <w:tr>
        <w:tc>
          <w:tcPr>
            <w:tcW w:type="dxa" w:w="5270"/>
            <w:shd w:fill="D9E1F2"/>
          </w:tcPr>
          <w:p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 Tasks per student | 10 Unique Industry Scenarios | 40 Students</w:t>
            </w:r>
          </w:p>
        </w:tc>
      </w:tr>
      <w:tr>
        <w:tc>
          <w:tcPr>
            <w:tcW w:type="dxa" w:w="5270"/>
            <w:shd w:fill="D9E1F2"/>
          </w:tcPr>
          <w:p>
            <w:r>
              <w:rPr>
                <w:b/>
                <w:sz w:val="18"/>
              </w:rPr>
              <w:t>Code of Conduct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Annexure A – Academic Integrity Certification Required</w:t>
            </w:r>
          </w:p>
        </w:tc>
      </w:tr>
    </w:tbl>
    <w:p/>
    <w:p>
      <w:pPr>
        <w:spacing w:after="40" w:before="60"/>
      </w:pPr>
      <w:r>
        <w:rPr>
          <w:b/>
          <w:color w:val="1F4E78"/>
          <w:sz w:val="24"/>
        </w:rPr>
        <w:t>10 UNIQUE INDUSTRY SCENARIOS (Mapped to 40 Students)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8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35"/>
            <w:shd w:fill="1F4E78"/>
          </w:tcPr>
          <w:p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2635"/>
            <w:shd w:fill="1F4E78"/>
          </w:tcPr>
          <w:p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2635"/>
            <w:shd w:fill="1F4E78"/>
          </w:tcPr>
          <w:p>
            <w:r>
              <w:rPr>
                <w:b/>
                <w:color w:val="FFFFFF"/>
                <w:sz w:val="18"/>
              </w:rPr>
              <w:t>Students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E-Commerce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Purchase conversion prediction; pricing/marketing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1, 11, 21, 31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Telecom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Network fault detection; self-healing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2, 12, 22, 32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Claim fraud detection; claim-handling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3, 13, 23, 33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Student at-risk prediction; academic support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4, 14, 24, 34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Logistics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Delivery delay prediction; route-management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5, 15, 25, 35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Healthcare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Diabetes early diagnosis; personalized treatment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6, 16, 26, 36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Loan default prediction; account management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7, 17, 27, 37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Retail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Customer churn prediction; retention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8, 18, 28, 38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Manufacturing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Equipment failure prediction; maintenance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9, 19, 29, 39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Agri-Tech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Crop yield estimation; farming actions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10, 20, 30, 40</w:t>
            </w:r>
          </w:p>
        </w:tc>
      </w:tr>
    </w:tbl>
    <w:p/>
    <w:p>
      <w:pPr>
        <w:spacing w:after="40" w:before="60"/>
      </w:pPr>
      <w:r>
        <w:rPr>
          <w:b/>
          <w:color w:val="1F4E78"/>
          <w:sz w:val="24"/>
        </w:rPr>
        <w:t>COMMON TASK STRUCTURE (All Scenarios)</w:t>
      </w:r>
    </w:p>
    <w:p>
      <w:pPr>
        <w:spacing w:after="20"/>
      </w:pPr>
      <w:r>
        <w:rPr>
          <w:b/>
          <w:sz w:val="20"/>
        </w:rPr>
        <w:t>Task 1: Data Preparation &amp; Inductive Learning</w:t>
      </w:r>
    </w:p>
    <w:p>
      <w:pPr>
        <w:spacing w:after="40"/>
      </w:pPr>
      <w:r>
        <w:rPr>
          <w:sz w:val="18"/>
        </w:rPr>
        <w:t>(a) Describe inductive learning, identify target variable &amp; 3+ key features with justification.</w:t>
        <w:br/>
        <w:t>(b) Handle class imbalance (SMOTE / under-sampling / class weights) with justification.</w:t>
        <w:br/>
        <w:t>(c) 70:30 split justification + preprocessing (normalization, encoding).</w:t>
      </w:r>
    </w:p>
    <w:p>
      <w:pPr>
        <w:spacing w:after="20"/>
      </w:pPr>
      <w:r>
        <w:rPr>
          <w:b/>
          <w:sz w:val="20"/>
        </w:rPr>
        <w:t>Task 2: Decision Tree Modeling</w:t>
      </w:r>
    </w:p>
    <w:p>
      <w:pPr>
        <w:spacing w:after="40"/>
      </w:pPr>
      <w:r>
        <w:rPr>
          <w:sz w:val="18"/>
        </w:rPr>
        <w:t>(a) Build DT, draw first 3 levels, justify root node via Information Gain / Gini Index.</w:t>
        <w:br/>
        <w:t>(b) Report Accuracy, Precision, Recall, F1. Identify FNs, reduce them with revenue/risk justification.</w:t>
        <w:br/>
        <w:t>(c) Post-pruning (cost-complexity). Compare pre vs post-pruning accuracy. Recommend for deployment.</w:t>
      </w:r>
    </w:p>
    <w:p>
      <w:pPr>
        <w:spacing w:after="20"/>
      </w:pPr>
      <w:r>
        <w:rPr>
          <w:b/>
          <w:sz w:val="20"/>
        </w:rPr>
        <w:t>Task 3: Statistical Learning for Risk Stratification</w:t>
      </w:r>
    </w:p>
    <w:p>
      <w:pPr>
        <w:spacing w:after="40"/>
      </w:pPr>
      <w:r>
        <w:rPr>
          <w:sz w:val="18"/>
        </w:rPr>
        <w:t>(a) Apply Naive Bayes or Logistic Regression. Compare Accuracy, AUC-ROC with DT. Discuss when statistical models preferred.</w:t>
        <w:br/>
        <w:t>(b) Feature importance: Top 3 predictors from DT and statistical model. Do they agree? Justify.</w:t>
      </w:r>
    </w:p>
    <w:p>
      <w:pPr>
        <w:spacing w:after="20"/>
      </w:pPr>
      <w:r>
        <w:rPr>
          <w:b/>
          <w:sz w:val="20"/>
        </w:rPr>
        <w:t>Task 4: Reinforcement Learning for Action Recommendation</w:t>
      </w:r>
    </w:p>
    <w:p>
      <w:pPr>
        <w:spacing w:after="40"/>
      </w:pPr>
      <w:r>
        <w:rPr>
          <w:sz w:val="18"/>
        </w:rPr>
        <w:t>(a) Model as MDP: States, Actions, Reward function, Transition dynamics. Justify each.</w:t>
        <w:br/>
        <w:t>(b) Q-Learning: Train for 5+ episodes. Show Q-table updates for 3+ state-action pairs across 2 iterations. State convergence criterion.</w:t>
        <w:br/>
        <w:t>(c) Extract final learned policy. Discuss ethical considerations of deploying RL agent.</w:t>
      </w:r>
    </w:p>
    <w:p>
      <w:r>
        <w:br w:type="page"/>
      </w:r>
    </w:p>
    <w:p>
      <w:pPr>
        <w:spacing w:after="40" w:before="60"/>
      </w:pPr>
      <w:r>
        <w:rPr>
          <w:b/>
          <w:color w:val="C00000"/>
          <w:sz w:val="24"/>
        </w:rPr>
        <w:t>SCENARIO 1: E-Commerce – Purchase Conversion Prediction</w:t>
      </w:r>
    </w:p>
    <w:p>
      <w:pPr>
        <w:spacing w:after="40"/>
      </w:pPr>
      <w:r>
        <w:rPr>
          <w:i/>
          <w:sz w:val="18"/>
        </w:rPr>
        <w:t>Context: Platform with browsing history, purchase history, category preferences, average spend, cart abandonment rate.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inductive learning (classification) from labeled historical sessions.</w:t>
      </w:r>
    </w:p>
    <w:p>
      <w:pPr>
        <w:pStyle w:val="ListBullet"/>
        <w:spacing w:after="20"/>
        <w:ind w:left="216"/>
      </w:pPr>
      <w:r>
        <w:rPr>
          <w:sz w:val="20"/>
        </w:rPr>
        <w:t>Target: Purchase_Conversion (1=Converted, 0=Not).</w:t>
      </w:r>
    </w:p>
    <w:p>
      <w:pPr>
        <w:pStyle w:val="ListBullet"/>
        <w:spacing w:after="20"/>
        <w:ind w:left="216"/>
      </w:pPr>
      <w:r>
        <w:rPr>
          <w:sz w:val="20"/>
        </w:rPr>
        <w:t>Features: (1) Cart Abandonment Rate – indicates price sensitivity/comparison shopping; (2) Average Spend – captures purchasing power and trust; (3) Browsing History (page views) – signals engagement depth.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SMOTE synthesizes minority samples via k-NN interpolation (avoids overfitting from duplication). Under-sampling rejected (loses majority info). Class weights penalize minority misclassification in loss function. Dual approach maximizes recall without sacrificing stability.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with stratified sampling. Justified by need for sufficient training data (70%) while retaining robust test set (30%) for unbiased evaluation in conversion prediction.</w:t>
      </w:r>
    </w:p>
    <w:p>
      <w:pPr>
        <w:pStyle w:val="ListBullet"/>
        <w:spacing w:after="20"/>
        <w:ind w:left="216"/>
      </w:pPr>
      <w:r>
        <w:rPr>
          <w:sz w:val="20"/>
        </w:rPr>
        <w:t>Preprocessing: Min-Max scaling (numerical); One-Hot Encoding (nominal categorical); Mean/median imputation; IQR outlier capping; Interaction features (e.g., spend × abandonment ratio).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Cart Abandonment Rate ≤ 65% (Gini Index selected – lowest impurity split).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most effectively separates converters vs. non-converters at top level.</w:t>
      </w:r>
    </w:p>
    <w:p>
      <w:pPr>
        <w:pStyle w:val="ListBullet"/>
        <w:spacing w:after="20"/>
        <w:ind w:left="216"/>
      </w:pPr>
      <w:r>
        <w:rPr>
          <w:sz w:val="20"/>
        </w:rPr>
        <w:t>L0: Cart Abandonment ≤ 65%? → L1: Avg Spend ≤ $75? → L2: Page Views ≤ 8? (leaf approaching) | R1: Session Duration ≤ 5min? → R2: Category Preference = Electronics?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Accuracy=87.3%, Precision=72.5%, Recall=68.4%, F1=70.4%.</w:t>
      </w:r>
    </w:p>
    <w:p>
      <w:pPr>
        <w:pStyle w:val="ListBullet"/>
        <w:spacing w:after="20"/>
        <w:ind w:left="216"/>
      </w:pPr>
      <w:r>
        <w:rPr>
          <w:sz w:val="20"/>
        </w:rPr>
        <w:t>FN = missed converters. Revenue impact: AOV $75 × 15% FN rate = $11.25 lost revenue per user.</w:t>
      </w:r>
    </w:p>
    <w:p>
      <w:pPr>
        <w:pStyle w:val="ListBullet"/>
        <w:spacing w:after="20"/>
        <w:ind w:left="216"/>
      </w:pPr>
      <w:r>
        <w:rPr>
          <w:sz w:val="20"/>
        </w:rPr>
        <w:t>Reduce FN: Lower threshold to 0.3; cost-sensitive learning (higher FN penalty); ensemble with Random Forest; borderline-SMOTE near decision boundaries.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89.1% (max_depth=10) – overfits (val drops to 84.2%).</w:t>
      </w:r>
    </w:p>
    <w:p>
      <w:pPr>
        <w:pStyle w:val="ListBullet"/>
        <w:spacing w:after="20"/>
        <w:ind w:left="216"/>
      </w:pPr>
      <w:r>
        <w:rPr>
          <w:sz w:val="20"/>
        </w:rPr>
        <w:t>Post-prune: 87.8% (α=0.015) – simpler (147→38 nodes), better validation (86.5%).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superior generalization, simpler structure, stable under data drift.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Acc=84.1%, AUC-ROC=0.89 | DT: Acc=87.3%, AUC-ROC=0.84.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interpretability required, probability calibration needed for ranking, smaller datasets, regulatory compliance (explainable coefficients). DT captures non-linear interactions but LR ranks better (higher AUC-ROC).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Cart Abandonment, Avg Spend, Page Views.</w:t>
      </w:r>
    </w:p>
    <w:p>
      <w:pPr>
        <w:pStyle w:val="ListBullet"/>
        <w:spacing w:after="20"/>
        <w:ind w:left="216"/>
      </w:pPr>
      <w:r>
        <w:rPr>
          <w:sz w:val="20"/>
        </w:rPr>
        <w:t>LR Top-3: Avg Spend (β=2.34), Cart Abandonment (β=-1.89), Purchase Frequency (β=1.67).</w:t>
      </w:r>
    </w:p>
    <w:p>
      <w:pPr>
        <w:pStyle w:val="ListBullet"/>
        <w:spacing w:after="20"/>
        <w:ind w:left="216"/>
      </w:pPr>
      <w:r>
        <w:rPr>
          <w:sz w:val="20"/>
        </w:rPr>
        <w:t>Agreement: Both rank Cart Abandonment and Avg Spend as top 2 (~65% variance explained). DT picks Page Views (non-linear engagement); LR picks Purchase Frequency (linear loyalty). Core agreement validates domain knowledge; divergence shows complementary strengths.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{New Visitor, Browsing, Cart_Added, Checkout_Started, High_Intent, Converted, Abandoned}.</w:t>
      </w:r>
    </w:p>
    <w:p>
      <w:pPr>
        <w:pStyle w:val="ListBullet"/>
        <w:spacing w:after="20"/>
        <w:ind w:left="216"/>
      </w:pPr>
      <w:r>
        <w:rPr>
          <w:sz w:val="20"/>
        </w:rPr>
        <w:t>Actions: {Discount, Bundle Offer, Highlight Product, No Action}.</w:t>
      </w:r>
    </w:p>
    <w:p>
      <w:pPr>
        <w:pStyle w:val="ListBullet"/>
        <w:spacing w:after="20"/>
        <w:ind w:left="216"/>
      </w:pPr>
      <w:r>
        <w:rPr>
          <w:sz w:val="20"/>
        </w:rPr>
        <w:t>Reward: +10 (high-margin conversion), +5 (discounted conversion), -2 (unnecessary discount), -5 (abandonment after action), 0 (no action, no conversion).</w:t>
      </w:r>
    </w:p>
    <w:p>
      <w:pPr>
        <w:pStyle w:val="ListBullet"/>
        <w:spacing w:after="20"/>
        <w:ind w:left="216"/>
      </w:pPr>
      <w:r>
        <w:rPr>
          <w:sz w:val="20"/>
        </w:rPr>
        <w:t>Transitions: P(s'|s,a) from A/B test data. E.g., Discount at Checkout increases conversion 0.35→0.62 but reduces margin 15%.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episodes, ε-greedy (ε=0.2, decay 0.95),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Q(Cart_Added, Bundle)=0→0.5 [r=+5, terminal].</w:t>
      </w:r>
    </w:p>
    <w:p>
      <w:pPr>
        <w:pStyle w:val="ListBullet"/>
        <w:spacing w:after="20"/>
        <w:ind w:left="216"/>
      </w:pPr>
      <w:r>
        <w:rPr>
          <w:sz w:val="20"/>
        </w:rPr>
        <w:t>Update 2: Q(Checkout, Discount)=0.2→1.18 [r=+10, terminal].</w:t>
      </w:r>
    </w:p>
    <w:p>
      <w:pPr>
        <w:pStyle w:val="ListBullet"/>
        <w:spacing w:after="20"/>
        <w:ind w:left="216"/>
      </w:pPr>
      <w:r>
        <w:rPr>
          <w:sz w:val="20"/>
        </w:rPr>
        <w:t>Update 3: Q(High_Intent, No Action)=0.1→-0.41 [r=-5, terminal].</w:t>
      </w:r>
    </w:p>
    <w:p>
      <w:pPr>
        <w:pStyle w:val="ListBullet"/>
        <w:spacing w:after="20"/>
        <w:ind w:left="216"/>
      </w:pPr>
      <w:r>
        <w:rPr>
          <w:sz w:val="20"/>
        </w:rPr>
        <w:t>Convergence: max|ΔQ|&lt;0.001 for 10 episodes OR policy stable (&gt;95% states) for 20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New Visitor→Highlight; Browsing→Bundle; Cart_Added→Bundle; Checkout→Discount; High_Intent→No Action.</w:t>
      </w:r>
    </w:p>
    <w:p>
      <w:pPr>
        <w:pStyle w:val="ListBullet"/>
        <w:spacing w:after="20"/>
        <w:ind w:left="216"/>
      </w:pPr>
      <w:r>
        <w:rPr>
          <w:sz w:val="20"/>
        </w:rPr>
        <w:t>Ethics: (1) Price discrimination – audit for disparate impact on protected classes; (2) Manipulation – limit urgency tactics, prohibit exploitation of vulnerable users; (3) Transparency – explain why offers given (GDPR/CCPA); (4) Privacy – anonymize behavioral data, obtain consent.</w:t>
      </w:r>
    </w:p>
    <w:p/>
    <w:p>
      <w:pPr>
        <w:spacing w:after="40" w:before="60"/>
      </w:pPr>
      <w:r>
        <w:rPr>
          <w:b/>
          <w:color w:val="C00000"/>
          <w:sz w:val="24"/>
        </w:rPr>
        <w:t>SCENARIO 2: Telecom – Network Fault Detection</w:t>
      </w:r>
    </w:p>
    <w:p>
      <w:pPr>
        <w:spacing w:after="40"/>
      </w:pPr>
      <w:r>
        <w:rPr>
          <w:i/>
          <w:sz w:val="18"/>
        </w:rPr>
        <w:t>Context: Operator with signal strength, packet loss, call drops, tower load, weather conditions.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on time-series network telemetry.</w:t>
      </w:r>
    </w:p>
    <w:p>
      <w:pPr>
        <w:pStyle w:val="ListBullet"/>
        <w:spacing w:after="20"/>
        <w:ind w:left="216"/>
      </w:pPr>
      <w:r>
        <w:rPr>
          <w:sz w:val="20"/>
        </w:rPr>
        <w:t>Target: Network_Fault (1=Fault, 0=Normal).</w:t>
      </w:r>
    </w:p>
    <w:p>
      <w:pPr>
        <w:pStyle w:val="ListBullet"/>
        <w:spacing w:after="20"/>
        <w:ind w:left="216"/>
      </w:pPr>
      <w:r>
        <w:rPr>
          <w:sz w:val="20"/>
        </w:rPr>
        <w:t>Features: (1) Packet Loss Rate – direct degradation indicator (&gt;2% = fault precursor); (2) Tower Load (&gt;85% = thermal/buffer stress); (3) Call Drop Count – operational KPI, spikes precede node failure 15-30 min.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Faults &lt;3% of records. SMOTE generates synthetic fault patterns without duplication. Under-sampling rejected (discards normal operation patterns needed for baseline). Class weights adjust loss function to penalize missed faults heavily.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network reliability – sufficient training data for rare fault pattern learning while holding out 30% for realistic performance estimation.</w:t>
      </w:r>
    </w:p>
    <w:p>
      <w:pPr>
        <w:pStyle w:val="ListBullet"/>
        <w:spacing w:after="20"/>
        <w:ind w:left="216"/>
      </w:pPr>
      <w:r>
        <w:rPr>
          <w:sz w:val="20"/>
        </w:rPr>
        <w:t>Preprocessing: Z-score normalization (sensor scales vary); One-Hot Encoding (weather categories); Time-window aggregation (hourly averages); Anomaly capping (±3σ); Feature engineering: load×weather interaction.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Packet Loss Rate ≤ 2.5% (Gini Index – lowest impurity for fault/normal separation).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packet loss is the earliest observable symptom of network degradation.</w:t>
      </w:r>
    </w:p>
    <w:p>
      <w:pPr>
        <w:pStyle w:val="ListBullet"/>
        <w:spacing w:after="20"/>
        <w:ind w:left="216"/>
      </w:pPr>
      <w:r>
        <w:rPr>
          <w:sz w:val="20"/>
        </w:rPr>
        <w:t>L0: Packet Loss ≤ 2.5%? → L1: Tower Load ≤ 85%? → L2: Call Drops ≤ 5/hr? | R1: Weather = Storm? → R2: Signal Strength ≤ -90dBm?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Accuracy=91.4%, Precision=78.2%, Recall=85.6%, F1=81.7%.</w:t>
      </w:r>
    </w:p>
    <w:p>
      <w:pPr>
        <w:pStyle w:val="ListBullet"/>
        <w:spacing w:after="20"/>
        <w:ind w:left="216"/>
      </w:pPr>
      <w:r>
        <w:rPr>
          <w:sz w:val="20"/>
        </w:rPr>
        <w:t>FN = missed faults → service outages. Impact: 50K users × 2hr × $50/hr SLA = $5M liability per missed fault.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0.3; cost-sensitive learning (FN penalty ×10); ensemble with isolation forest; borderline-SMOTE at decision boundaries.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93.2% – overfits seasonal patterns (val recall 79.1%).</w:t>
      </w:r>
    </w:p>
    <w:p>
      <w:pPr>
        <w:pStyle w:val="ListBullet"/>
        <w:spacing w:after="20"/>
        <w:ind w:left="216"/>
      </w:pPr>
      <w:r>
        <w:rPr>
          <w:sz w:val="20"/>
        </w:rPr>
        <w:t>Post-prune: 91.8% (α=0.012) – 60% fewer nodes, val recall 84.3%.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robust to concept drift in traffic patterns, simpler for network engineers to interpret.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Naive Bayes: Acc=86.7%, AUC-ROC=0.91 | DT: Acc=91.4%, AUC-ROC=0.88.</w:t>
      </w:r>
    </w:p>
    <w:p>
      <w:pPr>
        <w:pStyle w:val="ListBullet"/>
        <w:spacing w:after="20"/>
        <w:ind w:left="216"/>
      </w:pPr>
      <w:r>
        <w:rPr>
          <w:sz w:val="20"/>
        </w:rPr>
        <w:t>NB preferred when: real-time inference needed (O(1) speed, millions of records/sec), features approximately independent (different protocol layers), probability calibration superior for alarm thresholding.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Packet Loss, Tower Load, Call Drops.</w:t>
      </w:r>
    </w:p>
    <w:p>
      <w:pPr>
        <w:pStyle w:val="ListBullet"/>
        <w:spacing w:after="20"/>
        <w:ind w:left="216"/>
      </w:pPr>
      <w:r>
        <w:rPr>
          <w:sz w:val="20"/>
        </w:rPr>
        <w:t>NB Top-3: Packet Loss, Signal Strength, Weather.</w:t>
      </w:r>
    </w:p>
    <w:p>
      <w:pPr>
        <w:pStyle w:val="ListBullet"/>
        <w:spacing w:after="20"/>
        <w:ind w:left="216"/>
      </w:pPr>
      <w:r>
        <w:rPr>
          <w:sz w:val="20"/>
        </w:rPr>
        <w:t>Agreement: Packet Loss is #1 in both (highest mutual information). DT emphasizes Load/Drops (non-linear thresholds); NB highlights Signal/Weather (independent probability contribution). Core agreement validates packet loss as primary monitoring KPI.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{Healthy, Elevated Load, Packet Loss Detected, High Call Drops, Degraded, Critical Failure, Recovered}.</w:t>
      </w:r>
    </w:p>
    <w:p>
      <w:pPr>
        <w:pStyle w:val="ListBullet"/>
        <w:spacing w:after="20"/>
        <w:ind w:left="216"/>
      </w:pPr>
      <w:r>
        <w:rPr>
          <w:sz w:val="20"/>
        </w:rPr>
        <w:t>Actions: {Reroute Traffic, Restart Node, Increase Bandwidth, Monitor}.</w:t>
      </w:r>
    </w:p>
    <w:p>
      <w:pPr>
        <w:pStyle w:val="ListBullet"/>
        <w:spacing w:after="20"/>
        <w:ind w:left="216"/>
      </w:pPr>
      <w:r>
        <w:rPr>
          <w:sz w:val="20"/>
        </w:rPr>
        <w:t>Reward: +15 (fault prevented), +5 (recovery), -10 (unnecessary restart = interruption), -20 (critical failure = outage), 0 (monitor, no change).</w:t>
      </w:r>
    </w:p>
    <w:p>
      <w:pPr>
        <w:pStyle w:val="ListBullet"/>
        <w:spacing w:after="20"/>
        <w:ind w:left="216"/>
      </w:pPr>
      <w:r>
        <w:rPr>
          <w:sz w:val="20"/>
        </w:rPr>
        <w:t>Transitions: From Elevated Load, Reroute→Healthy (0.75), stays Elevated (0.20). Monitor from Packet Loss→Degraded (0.60).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episodes (6-hr windows, 15-min intervals), ε=0.25 (aggressive exploration for rare faults),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Q(Packet Loss, Reroute)=0→1.5 [r=+15, prevented outage].</w:t>
      </w:r>
    </w:p>
    <w:p>
      <w:pPr>
        <w:pStyle w:val="ListBullet"/>
        <w:spacing w:after="20"/>
        <w:ind w:left="216"/>
      </w:pPr>
      <w:r>
        <w:rPr>
          <w:sz w:val="20"/>
        </w:rPr>
        <w:t>Update 2: Q(Elevated Load, Monitor)=0.3→-1.73 [r=-20, escalated to Critical].</w:t>
      </w:r>
    </w:p>
    <w:p>
      <w:pPr>
        <w:pStyle w:val="ListBullet"/>
        <w:spacing w:after="20"/>
        <w:ind w:left="216"/>
      </w:pPr>
      <w:r>
        <w:rPr>
          <w:sz w:val="20"/>
        </w:rPr>
        <w:t>Update 3: Q(High Call Drops, Increase BW)=0.1→0.59 [r=+5, stabilized].</w:t>
      </w:r>
    </w:p>
    <w:p>
      <w:pPr>
        <w:pStyle w:val="ListBullet"/>
        <w:spacing w:after="20"/>
        <w:ind w:left="216"/>
      </w:pPr>
      <w:r>
        <w:rPr>
          <w:sz w:val="20"/>
        </w:rPr>
        <w:t>Convergence: ||ΔQ||∞&lt;0.005 for 15 episodes OR &gt;95% fault prevention rate.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Healthy→Monitor; Elevated Load→Reroute; Packet Loss→Reroute; High Drops→Increase BW; Degraded→Restart; Critical→Restart.</w:t>
      </w:r>
    </w:p>
    <w:p>
      <w:pPr>
        <w:pStyle w:val="ListBullet"/>
        <w:spacing w:after="20"/>
        <w:ind w:left="216"/>
      </w:pPr>
      <w:r>
        <w:rPr>
          <w:sz w:val="20"/>
        </w:rPr>
        <w:t>Ethics: (1) Service outages – restart causes brief interruption, weigh vs. spontaneous recovery; (2) Accountability – define liability for wrong decisions; (3) Transparency – engineers must interpret policy, use rule extraction; (4) Data sovereignty – avoid PII in network telemetry.</w:t>
      </w:r>
    </w:p>
    <w:p/>
    <w:p>
      <w:pPr>
        <w:spacing w:after="40" w:before="60"/>
      </w:pPr>
      <w:r>
        <w:rPr>
          <w:b/>
          <w:color w:val="C00000"/>
          <w:sz w:val="24"/>
        </w:rPr>
        <w:t>SCENARIO 3: Insurance – Claim Fraud Detection</w:t>
      </w:r>
    </w:p>
    <w:p>
      <w:pPr>
        <w:spacing w:after="40"/>
      </w:pPr>
      <w:r>
        <w:rPr>
          <w:i/>
          <w:sz w:val="18"/>
        </w:rPr>
        <w:t>Context: Company with claim amount, policy tenure, claimant history, incident type, time-to-file.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on structured claim records.</w:t>
      </w:r>
    </w:p>
    <w:p>
      <w:pPr>
        <w:pStyle w:val="ListBullet"/>
        <w:spacing w:after="20"/>
        <w:ind w:left="216"/>
      </w:pPr>
      <w:r>
        <w:rPr>
          <w:sz w:val="20"/>
        </w:rPr>
        <w:t>Target: Fraudulent_Claim (1=Fraud, 0=Genuine).</w:t>
      </w:r>
    </w:p>
    <w:p>
      <w:pPr>
        <w:pStyle w:val="ListBullet"/>
        <w:spacing w:after="20"/>
        <w:ind w:left="216"/>
      </w:pPr>
      <w:r>
        <w:rPr>
          <w:sz w:val="20"/>
        </w:rPr>
        <w:t>Features: (1) Time-to-File (&lt;24h or &gt;90d = staged/fabricated); (2) Claim-to-Tenure Ratio (new policies + high claims = 3-5× fraud rate); (3) Claimant History (≥3 claims/24mo = serial fraud indicator).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Fraud 1-3% of claims (extreme imbalance). SMOTE creates realistic synthetic fraud without overfitting to specific MOs. Under-sampling rejected (genuine claims contain valuable pattern info). Class weights ensure fraud class is not ignored by the optimizer.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fraud detection – need large training set to learn diverse fraud patterns while 30% hold-out tests generalization to novel fraud schemes.</w:t>
      </w:r>
    </w:p>
    <w:p>
      <w:pPr>
        <w:pStyle w:val="ListBullet"/>
        <w:spacing w:after="20"/>
        <w:ind w:left="216"/>
      </w:pPr>
      <w:r>
        <w:rPr>
          <w:sz w:val="20"/>
        </w:rPr>
        <w:t>Preprocessing: Min-Max scaling (claim amounts); One-Hot Encoding (incident type); Log-transform (skewed monetary features); Outlier capping (fraudulent claims often have extreme values); Derived ratio: claim amount / tenure.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Time-to-File ≤ 7 days OR &gt;90 days (Gini – dual-threshold split captures both early and delayed fraud patterns).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filing timing is the strongest behavioral fraud indicator.</w:t>
      </w:r>
    </w:p>
    <w:p>
      <w:pPr>
        <w:pStyle w:val="ListBullet"/>
        <w:spacing w:after="20"/>
        <w:ind w:left="216"/>
      </w:pPr>
      <w:r>
        <w:rPr>
          <w:sz w:val="20"/>
        </w:rPr>
        <w:t>L0: Time-to-File abnormal? → L1: Claim-to-Tenure ≤ 2.0? → L2: Incident Type = Slip-Fall at home? | R1: Claimant History ≤ 2? → R2: Claim Amount ≤ $10K?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Accuracy=94.2%, Precision=68.5%, Recall=82.3%, F1=74.8%.</w:t>
      </w:r>
    </w:p>
    <w:p>
      <w:pPr>
        <w:pStyle w:val="ListBullet"/>
        <w:spacing w:after="20"/>
        <w:ind w:left="216"/>
      </w:pPr>
      <w:r>
        <w:rPr>
          <w:sz w:val="20"/>
        </w:rPr>
        <w:t>FN = missed fraud → direct payout loss. Impact: $15K avg fraud × 17.7% FN rate × 1M claims = $26.55M annual loss.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0.35; cost-sensitive (FN penalty ×5); ensemble with XGBoost; ADASYN near decision boundaries; add derived features (claim velocity).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95.1% (203 nodes) – memorizes specific fraud amounts.</w:t>
      </w:r>
    </w:p>
    <w:p>
      <w:pPr>
        <w:pStyle w:val="ListBullet"/>
        <w:spacing w:after="20"/>
        <w:ind w:left="216"/>
      </w:pPr>
      <w:r>
        <w:rPr>
          <w:sz w:val="20"/>
        </w:rPr>
        <w:t>Post-prune: 94.2% (α=0.008, 52 nodes) – better val F1 (74.8% vs 71.2%).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generalizes to new fraud MOs, simpler for claims examiners, audit-friendly.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Acc=91.5%, AUC-ROC=0.92 | DT: Acc=94.2%, AUC-ROC=0.86.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probability calibration needed for investigator prioritization, regulatory compliance requires explainable odds ratios, smaller datasets, need for transparent risk factors in auditor review.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Time-to-File, Claim-to-Tenure Ratio, Incident Type.</w:t>
      </w:r>
    </w:p>
    <w:p>
      <w:pPr>
        <w:pStyle w:val="ListBullet"/>
        <w:spacing w:after="20"/>
        <w:ind w:left="216"/>
      </w:pPr>
      <w:r>
        <w:rPr>
          <w:sz w:val="20"/>
        </w:rPr>
        <w:t>LR Top-3: Time-to-File (OR=4.56), Claimant History (OR=3.21), Claim Amount (OR=2.89).</w:t>
      </w:r>
    </w:p>
    <w:p>
      <w:pPr>
        <w:pStyle w:val="ListBullet"/>
        <w:spacing w:after="20"/>
        <w:ind w:left="216"/>
      </w:pPr>
      <w:r>
        <w:rPr>
          <w:sz w:val="20"/>
        </w:rPr>
        <w:t>Agreement: Time-to-File is #1 in both. DT picks Claim-to-Tenure (interaction feature, natural for trees); LR picks Claimant History (linear repeat-filing effect). Agreement on top feature validates industry knowledge; divergence shows complementary insights.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{New Claim, Doc Review, Medical Verification, Financial Check, Suspicious, Confirmed Fraud, Approved Genuine}.</w:t>
      </w:r>
    </w:p>
    <w:p>
      <w:pPr>
        <w:pStyle w:val="ListBullet"/>
        <w:spacing w:after="20"/>
        <w:ind w:left="216"/>
      </w:pPr>
      <w:r>
        <w:rPr>
          <w:sz w:val="20"/>
        </w:rPr>
        <w:t>Actions: {Approve, Investigate, Reject, Escalate}.</w:t>
      </w:r>
    </w:p>
    <w:p>
      <w:pPr>
        <w:pStyle w:val="ListBullet"/>
        <w:spacing w:after="20"/>
        <w:ind w:left="216"/>
      </w:pPr>
      <w:r>
        <w:rPr>
          <w:sz w:val="20"/>
        </w:rPr>
        <w:t>Reward: +20 (correct fraud ID = cost savings), +5 (correct approval), -15 (false rejection = churn), -8 (unnecessary investigation = $400 cost), -30 (missed fraud = payout loss).</w:t>
      </w:r>
    </w:p>
    <w:p>
      <w:pPr>
        <w:pStyle w:val="ListBullet"/>
        <w:spacing w:after="20"/>
        <w:ind w:left="216"/>
      </w:pPr>
      <w:r>
        <w:rPr>
          <w:sz w:val="20"/>
        </w:rPr>
        <w:t>Transitions: Investigate from Suspicious→Confirmed Fraud (0.65), Approved Genuine (0.30). Approve from New→Approved Genuine (0.95), Confirmed Fraud (0.05).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claim episodes (full lifecycle), ε=0.3 (high exploration, sparse fraud states),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Q(Suspicious, Investigate)=0→2.0 [r=+20, confirmed fraud, saved $18K].</w:t>
      </w:r>
    </w:p>
    <w:p>
      <w:pPr>
        <w:pStyle w:val="ListBullet"/>
        <w:spacing w:after="20"/>
        <w:ind w:left="216"/>
      </w:pPr>
      <w:r>
        <w:rPr>
          <w:sz w:val="20"/>
        </w:rPr>
        <w:t>Update 2: Q(New Claim, Approve)=0.5→-2.55 [r=-30, missed fraud, large payout].</w:t>
      </w:r>
    </w:p>
    <w:p>
      <w:pPr>
        <w:pStyle w:val="ListBullet"/>
        <w:spacing w:after="20"/>
        <w:ind w:left="216"/>
      </w:pPr>
      <w:r>
        <w:rPr>
          <w:sz w:val="20"/>
        </w:rPr>
        <w:t>Update 3: Q(Financial Check, Escalate)=0.2→0.68 [r=+5, genuine claim, customer satisfied].</w:t>
      </w:r>
    </w:p>
    <w:p>
      <w:pPr>
        <w:pStyle w:val="ListBullet"/>
        <w:spacing w:after="20"/>
        <w:ind w:left="216"/>
      </w:pPr>
      <w:r>
        <w:rPr>
          <w:sz w:val="20"/>
        </w:rPr>
        <w:t>Convergence: &gt;90% fraud detection with &lt;15% investigation rate OR max|ΔQ|&lt;0.002 for 25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New Claim→Approve; Doc Review→Investigate (if anomalies); Medical→Escalate; Financial→Investigate (if amount&gt;threshold); Suspicious→Investigate; Confirmed Fraud→Reject.</w:t>
      </w:r>
    </w:p>
    <w:p>
      <w:pPr>
        <w:pStyle w:val="ListBullet"/>
        <w:spacing w:after="20"/>
        <w:ind w:left="216"/>
      </w:pPr>
      <w:r>
        <w:rPr>
          <w:sz w:val="20"/>
        </w:rPr>
        <w:t>Ethics: (1) Fairness – avoid over-investigating vulnerable claimants post-accident; (2) Bias – audit for zip code/demographic profiling in historical data; (3) Explainability – regulators require transparent decision reasons; (4) Human-in-the-loop – Reject/Escalate require human approval.</w:t>
      </w:r>
    </w:p>
    <w:p/>
    <w:p>
      <w:pPr>
        <w:spacing w:after="40" w:before="60"/>
      </w:pPr>
      <w:r>
        <w:rPr>
          <w:b/>
          <w:color w:val="C00000"/>
          <w:sz w:val="24"/>
        </w:rPr>
        <w:t>SCENARIO 4: Education – Student At-Risk Prediction</w:t>
      </w:r>
    </w:p>
    <w:p>
      <w:pPr>
        <w:spacing w:after="40"/>
      </w:pPr>
      <w:r>
        <w:rPr>
          <w:i/>
          <w:sz w:val="18"/>
        </w:rPr>
        <w:t>Context: Institution with attendance, assignment scores, quiz performance, study hours, prior GPA.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for early academic warning.</w:t>
      </w:r>
    </w:p>
    <w:p>
      <w:pPr>
        <w:pStyle w:val="ListBullet"/>
        <w:spacing w:after="20"/>
        <w:ind w:left="216"/>
      </w:pPr>
      <w:r>
        <w:rPr>
          <w:sz w:val="20"/>
        </w:rPr>
        <w:t>Target: At_Risk (1=At Risk of Failing, 0=On Track).</w:t>
      </w:r>
    </w:p>
    <w:p>
      <w:pPr>
        <w:pStyle w:val="ListBullet"/>
        <w:spacing w:after="20"/>
        <w:ind w:left="216"/>
      </w:pPr>
      <w:r>
        <w:rPr>
          <w:sz w:val="20"/>
        </w:rPr>
        <w:t>Features: (1) Attendance Rate (&lt;75% = 4× failure rate, disengagement); (2) Prior GPA (&lt;2.5 = high support need); (3) Assignment Trend (declining &gt;15% between assignments = failure trajectory).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At-risk 10-25% (moderate imbalance). SMOTE balances classes without losing passing-student patterns. Under-sampling rejected (would discard majority of the cohort). Class weights ensure at-risk students are not overlooked by the model.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early-warning – need sufficient data to learn at-risk patterns while 30% tests intervention readiness.</w:t>
      </w:r>
    </w:p>
    <w:p>
      <w:pPr>
        <w:pStyle w:val="ListBullet"/>
        <w:spacing w:after="20"/>
        <w:ind w:left="216"/>
      </w:pPr>
      <w:r>
        <w:rPr>
          <w:sz w:val="20"/>
        </w:rPr>
        <w:t>Preprocessing: Z-score normalization (GPA, scores); Label encoding (target); Imputation (attendance often missing); Trend feature engineering (assignment slope); Binning (study hours: low/medium/high).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Attendance Rate ≤ 75% (Gini – strongest separator of at-risk vs. passing students).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attendance is the single strongest predictor of academic failure per educational research.</w:t>
      </w:r>
    </w:p>
    <w:p>
      <w:pPr>
        <w:pStyle w:val="ListBullet"/>
        <w:spacing w:after="20"/>
        <w:ind w:left="216"/>
      </w:pPr>
      <w:r>
        <w:rPr>
          <w:sz w:val="20"/>
        </w:rPr>
        <w:t>L0: Attendance ≤ 75%? → L1: Prior GPA ≤ 2.5? → L2: Assignment Trend = Declining? | R1: Study Hours ≤ 5/week? → R2: Quiz Avg ≤ 60%?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Accuracy=88.6%, Precision=81.2%, Recall=76.4%, F1=78.7%.</w:t>
      </w:r>
    </w:p>
    <w:p>
      <w:pPr>
        <w:pStyle w:val="ListBullet"/>
        <w:spacing w:after="20"/>
        <w:ind w:left="216"/>
      </w:pPr>
      <w:r>
        <w:rPr>
          <w:sz w:val="20"/>
        </w:rPr>
        <w:t>FN = missed at-risk students → no intervention → likely dropout. Impact: 34 students missed per 1000 cohort (15% prevalence, 23.6% FN) = $50K long-term cost per dropout.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0.4; cost-sensitive (FN penalty ×3); ensemble with gradient boosting; add engagement features (LMS logins);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90.3% – shallow, misses hidden struggle (high attendance + declining scores).</w:t>
      </w:r>
    </w:p>
    <w:p>
      <w:pPr>
        <w:pStyle w:val="ListBullet"/>
        <w:spacing w:after="20"/>
        <w:ind w:left="216"/>
      </w:pPr>
      <w:r>
        <w:rPr>
          <w:sz w:val="20"/>
        </w:rPr>
        <w:t>Post-prune: 88.6% (α=0.02) – better recall (76.4% vs 71.2%), captures nuanced patterns.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better equity (catches hidden at-risk students), interpretable for advisors.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Acc=85.4%, AUC-ROC=0.88 | DT: Acc=88.6%, AUC-ROC=0.85.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probability scores needed for prioritizing limited counselor resources, need for transparent risk factors (coefficients = odds ratios), smaller institutional datasets, resource allocation ranking.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Attendance Rate, Prior GPA, Assignment Score Trend.</w:t>
      </w:r>
    </w:p>
    <w:p>
      <w:pPr>
        <w:pStyle w:val="ListBullet"/>
        <w:spacing w:after="20"/>
        <w:ind w:left="216"/>
      </w:pPr>
      <w:r>
        <w:rPr>
          <w:sz w:val="20"/>
        </w:rPr>
        <w:t>LR Top-3: Attendance (β=-2.45), Prior GPA (β=1.89), Study Hours (β=1.34).</w:t>
      </w:r>
    </w:p>
    <w:p>
      <w:pPr>
        <w:pStyle w:val="ListBullet"/>
        <w:spacing w:after="20"/>
        <w:ind w:left="216"/>
      </w:pPr>
      <w:r>
        <w:rPr>
          <w:sz w:val="20"/>
        </w:rPr>
        <w:t>Agreement: Attendance and Prior GPA are top 2 in both, aligning with educational research. DT picks Assignment Trend (non-linear trajectory); LR picks Study Hours (linear hours→success). Agreement on top 2 provides institutional confidence for early-alert design.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{Excellent, Good, Declining, At-Risk, Critical, Failed, Recovered}.</w:t>
      </w:r>
    </w:p>
    <w:p>
      <w:pPr>
        <w:pStyle w:val="ListBullet"/>
        <w:spacing w:after="20"/>
        <w:ind w:left="216"/>
      </w:pPr>
      <w:r>
        <w:rPr>
          <w:sz w:val="20"/>
        </w:rPr>
        <w:t>Actions: {Tutoring, Extra Practice, Counselling, Monitor}.</w:t>
      </w:r>
    </w:p>
    <w:p>
      <w:pPr>
        <w:pStyle w:val="ListBullet"/>
        <w:spacing w:after="20"/>
        <w:ind w:left="216"/>
      </w:pPr>
      <w:r>
        <w:rPr>
          <w:sz w:val="20"/>
        </w:rPr>
        <w:t>Reward: +10 (recovery to passing), +5 (maintaining good standing), -5 (unnecessary intensive intervention = stigma/resource waste), -15 (progression to Failed).</w:t>
      </w:r>
    </w:p>
    <w:p>
      <w:pPr>
        <w:pStyle w:val="ListBullet"/>
        <w:spacing w:after="20"/>
        <w:ind w:left="216"/>
      </w:pPr>
      <w:r>
        <w:rPr>
          <w:sz w:val="20"/>
        </w:rPr>
        <w:t>Transitions: Tutoring from At-Risk→Recovered (0.55), Good (0.25), At-Risk (0.15). Monitor from Declining→At-Risk (0.50), Good (0.30).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student episodes (15-week semester, weekly decisions), ε=0.25 (decaying),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Q(At-Risk, Tutoring)=0→1.0 [r=+10, student recovered, passed course].</w:t>
      </w:r>
    </w:p>
    <w:p>
      <w:pPr>
        <w:pStyle w:val="ListBullet"/>
        <w:spacing w:after="20"/>
        <w:ind w:left="216"/>
      </w:pPr>
      <w:r>
        <w:rPr>
          <w:sz w:val="20"/>
        </w:rPr>
        <w:t>Update 2: Q(Declining, Monitor)=0.2→-1.32 [r=-15, progressed to Failed].</w:t>
      </w:r>
    </w:p>
    <w:p>
      <w:pPr>
        <w:pStyle w:val="ListBullet"/>
        <w:spacing w:after="20"/>
        <w:ind w:left="216"/>
      </w:pPr>
      <w:r>
        <w:rPr>
          <w:sz w:val="20"/>
        </w:rPr>
        <w:t>Update 3: Q(Critical, Counselling)=0.1→0.64 [r=+5, stabilized mental health, improved to At-Risk].</w:t>
      </w:r>
    </w:p>
    <w:p>
      <w:pPr>
        <w:pStyle w:val="ListBullet"/>
        <w:spacing w:after="20"/>
        <w:ind w:left="216"/>
      </w:pPr>
      <w:r>
        <w:rPr>
          <w:sz w:val="20"/>
        </w:rPr>
        <w:t>Convergence: Intervention success &gt;65% for 10 cohorts OR max|ΔQ|&lt;0.005.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Excellent/Good→Monitor; Declining→Extra Practice; At-Risk→Tutoring; Critical→Counselling+Tutoring; Failed→Counselling; Recovered→Monitor.</w:t>
      </w:r>
    </w:p>
    <w:p>
      <w:pPr>
        <w:pStyle w:val="ListBullet"/>
        <w:spacing w:after="20"/>
        <w:ind w:left="216"/>
      </w:pPr>
      <w:r>
        <w:rPr>
          <w:sz w:val="20"/>
        </w:rPr>
        <w:t>Ethics: (1) Labeling effects – avoid 'at-risk' stigma, use strength-based framing; (2) Fairness – control for SES to ensure equitable resource distribution; (3) Privacy – FERPA-protected data, de-identified, restricted access; (4) Autonomy – recommend, don't mandate interventions.</w:t>
      </w:r>
    </w:p>
    <w:p/>
    <w:p>
      <w:pPr>
        <w:spacing w:after="40" w:before="60"/>
      </w:pPr>
      <w:r>
        <w:rPr>
          <w:b/>
          <w:color w:val="C00000"/>
          <w:sz w:val="24"/>
        </w:rPr>
        <w:t>SCENARIO 5: Logistics – Delivery Delay Prediction</w:t>
      </w:r>
    </w:p>
    <w:p>
      <w:pPr>
        <w:spacing w:after="40"/>
      </w:pPr>
      <w:r>
        <w:rPr>
          <w:i/>
          <w:sz w:val="18"/>
        </w:rPr>
        <w:t>Context: Company with distance, weather, traffic, vehicle type, driver experience.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on shipment records.</w:t>
      </w:r>
    </w:p>
    <w:p>
      <w:pPr>
        <w:pStyle w:val="ListBullet"/>
        <w:spacing w:after="20"/>
        <w:ind w:left="216"/>
      </w:pPr>
      <w:r>
        <w:rPr>
          <w:sz w:val="20"/>
        </w:rPr>
        <w:t>Target: Delayed_Shipment (1=Delayed, 0=On-Time).</w:t>
      </w:r>
    </w:p>
    <w:p>
      <w:pPr>
        <w:pStyle w:val="ListBullet"/>
        <w:spacing w:after="20"/>
        <w:ind w:left="216"/>
      </w:pPr>
      <w:r>
        <w:rPr>
          <w:sz w:val="20"/>
        </w:rPr>
        <w:t>Features: (1) Traffic Level (congestion index &gt;7 = 3× delay probability); (2) Distance (&gt;200km = exponential delay variance); (3) Driver Experience (&lt;1yr or &lt;85% on-time = higher delay risk).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Delays 5-15% of shipments. SMOTE creates realistic delay scenarios. Under-sampling rejected (loses on-time patterns for route optimization). Class weights ensure delay class is learned despite majority on-time data.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delivery reliability – need training data for diverse route conditions while 30% tests real-world delay prediction.</w:t>
      </w:r>
    </w:p>
    <w:p>
      <w:pPr>
        <w:pStyle w:val="ListBullet"/>
        <w:spacing w:after="20"/>
        <w:ind w:left="216"/>
      </w:pPr>
      <w:r>
        <w:rPr>
          <w:sz w:val="20"/>
        </w:rPr>
        <w:t>Preprocessing: Min-Max scaling (distance, traffic); One-Hot Encoding (weather, vehicle type); Ordinal encoding (driver experience tiers); Real-time feature engineering (traffic×distance interaction); Outlier capping (extreme weather events).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Traffic Level ≤ 7.0 (Gini – strongest external delay driver).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real-time congestion is the dominant controllable delay factor.</w:t>
      </w:r>
    </w:p>
    <w:p>
      <w:pPr>
        <w:pStyle w:val="ListBullet"/>
        <w:spacing w:after="20"/>
        <w:ind w:left="216"/>
      </w:pPr>
      <w:r>
        <w:rPr>
          <w:sz w:val="20"/>
        </w:rPr>
        <w:t>L0: Traffic ≤ 7? → L1: Distance ≤ 200km? → L2: Weather = Clear? | R1: Driver Exp &gt; 3yr? → R2: Vehicle Type = Truck?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Accuracy=86.4%, Precision=74.8%, Recall=79.2%, F1=76.9%.</w:t>
      </w:r>
    </w:p>
    <w:p>
      <w:pPr>
        <w:pStyle w:val="ListBullet"/>
        <w:spacing w:after="20"/>
        <w:ind w:left="216"/>
      </w:pPr>
      <w:r>
        <w:rPr>
          <w:sz w:val="20"/>
        </w:rPr>
        <w:t>FN = missed delays → broken SLA promises. Impact: Actual on-time drops to ~89% (vs 95% guarantee), $25/customer service cost + churn risk.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0.35; cost-sensitive (FN penalty ×4); ensemble with XGBoost; real-time traffic API features;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88.1% – overfits to holiday traffic patterns.</w:t>
      </w:r>
    </w:p>
    <w:p>
      <w:pPr>
        <w:pStyle w:val="ListBullet"/>
        <w:spacing w:after="20"/>
        <w:ind w:left="216"/>
      </w:pPr>
      <w:r>
        <w:rPr>
          <w:sz w:val="20"/>
        </w:rPr>
        <w:t>Post-prune: 86.4% (α=0.018) – consistent across seasons (val F1 75.1% vs 72.3%).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robust in dynamic logistics, simpler for dispatchers.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Naive Bayes: Acc=82.1%, AUC-ROC=0.87 | DT: Acc=86.4%, AUC-ROC=0.83.</w:t>
      </w:r>
    </w:p>
    <w:p>
      <w:pPr>
        <w:pStyle w:val="ListBullet"/>
        <w:spacing w:after="20"/>
        <w:ind w:left="216"/>
      </w:pPr>
      <w:r>
        <w:rPr>
          <w:sz w:val="20"/>
        </w:rPr>
        <w:t>NB preferred when: O(1) real-time inference needed (thousands of active shipments), features approximately independent (traffic, weather, driver), smooth probability estimates for ETA updates.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Traffic Level, Distance, Weather.</w:t>
      </w:r>
    </w:p>
    <w:p>
      <w:pPr>
        <w:pStyle w:val="ListBullet"/>
        <w:spacing w:after="20"/>
        <w:ind w:left="216"/>
      </w:pPr>
      <w:r>
        <w:rPr>
          <w:sz w:val="20"/>
        </w:rPr>
        <w:t>NB Top-3: Traffic Level, Driver Experience, Distance.</w:t>
      </w:r>
    </w:p>
    <w:p>
      <w:pPr>
        <w:pStyle w:val="ListBullet"/>
        <w:spacing w:after="20"/>
        <w:ind w:left="216"/>
      </w:pPr>
      <w:r>
        <w:rPr>
          <w:sz w:val="20"/>
        </w:rPr>
        <w:t>Agreement: Traffic and Distance are top predictors in both, validating logistics domain knowledge. DT emphasizes Weather (non-linear interaction with distance); NB highlights Driver Experience (independent probability). Agreement on Traffic/Distance confirms core delay drivers.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{On Schedule, Minor Risk, Moderate Risk, High Risk, Delayed, Delivered, Cancelled}.</w:t>
      </w:r>
    </w:p>
    <w:p>
      <w:pPr>
        <w:pStyle w:val="ListBullet"/>
        <w:spacing w:after="20"/>
        <w:ind w:left="216"/>
      </w:pPr>
      <w:r>
        <w:rPr>
          <w:sz w:val="20"/>
        </w:rPr>
        <w:t>Actions: {Reroute, Reassign Vehicle, Notify Customer, Continue Route}.</w:t>
      </w:r>
    </w:p>
    <w:p>
      <w:pPr>
        <w:pStyle w:val="ListBullet"/>
        <w:spacing w:after="20"/>
        <w:ind w:left="216"/>
      </w:pPr>
      <w:r>
        <w:rPr>
          <w:sz w:val="20"/>
        </w:rPr>
        <w:t>Reward: +8 (on-time after proactive action), +3 (on-time no intervention), -5 (unnecessary reroute = fuel+overtime), -10 (delayed without notification), -2 (unnecessary notification).</w:t>
      </w:r>
    </w:p>
    <w:p>
      <w:pPr>
        <w:pStyle w:val="ListBullet"/>
        <w:spacing w:after="20"/>
        <w:ind w:left="216"/>
      </w:pPr>
      <w:r>
        <w:rPr>
          <w:sz w:val="20"/>
        </w:rPr>
        <w:t>Transitions: Reroute from High Risk→On Schedule (0.60), Delayed (0.30). Notify from Moderate Risk→Delivered (0.85). Continue from High Risk→Delayed (0.75).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shipment episodes (complete delivery, 3-5 decision points each), ε=0.2 (decaying),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Q(High Risk, Reroute)=0→0.8 [r=+8, on-time via alternate route].</w:t>
      </w:r>
    </w:p>
    <w:p>
      <w:pPr>
        <w:pStyle w:val="ListBullet"/>
        <w:spacing w:after="20"/>
        <w:ind w:left="216"/>
      </w:pPr>
      <w:r>
        <w:rPr>
          <w:sz w:val="20"/>
        </w:rPr>
        <w:t>Update 2: Q(Moderate Risk, Continue)=0.3→-0.73 [r=-10, delayed, customer complaint].</w:t>
      </w:r>
    </w:p>
    <w:p>
      <w:pPr>
        <w:pStyle w:val="ListBullet"/>
        <w:spacing w:after="20"/>
        <w:ind w:left="216"/>
      </w:pPr>
      <w:r>
        <w:rPr>
          <w:sz w:val="20"/>
        </w:rPr>
        <w:t>Update 3: Q(Minor Risk, Notify)=0.1→0.39 [r=+3, customer appreciated heads-up].</w:t>
      </w:r>
    </w:p>
    <w:p>
      <w:pPr>
        <w:pStyle w:val="ListBullet"/>
        <w:spacing w:after="20"/>
        <w:ind w:left="216"/>
      </w:pPr>
      <w:r>
        <w:rPr>
          <w:sz w:val="20"/>
        </w:rPr>
        <w:t>Convergence: On-time &gt;93% with &lt;10% unnecessary reroute OR max|ΔQ|&lt;0.003 for 15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On Schedule→Continue; Minor Risk→Notify; Moderate Risk→Reroute; High Risk→Reroute+Notify; Delayed→Reassign Vehicle.</w:t>
      </w:r>
    </w:p>
    <w:p>
      <w:pPr>
        <w:pStyle w:val="ListBullet"/>
        <w:spacing w:after="20"/>
        <w:ind w:left="216"/>
      </w:pPr>
      <w:r>
        <w:rPr>
          <w:sz w:val="20"/>
        </w:rPr>
        <w:t>Ethics: (1) Driver workload – respect max driving hours, union agreements; (2) Safety – avoid hazardous reroutes through poor roads/high-crime zones; (3) Explainability – accurate delay reasons to customers; (4) Environmental – include carbon cost in reward to prevent excessive rerouting.</w:t>
      </w:r>
    </w:p>
    <w:p/>
    <w:p>
      <w:pPr>
        <w:spacing w:after="40" w:before="60"/>
      </w:pPr>
      <w:r>
        <w:rPr>
          <w:b/>
          <w:color w:val="C00000"/>
          <w:sz w:val="24"/>
        </w:rPr>
        <w:t>SCENARIO 6: Healthcare – Diabetes Early Diagnosis</w:t>
      </w:r>
    </w:p>
    <w:p>
      <w:pPr>
        <w:spacing w:after="40"/>
      </w:pPr>
      <w:r>
        <w:rPr>
          <w:i/>
          <w:sz w:val="18"/>
        </w:rPr>
        <w:t>Context: Company with age, BP, cholesterol, glucose, BMI, family history.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for clinical screening.</w:t>
      </w:r>
    </w:p>
    <w:p>
      <w:pPr>
        <w:pStyle w:val="ListBullet"/>
        <w:spacing w:after="20"/>
        <w:ind w:left="216"/>
      </w:pPr>
      <w:r>
        <w:rPr>
          <w:sz w:val="20"/>
        </w:rPr>
        <w:t>Target: Diabetes_Diagnosis (1=Diabetic/Prediabetic, 0=Non-diabetic).</w:t>
      </w:r>
    </w:p>
    <w:p>
      <w:pPr>
        <w:pStyle w:val="ListBullet"/>
        <w:spacing w:after="20"/>
        <w:ind w:left="216"/>
      </w:pPr>
      <w:r>
        <w:rPr>
          <w:sz w:val="20"/>
        </w:rPr>
        <w:t>Features: (1) Glucose Level (FPG ≥126 mg/dL = WHO threshold, most direct indicator); (2) BMI (&gt;30 = 3-7× risk, strongest modifiable factor); (3) Family History (≥2 affected first-degree relatives = ~50% lifetime risk).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Diabetes 10-12% prevalence (moderate imbalance). SMOTE generates diverse diabetic profiles. Under-sampling rejected (loses healthy population baseline). Class weights prevent healthy majority from dominating the classifier.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medical use – need large training set for diverse patient demographics while 30% ensures generalization across age/sex/ethnicity groups.</w:t>
      </w:r>
    </w:p>
    <w:p>
      <w:pPr>
        <w:pStyle w:val="ListBullet"/>
        <w:spacing w:after="20"/>
        <w:ind w:left="216"/>
      </w:pPr>
      <w:r>
        <w:rPr>
          <w:sz w:val="20"/>
        </w:rPr>
        <w:t>Preprocessing: Z-score normalization (glucose, BMI, BP, cholesterol); Binary encoding (family history); Missing imputation (clinical data often incomplete); Outlier treatment (extreme glucose values may be data entry errors); Feature engineering: BMI×Age interaction.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Glucose Level ≤ 126 mg/dL (Gini – clinical gold standard separator).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FPG is the WHO diagnostic threshold and most pathophysiologically direct indicator.</w:t>
      </w:r>
    </w:p>
    <w:p>
      <w:pPr>
        <w:pStyle w:val="ListBullet"/>
        <w:spacing w:after="20"/>
        <w:ind w:left="216"/>
      </w:pPr>
      <w:r>
        <w:rPr>
          <w:sz w:val="20"/>
        </w:rPr>
        <w:t>L0: Glucose ≤ 126? → L1: BMI ≤ 30? → L2: Family History = Yes? | R1: Age ≤ 45? → R2: BP ≤ 130/80?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Accuracy=89.7%, Precision=84.3%, Recall=81.5%, F1=82.9%.</w:t>
      </w:r>
    </w:p>
    <w:p>
      <w:pPr>
        <w:pStyle w:val="ListBullet"/>
        <w:spacing w:after="20"/>
        <w:ind w:left="216"/>
      </w:pPr>
      <w:r>
        <w:rPr>
          <w:sz w:val="20"/>
        </w:rPr>
        <w:t>FN = missed diabetes → no early intervention → complications (neuropathy, nephropathy, CVD). Impact: $50K+ downstream treatment per missed case; 185 missed per 10K screened (10% prevalence, 18.5% FN).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0.35; cost-sensitive (FN penalty ×8); ensemble with calibrated classifier; add HbA1c feature;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91.2% – conservative, misses lean diabetics (normal glucose + high BMI + family history).</w:t>
      </w:r>
    </w:p>
    <w:p>
      <w:pPr>
        <w:pStyle w:val="ListBullet"/>
        <w:spacing w:after="20"/>
        <w:ind w:left="216"/>
      </w:pPr>
      <w:r>
        <w:rPr>
          <w:sz w:val="20"/>
        </w:rPr>
        <w:t>Post-prune: 89.7% (α=0.025) – better recall (81.5% vs 78.1%), captures edge cases.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clinical priority is recall over accuracy; simpler for physician review.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Acc=87.3%, AUC-ROC=0.91 | DT: Acc=89.7%, AUC-ROC=0.87.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probability calibration essential for clinical risk scores (e.g., '30% 5-year risk'), interpretable odds ratios for guideline integration, regulatory compliance, smaller datasets.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Glucose Level, BMI, Age.</w:t>
      </w:r>
    </w:p>
    <w:p>
      <w:pPr>
        <w:pStyle w:val="ListBullet"/>
        <w:spacing w:after="20"/>
        <w:ind w:left="216"/>
      </w:pPr>
      <w:r>
        <w:rPr>
          <w:sz w:val="20"/>
        </w:rPr>
        <w:t>LR Top-3: Glucose (OR=5.67), BMI (OR=3.45), Family History (OR=2.89).</w:t>
      </w:r>
    </w:p>
    <w:p>
      <w:pPr>
        <w:pStyle w:val="ListBullet"/>
        <w:spacing w:after="20"/>
        <w:ind w:left="216"/>
      </w:pPr>
      <w:r>
        <w:rPr>
          <w:sz w:val="20"/>
        </w:rPr>
        <w:t>Agreement: Glucose and BMI are top 2 in both, consistent with ADA guidelines. DT picks Age (non-linear glucose×age interaction for Type 1 vs Type 2); LR picks Family History (consistent independent genetic contribution). Agreement on top 2 validates clinical foundation.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{Healthy, Prediabetic, Mild Diabetes, Moderate Diabetes, Severe Diabetes, Complications, Controlled}.</w:t>
      </w:r>
    </w:p>
    <w:p>
      <w:pPr>
        <w:pStyle w:val="ListBullet"/>
        <w:spacing w:after="20"/>
        <w:ind w:left="216"/>
      </w:pPr>
      <w:r>
        <w:rPr>
          <w:sz w:val="20"/>
        </w:rPr>
        <w:t>Actions: {Diet, Exercise, Medication, Monitor}.</w:t>
      </w:r>
    </w:p>
    <w:p>
      <w:pPr>
        <w:pStyle w:val="ListBullet"/>
        <w:spacing w:after="20"/>
        <w:ind w:left="216"/>
      </w:pPr>
      <w:r>
        <w:rPr>
          <w:sz w:val="20"/>
        </w:rPr>
        <w:t>Reward: +15 (remission/controlled), +5 (maintaining healthy), -5 (medication side effects), -20 (progression to complications).</w:t>
      </w:r>
    </w:p>
    <w:p>
      <w:pPr>
        <w:pStyle w:val="ListBullet"/>
        <w:spacing w:after="20"/>
        <w:ind w:left="216"/>
      </w:pPr>
      <w:r>
        <w:rPr>
          <w:sz w:val="20"/>
        </w:rPr>
        <w:t>Transitions: Diet+Exercise from Prediabetic→Healthy (0.50), Mild Diabetes (0.15). Medication from Moderate→Controlled (0.65), Severe (0.20). Monitor from Healthy→Prediabetic (0.10).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patient episodes (12-month journey, quarterly assessments), ε=0.15 (low exploration, high stakes),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Q(Prediabetic, Diet+Exercise)=0→1.5 [r=+15, reversed to Healthy, HbA1c 6.2%→5.4%].</w:t>
      </w:r>
    </w:p>
    <w:p>
      <w:pPr>
        <w:pStyle w:val="ListBullet"/>
        <w:spacing w:after="20"/>
        <w:ind w:left="216"/>
      </w:pPr>
      <w:r>
        <w:rPr>
          <w:sz w:val="20"/>
        </w:rPr>
        <w:t>Update 2: Q(Moderate, Monitor)=0.2→-1.82 [r=-20, progressed to nephropathy].</w:t>
      </w:r>
    </w:p>
    <w:p>
      <w:pPr>
        <w:pStyle w:val="ListBullet"/>
        <w:spacing w:after="20"/>
        <w:ind w:left="216"/>
      </w:pPr>
      <w:r>
        <w:rPr>
          <w:sz w:val="20"/>
        </w:rPr>
        <w:t>Update 3: Q(Mild, Medication)=0.5→0.95 [r=+5, stabilized, prevented progression].</w:t>
      </w:r>
    </w:p>
    <w:p>
      <w:pPr>
        <w:pStyle w:val="ListBullet"/>
        <w:spacing w:after="20"/>
        <w:ind w:left="216"/>
      </w:pPr>
      <w:r>
        <w:rPr>
          <w:sz w:val="20"/>
        </w:rPr>
        <w:t>Convergence: &gt;70% progression prevention OR max|ΔQ|&lt;0.001 for 20 episodes (strict medical safety).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Healthy→Monitor; Prediabetic→Diet+Exercise; Mild→Diet+Exercise+Monitor; Moderate→Medication+Diet; Severe→Medication+Exercise; Complications→Medication+Specialist; Controlled→Monitor+Lifestyle.</w:t>
      </w:r>
    </w:p>
    <w:p>
      <w:pPr>
        <w:pStyle w:val="ListBullet"/>
        <w:spacing w:after="20"/>
        <w:ind w:left="216"/>
      </w:pPr>
      <w:r>
        <w:rPr>
          <w:sz w:val="20"/>
        </w:rPr>
        <w:t>Ethics: (1) Patient safety – medication requires physician approval, agent is decision-support only; (2) Bias – validate across ethnicities (different BMI thresholds for South Asians, African Americans); (3) Explainability – patients/clinicians need understandable risk factors for informed consent; (4) Privacy – HIPAA/GDPR compliance, encrypted de-identified data.</w:t>
      </w:r>
    </w:p>
    <w:p/>
    <w:p>
      <w:pPr>
        <w:spacing w:after="40" w:before="60"/>
      </w:pPr>
      <w:r>
        <w:rPr>
          <w:b/>
          <w:color w:val="C00000"/>
          <w:sz w:val="24"/>
        </w:rPr>
        <w:t>SCENARIO 7: Banking – Loan Default Prediction</w:t>
      </w:r>
    </w:p>
    <w:p>
      <w:pPr>
        <w:spacing w:after="40"/>
      </w:pPr>
      <w:r>
        <w:rPr>
          <w:i/>
          <w:sz w:val="18"/>
        </w:rPr>
        <w:t>Context: Bank with income, credit score, loan amount, employment type, existing debts, repayment history.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for credit risk assessment.</w:t>
      </w:r>
    </w:p>
    <w:p>
      <w:pPr>
        <w:pStyle w:val="ListBullet"/>
        <w:spacing w:after="20"/>
        <w:ind w:left="216"/>
      </w:pPr>
      <w:r>
        <w:rPr>
          <w:sz w:val="20"/>
        </w:rPr>
        <w:t>Target: Loan_Default (1=Default within 24mo, 0=Repaid).</w:t>
      </w:r>
    </w:p>
    <w:p>
      <w:pPr>
        <w:pStyle w:val="ListBullet"/>
        <w:spacing w:after="20"/>
        <w:ind w:left="216"/>
      </w:pPr>
      <w:r>
        <w:rPr>
          <w:sz w:val="20"/>
        </w:rPr>
        <w:t>Features: (1) Credit Score (&lt;620 = subprime, 3-5× default rate); (2) Debt-to-Income Ratio (&gt;43% = regulatory threshold, &gt;50% = 40%+ default probability); (3) Repayment History (≥2 missed payments/12mo = 80% default probability).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Default 2-8% (prime) to 15-25% (subprime). SMOTE creates diverse default profiles. Under-sampling rejected (loses non-default patterns for credit pricing). Class weights ensure default class is learned for risk-appropriate pricing.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credit risk – need large training set for diverse borrower profiles while 30% tests generalization across economic cycles.</w:t>
      </w:r>
    </w:p>
    <w:p>
      <w:pPr>
        <w:pStyle w:val="ListBullet"/>
        <w:spacing w:after="20"/>
        <w:ind w:left="216"/>
      </w:pPr>
      <w:r>
        <w:rPr>
          <w:sz w:val="20"/>
        </w:rPr>
        <w:t>Preprocessing: Z-score normalization (income, loan amount); One-Hot Encoding (employment type); Log-transform (debt amounts); Missing imputation (credit scores sometimes unavailable); Derived feature: DTI ratio; Outlier capping (extreme income outliers).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Credit Score ≤ 620 (Gini – most statistically validated predictor).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FICO scores aggregate payment history, utilization, length of credit into a single validated metric.</w:t>
      </w:r>
    </w:p>
    <w:p>
      <w:pPr>
        <w:pStyle w:val="ListBullet"/>
        <w:spacing w:after="20"/>
        <w:ind w:left="216"/>
      </w:pPr>
      <w:r>
        <w:rPr>
          <w:sz w:val="20"/>
        </w:rPr>
        <w:t>L0: Credit Score ≤ 620? → L1: DTI ≤ 43%? → L2: Repayment History ≤ 1 miss? | R1: Employment = Salaried? → R2: Loan Amount ≤ Income×3?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Accuracy=90.5%, Precision=76.8%, Recall=83.4%, F1=79.9%.</w:t>
      </w:r>
    </w:p>
    <w:p>
      <w:pPr>
        <w:pStyle w:val="ListBullet"/>
        <w:spacing w:after="20"/>
        <w:ind w:left="216"/>
      </w:pPr>
      <w:r>
        <w:rPr>
          <w:sz w:val="20"/>
        </w:rPr>
        <w:t>FN = missed defaulters → unexpected losses. Impact: $25K avg loss × 16.6% FN rate × 10K loans (8% default) = $3.325M unexpected loss; threatens Basel capital adequacy.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0.3; cost-sensitive (FN penalty ×6); ensemble with gradient boosting; add macroeconomic features (unemployment rate); ADASYN.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92.1% – overfits to economic cycle patterns from training period.</w:t>
      </w:r>
    </w:p>
    <w:p>
      <w:pPr>
        <w:pStyle w:val="ListBullet"/>
        <w:spacing w:after="20"/>
        <w:ind w:left="216"/>
      </w:pPr>
      <w:r>
        <w:rPr>
          <w:sz w:val="20"/>
        </w:rPr>
        <w:t>Post-prune: 90.5% (α=0.01) – stable across macro conditions (val recall 82.1% vs 79.8%).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auditable for regulatory scrutiny, simpler for loan officers.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Acc=88.2%, AUC-ROC=0.93 | DT: Acc=90.5%, AUC-ROC=0.88.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industry standard for credit scoring (FICO uses logistic), well-calibrated probabilities for risk-based pricing, fully interpretable coefficients for adverse action notices (Fair Credit Reporting Act, ECOA compliance).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Credit Score, DTI Ratio, Repayment History.</w:t>
      </w:r>
    </w:p>
    <w:p>
      <w:pPr>
        <w:pStyle w:val="ListBullet"/>
        <w:spacing w:after="20"/>
        <w:ind w:left="216"/>
      </w:pPr>
      <w:r>
        <w:rPr>
          <w:sz w:val="20"/>
        </w:rPr>
        <w:t>LR Top-3: Credit Score (β=-3.12), DTI (β=2.78), Employment Type (β=1.95).</w:t>
      </w:r>
    </w:p>
    <w:p>
      <w:pPr>
        <w:pStyle w:val="ListBullet"/>
        <w:spacing w:after="20"/>
        <w:ind w:left="216"/>
      </w:pPr>
      <w:r>
        <w:rPr>
          <w:sz w:val="20"/>
        </w:rPr>
        <w:t>Agreement: Credit Score and DTI are top 2 in both, consistent with decades of credit risk research. DT picks Repayment History (non-linear threshold at 2 misses); LR picks Employment Type (linear stable vs. self-employed risk). Agreement on top 2 validates automated underwriting design.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{New Application, Good Standing, Minor Delinquency, Moderate Delinquency, Severe Delinquency, Default, Restructured}.</w:t>
      </w:r>
    </w:p>
    <w:p>
      <w:pPr>
        <w:pStyle w:val="ListBullet"/>
        <w:spacing w:after="20"/>
        <w:ind w:left="216"/>
      </w:pPr>
      <w:r>
        <w:rPr>
          <w:sz w:val="20"/>
        </w:rPr>
        <w:t>Actions: {Approve, Reject, Restructure, Monitor}.</w:t>
      </w:r>
    </w:p>
    <w:p>
      <w:pPr>
        <w:pStyle w:val="ListBullet"/>
        <w:spacing w:after="20"/>
        <w:ind w:left="216"/>
      </w:pPr>
      <w:r>
        <w:rPr>
          <w:sz w:val="20"/>
        </w:rPr>
        <w:t>Reward: +12 (full repayment), +8 (recovery via restructuring), -15 (default loss), -5 (unnecessary rejection = lost interest), -3 (unnecessary restructuring cost).</w:t>
      </w:r>
    </w:p>
    <w:p>
      <w:pPr>
        <w:pStyle w:val="ListBullet"/>
        <w:spacing w:after="20"/>
        <w:ind w:left="216"/>
      </w:pPr>
      <w:r>
        <w:rPr>
          <w:sz w:val="20"/>
        </w:rPr>
        <w:t>Transitions: Restructure from Moderate→Restructured (0.55), Default (0.30). Monitor from Minor→Good Standing (0.40), Moderate (0.45).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customer episodes (24-month loan lifecycle, monthly decisions), ε=0.2 (decaying),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Q(Moderate Delinquency, Restructure)=0→0.8 [r=+8, recovered via term extension].</w:t>
      </w:r>
    </w:p>
    <w:p>
      <w:pPr>
        <w:pStyle w:val="ListBullet"/>
        <w:spacing w:after="20"/>
        <w:ind w:left="216"/>
      </w:pPr>
      <w:r>
        <w:rPr>
          <w:sz w:val="20"/>
        </w:rPr>
        <w:t>Update 2: Q(Minor Delinquency, Monitor)=0.3→-1.23 [r=-15, progressed to Default, charge-off].</w:t>
      </w:r>
    </w:p>
    <w:p>
      <w:pPr>
        <w:pStyle w:val="ListBullet"/>
        <w:spacing w:after="20"/>
        <w:ind w:left="216"/>
      </w:pPr>
      <w:r>
        <w:rPr>
          <w:sz w:val="20"/>
        </w:rPr>
        <w:t>Update 3: Q(New Application, Approve)=0.5→1.65 [r=+12, repaid in full, profitable loan].</w:t>
      </w:r>
    </w:p>
    <w:p>
      <w:pPr>
        <w:pStyle w:val="ListBullet"/>
        <w:spacing w:after="20"/>
        <w:ind w:left="216"/>
      </w:pPr>
      <w:r>
        <w:rPr>
          <w:sz w:val="20"/>
        </w:rPr>
        <w:t>Convergence: &lt;5% default rate with &gt;85% approval rate OR max|ΔQ|&lt;0.002 for 20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New App (Score&gt;700, DTI&lt;40%)→Approve; New App (Score&lt;620 or DTI&gt;50%)→Reject; Good Standing→Monitor; Minor→Monitor+Alert; Moderate→Restructure; Severe→Restructure+Collections; Default→Charge-off.</w:t>
      </w:r>
    </w:p>
    <w:p>
      <w:pPr>
        <w:pStyle w:val="ListBullet"/>
        <w:spacing w:after="20"/>
        <w:ind w:left="216"/>
      </w:pPr>
      <w:r>
        <w:rPr>
          <w:sz w:val="20"/>
        </w:rPr>
        <w:t>Ethics: (1) Fairness – audit for disparate impact under ECOA (approval rate difference &lt;10% across protected classes); (2) Bias – avoid penalizing gig workers, single parents, immigrants; use alternative data (utility payments); (3) Explainability – adverse action notices require primary reason disclosure; (4) Predatory lending – hard-code interest rate caps, prohibit high-risk approvals at predatory rates.</w:t>
      </w:r>
    </w:p>
    <w:p/>
    <w:p>
      <w:pPr>
        <w:spacing w:after="40" w:before="60"/>
      </w:pPr>
      <w:r>
        <w:rPr>
          <w:b/>
          <w:color w:val="C00000"/>
          <w:sz w:val="24"/>
        </w:rPr>
        <w:t>SCENARIO 8: Retail – Customer Churn Prediction</w:t>
      </w:r>
    </w:p>
    <w:p>
      <w:pPr>
        <w:spacing w:after="40"/>
      </w:pPr>
      <w:r>
        <w:rPr>
          <w:i/>
          <w:sz w:val="18"/>
        </w:rPr>
        <w:t>Context: Chain with purchase frequency, AOV, complaint history, loyalty tenure, last purchase date.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for retention marketing.</w:t>
      </w:r>
    </w:p>
    <w:p>
      <w:pPr>
        <w:pStyle w:val="ListBullet"/>
        <w:spacing w:after="20"/>
        <w:ind w:left="216"/>
      </w:pPr>
      <w:r>
        <w:rPr>
          <w:sz w:val="20"/>
        </w:rPr>
        <w:t>Target: Customer_Churn (1=Churn within 90d, 0=Active).</w:t>
      </w:r>
    </w:p>
    <w:p>
      <w:pPr>
        <w:pStyle w:val="ListBullet"/>
        <w:spacing w:after="20"/>
        <w:ind w:left="216"/>
      </w:pPr>
      <w:r>
        <w:rPr>
          <w:sz w:val="20"/>
        </w:rPr>
        <w:t>Features: (1) Last Purchase Date/Recency (&gt;90d = 60-70% churn probability); (2) Purchase Frequency (decline from 4→1 orders/quarter = early signal); (3) Complaint History (≥2 unresolved = 4× churn rate; resolved = loyalty gain).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Churn 15-30% annually (moderate imbalance). SMOTE creates diverse churner profiles. Under-sampling rejected (loses loyal customer patterns for LTV modeling). Class weights ensure churners are not ignored by the model.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customer retention – need training data for seasonal churn patterns while 30% tests campaign effectiveness estimation.</w:t>
      </w:r>
    </w:p>
    <w:p>
      <w:pPr>
        <w:pStyle w:val="ListBullet"/>
        <w:spacing w:after="20"/>
        <w:ind w:left="216"/>
      </w:pPr>
      <w:r>
        <w:rPr>
          <w:sz w:val="20"/>
        </w:rPr>
        <w:t>Preprocessing: Min-Max scaling (AOV, tenure); One-Hot Encoding (complaint categories); Recency transformation (days since last purchase); Trend feature (frequency slope over 4 quarters); Outlier capping (extreme AOV from bulk buyers).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Last Purchase Date/Recency ≤ 90 days (Gini – strongest behavioral predictor).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recency is the cornerstone of RFM marketing theory.</w:t>
      </w:r>
    </w:p>
    <w:p>
      <w:pPr>
        <w:pStyle w:val="ListBullet"/>
        <w:spacing w:after="20"/>
        <w:ind w:left="216"/>
      </w:pPr>
      <w:r>
        <w:rPr>
          <w:sz w:val="20"/>
        </w:rPr>
        <w:t>L0: Recency ≤ 90d? → L1: Purchase Frequency ≤ 2/quarter? → L2: Complaints ≥ 2 unresolved? | R1: Loyalty Tenure ≤ 1yr? → R2: AOV ≤ $50?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Accuracy=85.2%, Precision=79.4%, Recall=74.6%, F1=76.9%.</w:t>
      </w:r>
    </w:p>
    <w:p>
      <w:pPr>
        <w:pStyle w:val="ListBullet"/>
        <w:spacing w:after="20"/>
        <w:ind w:left="216"/>
      </w:pPr>
      <w:r>
        <w:rPr>
          <w:sz w:val="20"/>
        </w:rPr>
        <w:t>FN = missed churners → lost LTV. Impact: Avg LTV $1,200 × 25.4% FN rate × 10K customers (20% churn) = $609,600 lost LTV + $76,200 replacement acquisition cost.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0.4; cost-sensitive (FN penalty ×4); ensemble with survival analysis; add engagement features (email opens);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87.3% – overfits to promotional calendar effects.</w:t>
      </w:r>
    </w:p>
    <w:p>
      <w:pPr>
        <w:pStyle w:val="ListBullet"/>
        <w:spacing w:after="20"/>
        <w:ind w:left="216"/>
      </w:pPr>
      <w:r>
        <w:rPr>
          <w:sz w:val="20"/>
        </w:rPr>
        <w:t>Post-prune: 85.2% (α=0.022) – consistent across quarters (val F1 75.1% vs 72.8%).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stable under frequent promotional changes, simpler for marketing teams.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Logistic Regression: Acc=82.8%, AUC-ROC=0.88 | DT: Acc=85.2%, AUC-ROC=0.84.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probability calibration needed for campaign targeting (e.g., offer to &gt;60% churn probability), interpretable coefficients for marketing strategy (e.g., 'each day recency increases churn odds 2.3%').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Recency, Purchase Frequency, Loyalty Tenure.</w:t>
      </w:r>
    </w:p>
    <w:p>
      <w:pPr>
        <w:pStyle w:val="ListBullet"/>
        <w:spacing w:after="20"/>
        <w:ind w:left="216"/>
      </w:pPr>
      <w:r>
        <w:rPr>
          <w:sz w:val="20"/>
        </w:rPr>
        <w:t>LR Top-3: Recency (OR=4.12), Complaint History (OR=3.56), AOV (OR=2.34).</w:t>
      </w:r>
    </w:p>
    <w:p>
      <w:pPr>
        <w:pStyle w:val="ListBullet"/>
        <w:spacing w:after="20"/>
        <w:ind w:left="216"/>
      </w:pPr>
      <w:r>
        <w:rPr>
          <w:sz w:val="20"/>
        </w:rPr>
        <w:t>Agreement: Recency is #1 in both, validating RFM theory. DT picks Frequency (non-linear interaction with recency); LR picks Complaints (strong linear odds ratio). Agreement on Recency validates churn prediction core; divergence reflects behavioral vs. attitudinal signal sensitivity.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{New Customer, Active Loyal, At Risk, Declining, Churned, Reactivated}.</w:t>
      </w:r>
    </w:p>
    <w:p>
      <w:pPr>
        <w:pStyle w:val="ListBullet"/>
        <w:spacing w:after="20"/>
        <w:ind w:left="216"/>
      </w:pPr>
      <w:r>
        <w:rPr>
          <w:sz w:val="20"/>
        </w:rPr>
        <w:t>Actions: {Discount, Loyalty Offer, Personal Outreach, No Action}.</w:t>
      </w:r>
    </w:p>
    <w:p>
      <w:pPr>
        <w:pStyle w:val="ListBullet"/>
        <w:spacing w:after="20"/>
        <w:ind w:left="216"/>
      </w:pPr>
      <w:r>
        <w:rPr>
          <w:sz w:val="20"/>
        </w:rPr>
        <w:t>Reward: +10 (retention), +3 (reactivation), -4 (unnecessary discount = margin erosion), -2 (unnecessary outreach cost), -8 (churn without intervention).</w:t>
      </w:r>
    </w:p>
    <w:p>
      <w:pPr>
        <w:pStyle w:val="ListBullet"/>
        <w:spacing w:after="20"/>
        <w:ind w:left="216"/>
      </w:pPr>
      <w:r>
        <w:rPr>
          <w:sz w:val="20"/>
        </w:rPr>
        <w:t>Transitions: Outreach from At Risk→Active Loyal (0.45), Declining (0.30). Discount from Declining→Active Loyal (0.35), Churned (0.40). No Action from At Risk→Churned (0.65).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customer episodes (12-month relationship, monthly decisions), ε=0.25,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Q(At Risk, Outreach)=0→1.0 [r=+10, customer felt valued, remained loyal].</w:t>
      </w:r>
    </w:p>
    <w:p>
      <w:pPr>
        <w:pStyle w:val="ListBullet"/>
        <w:spacing w:after="20"/>
        <w:ind w:left="216"/>
      </w:pPr>
      <w:r>
        <w:rPr>
          <w:sz w:val="20"/>
        </w:rPr>
        <w:t>Update 2: Q(Declining, No Action)=0.1→-0.71 [r=-8, churned, no attempt to save].</w:t>
      </w:r>
    </w:p>
    <w:p>
      <w:pPr>
        <w:pStyle w:val="ListBullet"/>
        <w:spacing w:after="20"/>
        <w:ind w:left="216"/>
      </w:pPr>
      <w:r>
        <w:rPr>
          <w:sz w:val="20"/>
        </w:rPr>
        <w:t>Update 3: Q(At Risk, Discount)=0.3→-0.13 [r=-4, used discount but churned next month].</w:t>
      </w:r>
    </w:p>
    <w:p>
      <w:pPr>
        <w:pStyle w:val="ListBullet"/>
        <w:spacing w:after="20"/>
        <w:ind w:left="216"/>
      </w:pPr>
      <w:r>
        <w:rPr>
          <w:sz w:val="20"/>
        </w:rPr>
        <w:t>Convergence: Retention &gt;75% with &lt;20% unnecessary intervention OR max|ΔQ|&lt;0.004 for 15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New Customer→Loyalty Offer; Active Loyal→No Action; At Risk→Personal Outreach; Declining→Loyalty Offer; Churned→Discount (win-back); Reactivated→Personal Outreach.</w:t>
      </w:r>
    </w:p>
    <w:p>
      <w:pPr>
        <w:pStyle w:val="ListBullet"/>
        <w:spacing w:after="20"/>
        <w:ind w:left="216"/>
      </w:pPr>
      <w:r>
        <w:rPr>
          <w:sz w:val="20"/>
        </w:rPr>
        <w:t>Ethics: (1) Fairness – equitable outreach regardless of AOV, no exclusion of low-spenders; (2) Manipulation – limit contact frequency (max 1/month), prohibit deceptive urgency; (3) Transparency – explain why offers given, avoid hidden profiling; (4) Privacy – explicit consent for retention marketing, honor opt-outs immediately.</w:t>
      </w:r>
    </w:p>
    <w:p/>
    <w:p>
      <w:pPr>
        <w:spacing w:after="40" w:before="60"/>
      </w:pPr>
      <w:r>
        <w:rPr>
          <w:b/>
          <w:color w:val="C00000"/>
          <w:sz w:val="24"/>
        </w:rPr>
        <w:t>SCENARIO 9: Manufacturing – Equipment Failure Prediction</w:t>
      </w:r>
    </w:p>
    <w:p>
      <w:pPr>
        <w:spacing w:after="40"/>
      </w:pPr>
      <w:r>
        <w:rPr>
          <w:i/>
          <w:sz w:val="18"/>
        </w:rPr>
        <w:t>Context: Plant with vibration, temperature, operating hours, past maintenance count, load percentage.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on sensor telemetry.</w:t>
      </w:r>
    </w:p>
    <w:p>
      <w:pPr>
        <w:pStyle w:val="ListBullet"/>
        <w:spacing w:after="20"/>
        <w:ind w:left="216"/>
      </w:pPr>
      <w:r>
        <w:rPr>
          <w:sz w:val="20"/>
        </w:rPr>
        <w:t>Target: Equipment_Failure (1=Failure within 7d, 0=Normal).</w:t>
      </w:r>
    </w:p>
    <w:p>
      <w:pPr>
        <w:pStyle w:val="ListBullet"/>
        <w:spacing w:after="20"/>
        <w:ind w:left="216"/>
      </w:pPr>
      <w:r>
        <w:rPr>
          <w:sz w:val="20"/>
        </w:rPr>
        <w:t>Features: (1) Vibration Level (RMS &gt;4.5 mm/s = ISO 10816 alert, bearing wear/misalignment); (2) Temperature (delta &gt;20°C = lubrication/cooling failure, 48-72hr MTTF); (3) Operating Hours since Maintenance (&gt;30% over interval = 5× failure rate).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Failures &lt;2% of machine-hours (severe imbalance). SMOTE creates diverse failure signatures. Under-sampling rejected (loses normal operation baseline for anomaly detection). Class weights ensure rare failures are learned.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predictive maintenance – need large training set for diverse equipment types while 30% tests generalization across machine models.</w:t>
      </w:r>
    </w:p>
    <w:p>
      <w:pPr>
        <w:pStyle w:val="ListBullet"/>
        <w:spacing w:after="20"/>
        <w:ind w:left="216"/>
      </w:pPr>
      <w:r>
        <w:rPr>
          <w:sz w:val="20"/>
        </w:rPr>
        <w:t>Preprocessing: Z-score normalization (vibration, temperature, load); One-Hot Encoding (machine type); Time-series aggregation (hourly RMS, daily max temp); Missing imputation (sensor dropouts); Derived feature: hours since maintenance / recommended interval; Outlier capping (sensor spikes).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Vibration Level ≤ 4.5 mm/s (Gini – ISO 10816 alert threshold).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vibration is the most direct mechanical health indicator per predictive maintenance standards.</w:t>
      </w:r>
    </w:p>
    <w:p>
      <w:pPr>
        <w:pStyle w:val="ListBullet"/>
        <w:spacing w:after="20"/>
        <w:ind w:left="216"/>
      </w:pPr>
      <w:r>
        <w:rPr>
          <w:sz w:val="20"/>
        </w:rPr>
        <w:t>L0: Vibration ≤ 4.5? → L1: Temperature Delta ≤ 20°C? → L2: Hours Since Maint ≤ 130% interval? | R1: Load ≤ 80%? → R2: Past Maint Count ≤ 3?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Accuracy=93.8%, Precision=81.4%, Recall=88.7%, F1=84.9%.</w:t>
      </w:r>
    </w:p>
    <w:p>
      <w:pPr>
        <w:pStyle w:val="ListBullet"/>
        <w:spacing w:after="20"/>
        <w:ind w:left="216"/>
      </w:pPr>
      <w:r>
        <w:rPr>
          <w:sz w:val="20"/>
        </w:rPr>
        <w:t>FN = missed failures → catastrophic downtime/safety risk. Impact: $50K-$500K/hr unplanned downtime; worker injury from rotating parts; cascade line failures.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0.25; cost-sensitive (FN penalty ×10); ensemble with isolation forest; add frequency spectrum features (FFT);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95.1% (203 nodes) – overfits to specific machine models.</w:t>
      </w:r>
    </w:p>
    <w:p>
      <w:pPr>
        <w:pStyle w:val="ListBullet"/>
        <w:spacing w:after="20"/>
        <w:ind w:left="216"/>
      </w:pPr>
      <w:r>
        <w:rPr>
          <w:sz w:val="20"/>
        </w:rPr>
        <w:t>Post-prune: 93.8% (α=0.009) – better val recall (87.2% vs 84.5%), 60% fewer nodes.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generalizes across equipment, interpretable for maintenance technicians.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Naive Bayes: Acc=89.4%, AUC-ROC=0.93 | DT: Acc=93.8%, AUC-ROC=0.90.</w:t>
      </w:r>
    </w:p>
    <w:p>
      <w:pPr>
        <w:pStyle w:val="ListBullet"/>
        <w:spacing w:after="20"/>
        <w:ind w:left="216"/>
      </w:pPr>
      <w:r>
        <w:rPr>
          <w:sz w:val="20"/>
        </w:rPr>
        <w:t>NB preferred when: O(1) inference for edge computing (PLC/SCADA integration), features approximately independent (different physical mechanisms), excellent probability calibration for risk-based maintenance scheduling.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Vibration, Temperature, Operating Hours since Maintenance.</w:t>
      </w:r>
    </w:p>
    <w:p>
      <w:pPr>
        <w:pStyle w:val="ListBullet"/>
        <w:spacing w:after="20"/>
        <w:ind w:left="216"/>
      </w:pPr>
      <w:r>
        <w:rPr>
          <w:sz w:val="20"/>
        </w:rPr>
        <w:t>NB Top-3: Vibration, Load Percentage, Past Maintenance Count.</w:t>
      </w:r>
    </w:p>
    <w:p>
      <w:pPr>
        <w:pStyle w:val="ListBullet"/>
        <w:spacing w:after="20"/>
        <w:ind w:left="216"/>
      </w:pPr>
      <w:r>
        <w:rPr>
          <w:sz w:val="20"/>
        </w:rPr>
        <w:t>Agreement: Vibration is #1 in both, validating ISO PdM standards. DT emphasizes Temperature/Hours (non-linear interaction); NB highlights Load/Maintenance (independent probability). Agreement on Vibration confirms foundational PdM strategy.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{Healthy, Early Degradation, Warning, Alert, Critical, Failed, Under Maintenance}.</w:t>
      </w:r>
    </w:p>
    <w:p>
      <w:pPr>
        <w:pStyle w:val="ListBullet"/>
        <w:spacing w:after="20"/>
        <w:ind w:left="216"/>
      </w:pPr>
      <w:r>
        <w:rPr>
          <w:sz w:val="20"/>
        </w:rPr>
        <w:t>Actions: {Inspect, Lubricate, Replace Part, Continue Operation}.</w:t>
      </w:r>
    </w:p>
    <w:p>
      <w:pPr>
        <w:pStyle w:val="ListBullet"/>
        <w:spacing w:after="20"/>
        <w:ind w:left="216"/>
      </w:pPr>
      <w:r>
        <w:rPr>
          <w:sz w:val="20"/>
        </w:rPr>
        <w:t>Reward: +12 (failure prevented via replacement), +6 (life extended via lubrication), -3 (unnecessary inspection = production interruption), -8 (unnecessary replacement = parts+labor), -25 (unplanned failure = downtime+safety).</w:t>
      </w:r>
    </w:p>
    <w:p>
      <w:pPr>
        <w:pStyle w:val="ListBullet"/>
        <w:spacing w:after="20"/>
        <w:ind w:left="216"/>
      </w:pPr>
      <w:r>
        <w:rPr>
          <w:sz w:val="20"/>
        </w:rPr>
        <w:t>Transitions: Replace Part from Alert→Healthy (0.80), Under Maintenance (0.15). Lubricate from Warning→Healthy (0.55), Early Degradation (0.30). Continue from Critical→Failed (0.85).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machine episodes (30-day period, daily decisions), ε=0.3 (high exploration, high cost of wrong actions),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Q(Alert, Replace Part)=0→1.2 [r=+12, prevented bearing failure, no unplanned downtime].</w:t>
      </w:r>
    </w:p>
    <w:p>
      <w:pPr>
        <w:pStyle w:val="ListBullet"/>
        <w:spacing w:after="20"/>
        <w:ind w:left="216"/>
      </w:pPr>
      <w:r>
        <w:rPr>
          <w:sz w:val="20"/>
        </w:rPr>
        <w:t>Update 2: Q(Warning, Continue)=0.2→-2.32 [r=-25, catastrophic gearbox failure, 12hr downtime].</w:t>
      </w:r>
    </w:p>
    <w:p>
      <w:pPr>
        <w:pStyle w:val="ListBullet"/>
        <w:spacing w:after="20"/>
        <w:ind w:left="216"/>
      </w:pPr>
      <w:r>
        <w:rPr>
          <w:sz w:val="20"/>
        </w:rPr>
        <w:t>Update 3: Q(Early Degradation, Lubricate)=0.1→0.69 [r=+6, restored operation, extended bearing life 2 weeks].</w:t>
      </w:r>
    </w:p>
    <w:p>
      <w:pPr>
        <w:pStyle w:val="ListBullet"/>
        <w:spacing w:after="20"/>
        <w:ind w:left="216"/>
      </w:pPr>
      <w:r>
        <w:rPr>
          <w:sz w:val="20"/>
        </w:rPr>
        <w:t>Convergence: Unplanned failure &lt;1% with &lt;15% unnecessary maintenance OR max|ΔQ|&lt;0.002 for 25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Healthy→Continue; Early Degradation→Lubricate; Warning→Inspect; Alert→Replace Part; Critical→Replace Part+Emergency Stop; Failed→Repair; Under Maintenance→Continue (post-maint monitoring).</w:t>
      </w:r>
    </w:p>
    <w:p>
      <w:pPr>
        <w:pStyle w:val="ListBullet"/>
        <w:spacing w:after="20"/>
        <w:ind w:left="216"/>
      </w:pPr>
      <w:r>
        <w:rPr>
          <w:sz w:val="20"/>
        </w:rPr>
        <w:t>Ethics: (1) Worker safety – enforce LOTO, never recommend maintenance on energized equipment; (2) Cost trade-offs – include sustainability metrics (spare parts carbon footprint, waste disposal); (3) Explainability – technicians need physical failure mode mapping (e.g., 'Replace: vibration indicates inner race defect'); (4) Job displacement – retrain workers as AI supervisors, ensure just transition.</w:t>
      </w:r>
    </w:p>
    <w:p/>
    <w:p>
      <w:pPr>
        <w:spacing w:after="40" w:before="60"/>
      </w:pPr>
      <w:r>
        <w:rPr>
          <w:b/>
          <w:color w:val="C00000"/>
          <w:sz w:val="24"/>
        </w:rPr>
        <w:t>SCENARIO 10: Agri-Tech – Crop Yield Estimation</w:t>
      </w:r>
    </w:p>
    <w:p>
      <w:pPr>
        <w:spacing w:after="40"/>
      </w:pPr>
      <w:r>
        <w:rPr>
          <w:i/>
          <w:sz w:val="18"/>
        </w:rPr>
        <w:t>Context: Company with soil moisture, rainfall, fertilizer, temperature, crop type, past yield.</w:t>
      </w:r>
    </w:p>
    <w:p>
      <w:pPr>
        <w:spacing w:after="40" w:before="60"/>
      </w:pPr>
      <w:r>
        <w:rPr>
          <w:b/>
          <w:color w:val="1F4E78"/>
          <w:sz w:val="22"/>
        </w:rPr>
        <w:t>Task 1: Data Preparation &amp; Inductive Learning</w:t>
      </w:r>
    </w:p>
    <w:p>
      <w:pPr>
        <w:spacing w:after="20"/>
      </w:pPr>
      <w:r>
        <w:rPr>
          <w:b/>
          <w:sz w:val="20"/>
        </w:rPr>
        <w:t>(a) Approach, Target &amp; Features</w:t>
      </w:r>
    </w:p>
    <w:p>
      <w:pPr>
        <w:pStyle w:val="ListBullet"/>
        <w:spacing w:after="20"/>
        <w:ind w:left="216"/>
      </w:pPr>
      <w:r>
        <w:rPr>
          <w:sz w:val="20"/>
        </w:rPr>
        <w:t>Approach: Supervised classification (or regression for continuous yield).</w:t>
      </w:r>
    </w:p>
    <w:p>
      <w:pPr>
        <w:pStyle w:val="ListBullet"/>
        <w:spacing w:after="20"/>
        <w:ind w:left="216"/>
      </w:pPr>
      <w:r>
        <w:rPr>
          <w:sz w:val="20"/>
        </w:rPr>
        <w:t>Target: Crop_Yield (1=Low Yield/Failure, 0=Normal/High) or continuous bushels/acre.</w:t>
      </w:r>
    </w:p>
    <w:p>
      <w:pPr>
        <w:pStyle w:val="ListBullet"/>
        <w:spacing w:after="20"/>
        <w:ind w:left="216"/>
      </w:pPr>
      <w:r>
        <w:rPr>
          <w:sz w:val="20"/>
        </w:rPr>
        <w:t>Features: (1) Soil Moisture (20-30% optimal; &lt;15% during flowering = 10-20% loss/week); (2) Rainfall (&lt;400mm = drought stress; &gt;800mm = waterlogging); (3) Fertilizer Usage (N-P-K kg/acre; &lt;80N = limited photosynthesis; &gt;200N = lodging/runoff).</w:t>
      </w:r>
    </w:p>
    <w:p>
      <w:pPr>
        <w:spacing w:after="20"/>
      </w:pPr>
      <w:r>
        <w:rPr>
          <w:b/>
          <w:sz w:val="20"/>
        </w:rPr>
        <w:t>(b) Class Imbalance</w:t>
      </w:r>
    </w:p>
    <w:p>
      <w:pPr>
        <w:pStyle w:val="ListBullet"/>
        <w:spacing w:after="20"/>
        <w:ind w:left="216"/>
      </w:pPr>
      <w:r>
        <w:rPr>
          <w:sz w:val="20"/>
        </w:rPr>
        <w:t>Strategy: SMOTE + class weights.</w:t>
      </w:r>
    </w:p>
    <w:p>
      <w:pPr>
        <w:pStyle w:val="ListBullet"/>
        <w:spacing w:after="20"/>
        <w:ind w:left="216"/>
      </w:pPr>
      <w:r>
        <w:rPr>
          <w:sz w:val="20"/>
        </w:rPr>
        <w:t>Justification: Failures 5-10% (moderate imbalance). SMOTE creates diverse low-yield scenarios. Under-sampling rejected (loses normal yield baseline for agronomic modeling). Class weights ensure failure patterns are learned.</w:t>
      </w:r>
    </w:p>
    <w:p>
      <w:pPr>
        <w:spacing w:after="20"/>
      </w:pPr>
      <w:r>
        <w:rPr>
          <w:b/>
          <w:sz w:val="20"/>
        </w:rPr>
        <w:t>(c) Split &amp; Preprocessing</w:t>
      </w:r>
    </w:p>
    <w:p>
      <w:pPr>
        <w:pStyle w:val="ListBullet"/>
        <w:spacing w:after="20"/>
        <w:ind w:left="216"/>
      </w:pPr>
      <w:r>
        <w:rPr>
          <w:sz w:val="20"/>
        </w:rPr>
        <w:t>Split: 70:30 stratified. Justified for agricultural forecasting – need training data for diverse agro-climatic zones while 30% tests generalization across regions.</w:t>
      </w:r>
    </w:p>
    <w:p>
      <w:pPr>
        <w:pStyle w:val="ListBullet"/>
        <w:spacing w:after="20"/>
        <w:ind w:left="216"/>
      </w:pPr>
      <w:r>
        <w:rPr>
          <w:sz w:val="20"/>
        </w:rPr>
        <w:t>Preprocessing: Min-Max scaling (moisture, rainfall, fertilizer); One-Hot Encoding (crop type); Missing imputation (weather station gaps); Derived feature: moisture×rainfall interaction; Outlier capping (extreme weather events).</w:t>
      </w:r>
    </w:p>
    <w:p>
      <w:pPr>
        <w:spacing w:after="40" w:before="60"/>
      </w:pPr>
      <w:r>
        <w:rPr>
          <w:b/>
          <w:color w:val="1F4E78"/>
          <w:sz w:val="22"/>
        </w:rPr>
        <w:t>Task 2: Decision Tree Modeling</w:t>
      </w:r>
    </w:p>
    <w:p>
      <w:pPr>
        <w:spacing w:after="20"/>
      </w:pPr>
      <w:r>
        <w:rPr>
          <w:b/>
          <w:sz w:val="20"/>
        </w:rPr>
        <w:t>(a) Tree &amp; Root Node</w:t>
      </w:r>
    </w:p>
    <w:p>
      <w:pPr>
        <w:pStyle w:val="ListBullet"/>
        <w:spacing w:after="20"/>
        <w:ind w:left="216"/>
      </w:pPr>
      <w:r>
        <w:rPr>
          <w:sz w:val="20"/>
        </w:rPr>
        <w:t>Root: Soil Moisture ≤ 20% (Gini – primary yield-limiting factor).</w:t>
      </w:r>
    </w:p>
    <w:p>
      <w:pPr>
        <w:pStyle w:val="ListBullet"/>
        <w:spacing w:after="20"/>
        <w:ind w:left="216"/>
      </w:pPr>
      <w:r>
        <w:rPr>
          <w:sz w:val="20"/>
        </w:rPr>
        <w:t>Justification: Highest Information Gain; water is the primary limiting factor for crop yield per agronomic principles.</w:t>
      </w:r>
    </w:p>
    <w:p>
      <w:pPr>
        <w:pStyle w:val="ListBullet"/>
        <w:spacing w:after="20"/>
        <w:ind w:left="216"/>
      </w:pPr>
      <w:r>
        <w:rPr>
          <w:sz w:val="20"/>
        </w:rPr>
        <w:t>L0: Soil Moisture ≤ 20%? → L1: Rainfall ≤ 400mm? → L2: Fertilizer ≤ 80kg N/acre? | R1: Temperature ≤ 30°C? → R2: Crop Type = Corn?</w:t>
      </w:r>
    </w:p>
    <w:p>
      <w:pPr>
        <w:spacing w:after="20"/>
      </w:pPr>
      <w:r>
        <w:rPr>
          <w:b/>
          <w:sz w:val="20"/>
        </w:rPr>
        <w:t>(b) Evaluation &amp; False Negatives</w:t>
      </w:r>
    </w:p>
    <w:p>
      <w:pPr>
        <w:pStyle w:val="ListBullet"/>
        <w:spacing w:after="20"/>
        <w:ind w:left="216"/>
      </w:pPr>
      <w:r>
        <w:rPr>
          <w:sz w:val="20"/>
        </w:rPr>
        <w:t>Accuracy=84.6%, Precision=71.3%, Recall=68.9%, F1=70.1% (or RMSE=18.5 bu/acre for regression).</w:t>
      </w:r>
    </w:p>
    <w:p>
      <w:pPr>
        <w:pStyle w:val="ListBullet"/>
        <w:spacing w:after="20"/>
        <w:ind w:left="216"/>
      </w:pPr>
      <w:r>
        <w:rPr>
          <w:sz w:val="20"/>
        </w:rPr>
        <w:t>FN = missed low-yield warnings → lost farmer income. Impact: 50-acre corn × 70 bu/acre loss × $4/bu = $14,000/field; 249 missed warnings at scale = $3.5M loss + damaged advisory trust.</w:t>
      </w:r>
    </w:p>
    <w:p>
      <w:pPr>
        <w:pStyle w:val="ListBullet"/>
        <w:spacing w:after="20"/>
        <w:ind w:left="216"/>
      </w:pPr>
      <w:r>
        <w:rPr>
          <w:sz w:val="20"/>
        </w:rPr>
        <w:t>Reduce FN: Threshold 0.4; cost-sensitive (FN penalty ×5); ensemble with random forest; add satellite NDVI features; borderline-SMOTE.</w:t>
      </w:r>
    </w:p>
    <w:p>
      <w:pPr>
        <w:spacing w:after="20"/>
      </w:pPr>
      <w:r>
        <w:rPr>
          <w:b/>
          <w:sz w:val="20"/>
        </w:rPr>
        <w:t>(c) Pruning Comparison</w:t>
      </w:r>
    </w:p>
    <w:p>
      <w:pPr>
        <w:pStyle w:val="ListBullet"/>
        <w:spacing w:after="20"/>
        <w:ind w:left="216"/>
      </w:pPr>
      <w:r>
        <w:rPr>
          <w:sz w:val="20"/>
        </w:rPr>
        <w:t>Pre-prune: 86.8% – overfits to specific regional climate patterns.</w:t>
      </w:r>
    </w:p>
    <w:p>
      <w:pPr>
        <w:pStyle w:val="ListBullet"/>
        <w:spacing w:after="20"/>
        <w:ind w:left="216"/>
      </w:pPr>
      <w:r>
        <w:rPr>
          <w:sz w:val="20"/>
        </w:rPr>
        <w:t>Post-prune: 84.6% (α=0.03) – better across agro-climatic zones (val F1 69.2% vs 66.4%).</w:t>
      </w:r>
    </w:p>
    <w:p>
      <w:pPr>
        <w:pStyle w:val="ListBullet"/>
        <w:spacing w:after="20"/>
        <w:ind w:left="216"/>
      </w:pPr>
      <w:r>
        <w:rPr>
          <w:sz w:val="20"/>
        </w:rPr>
        <w:t>Deploy post-pruned: generalizable, simpler for extension agents to explain to farmers.</w:t>
      </w:r>
    </w:p>
    <w:p>
      <w:pPr>
        <w:spacing w:after="40" w:before="60"/>
      </w:pPr>
      <w:r>
        <w:rPr>
          <w:b/>
          <w:color w:val="1F4E78"/>
          <w:sz w:val="22"/>
        </w:rPr>
        <w:t>Task 3: Statistical Learning</w:t>
      </w:r>
    </w:p>
    <w:p>
      <w:pPr>
        <w:spacing w:after="20"/>
      </w:pPr>
      <w:r>
        <w:rPr>
          <w:b/>
          <w:sz w:val="20"/>
        </w:rPr>
        <w:t>(a) Model Comparison</w:t>
      </w:r>
    </w:p>
    <w:p>
      <w:pPr>
        <w:pStyle w:val="ListBullet"/>
        <w:spacing w:after="20"/>
        <w:ind w:left="216"/>
      </w:pPr>
      <w:r>
        <w:rPr>
          <w:sz w:val="20"/>
        </w:rPr>
        <w:t>Linear/Logistic Regression: Acc=81.2%, AUC-ROC=0.86, RMSE=15.2 bu/acre | DT: Acc=84.6%, AUC-ROC=0.82, RMSE=18.5 bu/acre.</w:t>
      </w:r>
    </w:p>
    <w:p>
      <w:pPr>
        <w:pStyle w:val="ListBullet"/>
        <w:spacing w:after="20"/>
        <w:ind w:left="216"/>
      </w:pPr>
      <w:r>
        <w:rPr>
          <w:sz w:val="20"/>
        </w:rPr>
        <w:t>LR preferred when: agricultural systems follow smooth biological/physical laws (diminishing returns curves), need for interpretable input-response relationships, continuous yield prediction (regression), extension agent transparency.</w:t>
      </w:r>
    </w:p>
    <w:p>
      <w:pPr>
        <w:spacing w:after="20"/>
      </w:pPr>
      <w:r>
        <w:rPr>
          <w:b/>
          <w:sz w:val="20"/>
        </w:rPr>
        <w:t>(b) Feature Importance</w:t>
      </w:r>
    </w:p>
    <w:p>
      <w:pPr>
        <w:pStyle w:val="ListBullet"/>
        <w:spacing w:after="20"/>
        <w:ind w:left="216"/>
      </w:pPr>
      <w:r>
        <w:rPr>
          <w:sz w:val="20"/>
        </w:rPr>
        <w:t>DT Top-3: Soil Moisture, Rainfall, Temperature.</w:t>
      </w:r>
    </w:p>
    <w:p>
      <w:pPr>
        <w:pStyle w:val="ListBullet"/>
        <w:spacing w:after="20"/>
        <w:ind w:left="216"/>
      </w:pPr>
      <w:r>
        <w:rPr>
          <w:sz w:val="20"/>
        </w:rPr>
        <w:t>LR Top-3: Soil Moisture (β=2.34), Fertilizer Usage (β=1.89), Rainfall (β=1.67).</w:t>
      </w:r>
    </w:p>
    <w:p>
      <w:pPr>
        <w:pStyle w:val="ListBullet"/>
        <w:spacing w:after="20"/>
        <w:ind w:left="216"/>
      </w:pPr>
      <w:r>
        <w:rPr>
          <w:sz w:val="20"/>
        </w:rPr>
        <w:t>Agreement: Soil Moisture is #1 in both, validating irrigation advisory priority. DT picks Rainfall (non-linear drought/flood thresholds); LR picks Fertilizer (linear management response). Agreement on Soil Moisture confirms highest-value service; divergence reflects uncontrollable vs. controllable factor sensitivity.</w:t>
      </w:r>
    </w:p>
    <w:p>
      <w:pPr>
        <w:spacing w:after="40" w:before="60"/>
      </w:pPr>
      <w:r>
        <w:rPr>
          <w:b/>
          <w:color w:val="1F4E78"/>
          <w:sz w:val="22"/>
        </w:rPr>
        <w:t>Task 4: Reinforcement Learning</w:t>
      </w:r>
    </w:p>
    <w:p>
      <w:pPr>
        <w:spacing w:after="20"/>
      </w:pPr>
      <w:r>
        <w:rPr>
          <w:b/>
          <w:sz w:val="20"/>
        </w:rPr>
        <w:t>(a) MDP Formulation</w:t>
      </w:r>
    </w:p>
    <w:p>
      <w:pPr>
        <w:pStyle w:val="ListBullet"/>
        <w:spacing w:after="20"/>
        <w:ind w:left="216"/>
      </w:pPr>
      <w:r>
        <w:rPr>
          <w:sz w:val="20"/>
        </w:rPr>
        <w:t>States: {Germination, Vegetative, Flowering, Grain-Fill, Harvest, Stress, Recovery}.</w:t>
      </w:r>
    </w:p>
    <w:p>
      <w:pPr>
        <w:pStyle w:val="ListBullet"/>
        <w:spacing w:after="20"/>
        <w:ind w:left="216"/>
      </w:pPr>
      <w:r>
        <w:rPr>
          <w:sz w:val="20"/>
        </w:rPr>
        <w:t>Actions: {Irrigate, Fertilize, Pest Control, No Action}.</w:t>
      </w:r>
    </w:p>
    <w:p>
      <w:pPr>
        <w:pStyle w:val="ListBullet"/>
        <w:spacing w:after="20"/>
        <w:ind w:left="216"/>
      </w:pPr>
      <w:r>
        <w:rPr>
          <w:sz w:val="20"/>
        </w:rPr>
        <w:t>Reward: +15 (target yield achieved), +8 (yield improvement vs. baseline), -5 (unnecessary irrigation = water waste+waterlogging), -4 (over-fertilization = cost+runoff), -10 (missed pest outbreak = yield loss).</w:t>
      </w:r>
    </w:p>
    <w:p>
      <w:pPr>
        <w:pStyle w:val="ListBullet"/>
        <w:spacing w:after="20"/>
        <w:ind w:left="216"/>
      </w:pPr>
      <w:r>
        <w:rPr>
          <w:sz w:val="20"/>
        </w:rPr>
        <w:t>Transitions: Irrigate from Stress (drought) at Flowering→Recovery (0.70), Grain-Fill (0.20). Fertilize from Vegetative→Flowering (0.85), Stress (0.10, nutrient burn). No Action from Flowering→Grain-Fill (0.60), Stress (0.30).</w:t>
      </w:r>
    </w:p>
    <w:p>
      <w:pPr>
        <w:spacing w:after="20"/>
      </w:pPr>
      <w:r>
        <w:rPr>
          <w:b/>
          <w:sz w:val="20"/>
        </w:rPr>
        <w:t>(b) Q-Learning</w:t>
      </w:r>
    </w:p>
    <w:p>
      <w:pPr>
        <w:pStyle w:val="ListBullet"/>
        <w:spacing w:after="20"/>
        <w:ind w:left="216"/>
      </w:pPr>
      <w:r>
        <w:rPr>
          <w:sz w:val="20"/>
        </w:rPr>
        <w:t>5 growing-season episodes (120-day cycle, weekly decisions), ε=0.25 (higher exploration early season), α=0.1, γ=0.9.</w:t>
      </w:r>
    </w:p>
    <w:p>
      <w:pPr>
        <w:pStyle w:val="ListBullet"/>
        <w:spacing w:after="20"/>
        <w:ind w:left="216"/>
      </w:pPr>
      <w:r>
        <w:rPr>
          <w:sz w:val="20"/>
        </w:rPr>
        <w:t>Update 1: Q(Flowering+Stress, Irrigate)=0→1.5 [r=+15, rescued crop, target yield 180 bu/acre].</w:t>
      </w:r>
    </w:p>
    <w:p>
      <w:pPr>
        <w:pStyle w:val="ListBullet"/>
        <w:spacing w:after="20"/>
        <w:ind w:left="216"/>
      </w:pPr>
      <w:r>
        <w:rPr>
          <w:sz w:val="20"/>
        </w:rPr>
        <w:t>Update 2: Q(Vegetative, No Action)=0.4→-0.64 [r=-10, pest outbreak unchecked, 40% yield loss].</w:t>
      </w:r>
    </w:p>
    <w:p>
      <w:pPr>
        <w:pStyle w:val="ListBullet"/>
        <w:spacing w:after="20"/>
        <w:ind w:left="216"/>
      </w:pPr>
      <w:r>
        <w:rPr>
          <w:sz w:val="20"/>
        </w:rPr>
        <w:t>Update 3: Q(Grain-Fill, Fertilize)=0.1→-0.31 [r=-4, unnecessary late fertilization, nutrient runoff].</w:t>
      </w:r>
    </w:p>
    <w:p>
      <w:pPr>
        <w:pStyle w:val="ListBullet"/>
        <w:spacing w:after="20"/>
        <w:ind w:left="216"/>
      </w:pPr>
      <w:r>
        <w:rPr>
          <w:sz w:val="20"/>
        </w:rPr>
        <w:t>Convergence: Yield improvement &gt;12% with &lt;10% unnecessary input OR max|ΔQ|&lt;0.003 for 20 episodes.</w:t>
      </w:r>
    </w:p>
    <w:p>
      <w:pPr>
        <w:spacing w:after="20"/>
      </w:pPr>
      <w:r>
        <w:rPr>
          <w:b/>
          <w:sz w:val="20"/>
        </w:rPr>
        <w:t>(c) Policy &amp; Ethics</w:t>
      </w:r>
    </w:p>
    <w:p>
      <w:pPr>
        <w:pStyle w:val="ListBullet"/>
        <w:spacing w:after="20"/>
        <w:ind w:left="216"/>
      </w:pPr>
      <w:r>
        <w:rPr>
          <w:sz w:val="20"/>
        </w:rPr>
        <w:t>Policy: Germination→Monitor; Vegetative→Fertilize (if soil test low); Flowering→Irrigate (if moisture&lt;20%); Grain-Fill→Monitor; Stress→Irrigate; Harvest→No Action; Recovery→Monitor.</w:t>
      </w:r>
    </w:p>
    <w:p>
      <w:pPr>
        <w:pStyle w:val="ListBullet"/>
        <w:spacing w:after="20"/>
        <w:ind w:left="216"/>
      </w:pPr>
      <w:r>
        <w:rPr>
          <w:sz w:val="20"/>
        </w:rPr>
        <w:t>Ethics: (1) Resource overuse – include environmental cost in reward (groundwater depletion, nitrogen runoff penalties, regulatory limits); (2) Environmental impact – IPM principles: biological controls before chemicals; (3) Farmer trust – explain in culturally appropriate terms, respect autonomy to override; (4) Economic equity – provide tiered recommendations (premium/standard/low-cost) based on farmer resources to avoid exacerbating rural inequality.</w:t>
      </w:r>
    </w:p>
    <w:p/>
    <w:p>
      <w:r>
        <w:br w:type="page"/>
      </w:r>
    </w:p>
    <w:p>
      <w:pPr>
        <w:spacing w:after="40" w:before="60"/>
      </w:pPr>
      <w:r>
        <w:rPr>
          <w:b/>
          <w:color w:val="C00000"/>
          <w:sz w:val="24"/>
        </w:rPr>
        <w:t>APPENDIX: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Level 4 (Exemplary)</w:t>
            </w:r>
          </w:p>
        </w:tc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Level 3 (Proficient)</w:t>
            </w:r>
          </w:p>
        </w:tc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Level 2 (Developing)</w:t>
            </w:r>
          </w:p>
        </w:tc>
        <w:tc>
          <w:tcPr>
            <w:tcW w:type="dxa" w:w="1757"/>
            <w:shd w:fill="1F4E78"/>
          </w:tcPr>
          <w:p>
            <w:r>
              <w:rPr>
                <w:b/>
                <w:color w:val="FFFFFF"/>
                <w:sz w:val="16"/>
              </w:rPr>
              <w:t>Level 1 (Beginning)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Industry Problem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Comprehensive understanding of real-world problem and constraints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Good understanding with minor gaps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Basic understanding; some requirements unclear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Poor understanding; misinterprets context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Engineering Concepts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Applies advanced and relevant concepts effectively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Appropriate concepts with minor errors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Limited application of concepts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Incorrect or no application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Solution Design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25%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Innovative, practical, feasible solution aligned with industry standards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Logical and feasible with minor gaps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Basic solution with limited feasibility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Unclear or impractical solution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Use of Tools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15%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Effective use of modern tools, technologies, and real data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Appropriate use with correct implementation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Limited or inconsistent use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Minimal or incorrect use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Analysis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Thorough analysis with validated results and performance evaluation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Good analysis with reasonable validation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Basic analysis with limited validation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Poor or no analysis</w:t>
            </w:r>
          </w:p>
        </w:tc>
      </w:tr>
      <w:tr>
        <w:tc>
          <w:tcPr>
            <w:tcW w:type="dxa" w:w="1757"/>
          </w:tcPr>
          <w:p>
            <w:r>
              <w:rPr>
                <w:sz w:val="16"/>
              </w:rPr>
              <w:t>Professionalism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Highly professional, well-documented, clearly presented work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Good documentation and presentation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Basic documentation with some gaps</w:t>
            </w:r>
          </w:p>
        </w:tc>
        <w:tc>
          <w:tcPr>
            <w:tcW w:type="dxa" w:w="1757"/>
          </w:tcPr>
          <w:p>
            <w:r>
              <w:rPr>
                <w:sz w:val="16"/>
              </w:rPr>
              <w:t>Poor documentation and presentation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