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/>
          <w:b/>
          <w:sz w:val="32"/>
        </w:rPr>
        <w:t>OUTCOMES</w:t>
      </w:r>
    </w:p>
    <w:p>
      <w:pPr>
        <w:spacing w:after="200"/>
        <w:jc w:val="both"/>
      </w:pPr>
      <w:r>
        <w:rPr>
          <w:rFonts w:ascii="Times New Roman" w:hAnsi="Times New Roman"/>
          <w:sz w:val="24"/>
        </w:rPr>
        <w:t>The VoltFleet AI platform successfully achieved the core objectives of the intelligent EV fleet management software prototype stage. The project demonstrates the integration of Artificial Intelligence, Physics-Informed Machine Learning, IoT telematics ingestion, elevation-aware route optimization, and an interactive real-time dashboard for comprehensive commercial fleet operations.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Successfully ingested and processed multi-parameter EV telematics streams, including battery State of Charge (SOC), State of Health (SOH), pack voltage, motor power draw, cell temperature, and live GPS coordinates.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Implemented a Physics-Informed Machine Learning (HistGradientBoosting) regression model to accurately forecast real-world remaining range by factoring battery SOC, vehicle velocity, ambient temperature (-10°C to 50°C), and auxiliary HVAC loads.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Built a Dynamic Multi-Stop Route Optimizer using 3D digital elevation modeling (DEM) that accounts for gravitational power penalties on uphill ascents and regenerative braking energy recapture on downhill descents.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Automated 150 kW DC fast-charging waypoint insertion along transit corridors, ensuring battery SOC remains above the critical 20% safety reserve buffer to eliminate mid-transit stranding.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Developed a 4-Pillar AI Driver Performance Scoring engine using Multiple Linear Regression to quantify Safety, Efficiency, Battery Care, and Route Compliance with personalized coaching recommendations.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Implemented an Off-Peak Charging Scheduler utilizing Time-of-Use (ToU) electricity tariffs to automate depot charging schedules, achieving up to 31.4% operational energy cost reduction.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Established a sensor-driven Predictive Maintenance module tracking cumulative odometer milestones, cell delta-voltage anomalies, and thermal stress to auto-generate timely service work orders.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Developed an interactive web-based Fleet Command Center featuring high-contrast night-mode Leaflet GIS mapping, dynamic fleet KPI aggregations, and individual vehicle health diagnostics.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Integrated an interactive "What-If" Mission Simulator enabling fleet dispatchers to evaluate route feasibility, payload impacts, and weather conditions prior to vehicle dispatch.</w:t>
      </w:r>
    </w:p>
    <w:p>
      <w:pPr>
        <w:spacing w:after="120"/>
        <w:ind w:left="360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sz w:val="23"/>
        </w:rPr>
        <w:t>Implemented secure Role-Based Access Control (RBAC) with cryptographic bcrypt password hashing and JSON Web Tokens (JWT) to isolate Fleet Dispatcher management capabilities from Driver shift workflows.</w:t>
      </w:r>
    </w:p>
    <w:p>
      <w:pPr>
        <w:spacing w:before="160" w:after="0"/>
        <w:jc w:val="both"/>
      </w:pPr>
      <w:r>
        <w:rPr>
          <w:rFonts w:ascii="Times New Roman" w:hAnsi="Times New Roman"/>
          <w:b/>
          <w:sz w:val="23"/>
        </w:rPr>
        <w:t>Overall, the completed prototype proves the core intelligent decision-making logic of the VoltFleet AI system, including physics-informed battery range estimation, topographical route optimization, driver behavior analytics, automated charging management, and interactive GIS visualization. Hardware CAN-bus transceiver integration and automated Vehicle-to-Grid (V2G) load balancing are planned as the next development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