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 SIMATS ENGINEERING</w:t>
      </w:r>
    </w:p>
    <w:p w14:paraId="00000002">
      <w:pPr>
        <w:pStyle w:val="style0"/>
        <w:jc w:val="center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>ASSESSMENT TOOL 2</w:t>
      </w:r>
    </w:p>
    <w:p w14:paraId="00000003">
      <w:pPr>
        <w:pStyle w:val="style0"/>
        <w:jc w:val="center"/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</w:pPr>
    </w:p>
    <w:p w14:paraId="00000005">
      <w:pPr>
        <w:pStyle w:val="style0"/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COURSE CODE: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 xml:space="preserve">ITA 06 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 xml:space="preserve">           COURSE NAME: MACHINE LEARNING 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</w:p>
    <w:p w14:paraId="00000009">
      <w:pPr>
        <w:pStyle w:val="style0"/>
        <w:rPr>
          <w:rFonts w:ascii="Arial" w:cs="Arial" w:eastAsia="Arial" w:hAnsi="Arial"/>
          <w:b/>
          <w:bCs/>
          <w:color w:val="000000"/>
        </w:rPr>
      </w:pPr>
    </w:p>
    <w:p w14:paraId="0000000A">
      <w:pPr>
        <w:pStyle w:val="style0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COURSE OUTCOME COVERED</w:t>
      </w:r>
    </w:p>
    <w:p w14:paraId="0000000B">
      <w:pPr>
        <w:pStyle w:val="style0"/>
        <w:rPr>
          <w:rFonts w:ascii="Arial" w:cs="Arial" w:eastAsia="Arial" w:hAnsi="Arial"/>
          <w:b/>
          <w:bCs/>
          <w:color w:val="000000"/>
        </w:rPr>
      </w:pPr>
    </w:p>
    <w:p w14:paraId="0000000C">
      <w:pPr>
        <w:pStyle w:val="style0"/>
        <w:jc w:val="both"/>
        <w:rPr>
          <w:rFonts w:ascii="Arial" w:cs="Arial" w:eastAsia="Arial" w:hAnsi="Arial"/>
          <w:b/>
          <w:bCs/>
          <w:i/>
          <w:iCs/>
          <w:color w:val="000000"/>
        </w:rPr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CO4:  </w:t>
      </w:r>
      <w:r>
        <w:rPr>
          <w:rFonts w:ascii="Times New Roman" w:cs="Times New Roman" w:eastAsia="Times New Roman" w:hAnsi="Times New Roman"/>
          <w:color w:val="000000"/>
        </w:rPr>
        <w:t>K- Nearest Neighbour Learning – Locally weighted Regression – Radial Bases Functions – Case Based Learning</w:t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ab/>
      </w:r>
      <w:r>
        <w:rPr>
          <w:rFonts w:ascii="Arial" w:cs="Arial" w:eastAsia="Arial" w:hAnsi="Arial"/>
          <w:b/>
          <w:bCs/>
          <w:i/>
          <w:iCs/>
          <w:color w:val="000000"/>
        </w:rPr>
        <w:t>(BL 5)</w:t>
      </w:r>
    </w:p>
    <w:p w14:paraId="0000000D">
      <w:pPr>
        <w:pStyle w:val="style0"/>
        <w:jc w:val="both"/>
        <w:rPr>
          <w:rFonts w:ascii="Arial" w:cs="Arial" w:eastAsia="Arial" w:hAnsi="Arial"/>
          <w:i/>
          <w:iCs/>
          <w:color w:val="000000"/>
        </w:rPr>
      </w:pPr>
    </w:p>
    <w:p w14:paraId="0000000E">
      <w:pPr>
        <w:pStyle w:val="style0"/>
        <w:rPr>
          <w:rFonts w:ascii="Arial" w:cs="Arial" w:eastAsia="Arial" w:hAnsi="Arial"/>
          <w:i/>
          <w:iCs/>
          <w:color w:val="000000"/>
        </w:rPr>
      </w:pPr>
      <w:r>
        <w:rPr>
          <w:rFonts w:ascii="Arial" w:cs="Arial" w:eastAsia="Arial" w:hAnsi="Arial"/>
          <w:i/>
          <w:iCs/>
          <w:color w:val="000000"/>
        </w:rPr>
        <w:t>Assessment Tool Weightage: 20%</w:t>
      </w:r>
    </w:p>
    <w:p w14:paraId="0000000F">
      <w:pPr>
        <w:pStyle w:val="style0"/>
        <w:rPr>
          <w:rFonts w:ascii="Arial" w:cs="Arial" w:eastAsia="Arial" w:hAnsi="Arial"/>
          <w:i/>
          <w:iCs/>
          <w:color w:val="000000"/>
        </w:rPr>
      </w:pPr>
    </w:p>
    <w:p w14:paraId="00000012">
      <w:pPr>
        <w:pStyle w:val="style0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QUESTIONS: </w:t>
      </w:r>
      <w:r>
        <w:rPr>
          <w:rFonts w:ascii="Arial" w:cs="Arial" w:eastAsia="Arial" w:hAnsi="Arial"/>
          <w:b/>
          <w:bCs/>
          <w:color w:val="000000"/>
          <w:lang w:val="en-US"/>
        </w:rPr>
        <w:t>03</w:t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>Total Marks:25</w:t>
      </w:r>
    </w:p>
    <w:p w14:paraId="00000013">
      <w:pPr>
        <w:pStyle w:val="style0"/>
        <w:rPr>
          <w:rFonts w:ascii="Arial" w:cs="Arial" w:eastAsia="Arial" w:hAnsi="Arial"/>
          <w:color w:val="000000"/>
        </w:rPr>
      </w:pPr>
    </w:p>
    <w:p w14:paraId="00000014">
      <w:pPr>
        <w:pStyle w:val="style0"/>
        <w:ind w:left="2880" w:firstLine="72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Annexure A</w:t>
      </w:r>
    </w:p>
    <w:p w14:paraId="00000015">
      <w:pPr>
        <w:pStyle w:val="style0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  <w:r>
        <w:rPr>
          <w:rFonts w:ascii="Arial" w:cs="Arial" w:eastAsia="Arial" w:hAnsi="Arial"/>
          <w:b/>
          <w:bCs/>
          <w:color w:val="000000"/>
        </w:rPr>
        <w:tab/>
      </w:r>
    </w:p>
    <w:p w14:paraId="00000016">
      <w:pPr>
        <w:pStyle w:val="style0"/>
        <w:jc w:val="center"/>
        <w:rPr>
          <w:rFonts w:ascii="Arial" w:cs="Arial" w:eastAsia="Arial" w:hAnsi="Arial"/>
          <w:b/>
          <w:bCs/>
          <w:color w:val="000000"/>
          <w:sz w:val="28"/>
          <w:szCs w:val="28"/>
        </w:rPr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>Industry Problem Solving</w:t>
      </w:r>
    </w:p>
    <w:p w14:paraId="00000017">
      <w:pPr>
        <w:pStyle w:val="style0"/>
        <w:rPr>
          <w:rFonts w:ascii="Arial" w:cs="Arial" w:eastAsia="Arial" w:hAnsi="Arial"/>
          <w:b/>
          <w:bCs/>
          <w:color w:val="000000"/>
        </w:rPr>
      </w:pPr>
    </w:p>
    <w:p w14:paraId="0000001E">
      <w:pPr>
        <w:pStyle w:val="style0"/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</w:rPr>
        <w:t>Code of Conduct:</w:t>
      </w:r>
    </w:p>
    <w:p w14:paraId="0000001F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1">
      <w:pPr>
        <w:pStyle w:val="style0"/>
        <w:jc w:val="both"/>
        <w:rPr>
          <w:rFonts w:ascii="Times New Roman" w:cs="Times New Roman" w:eastAsia="Times New Roman" w:hAnsi="Times New Roman"/>
          <w:i/>
          <w:iCs/>
          <w:color w:val="000000"/>
        </w:rPr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I </w:t>
      </w:r>
      <w:r>
        <w:rPr>
          <w:rFonts w:ascii="Times New Roman" w:cs="Times New Roman" w:eastAsia="Times New Roman" w:hAnsi="Times New Roman"/>
          <w:i/>
          <w:iCs/>
          <w:color w:val="000000"/>
          <w:lang w:val="en-US"/>
        </w:rPr>
        <w:t xml:space="preserve">Mithlesh.N </w:t>
      </w:r>
      <w:r>
        <w:rPr>
          <w:rFonts w:ascii="Times New Roman" w:cs="Times New Roman" w:eastAsia="Times New Roman" w:hAnsi="Times New Roman"/>
          <w:i/>
          <w:iCs/>
          <w:color w:val="000000"/>
        </w:rPr>
        <w:t>(</w:t>
      </w:r>
      <w:r>
        <w:rPr>
          <w:rFonts w:ascii="Times New Roman" w:cs="Times New Roman" w:eastAsia="Times New Roman" w:hAnsi="Times New Roman"/>
          <w:i/>
          <w:iCs/>
          <w:color w:val="000000"/>
        </w:rPr>
        <w:t>1924243</w:t>
      </w:r>
      <w:r>
        <w:rPr>
          <w:rFonts w:ascii="Times New Roman" w:cs="Times New Roman" w:eastAsia="Times New Roman" w:hAnsi="Times New Roman"/>
          <w:i/>
          <w:iCs/>
          <w:color w:val="000000"/>
          <w:lang w:val="en-US"/>
        </w:rPr>
        <w:t>64</w:t>
      </w:r>
      <w:r>
        <w:rPr>
          <w:rFonts w:ascii="Times New Roman" w:cs="Times New Roman" w:eastAsia="Times New Roman" w:hAnsi="Times New Roman"/>
          <w:i/>
          <w:iCs/>
          <w:color w:val="000000"/>
        </w:rPr>
        <w:t>) certify that this submission is my original work and that I have adhered to the guidelines specified for this assessment.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000000"/>
        </w:rPr>
        <w:t>I understand that any violation of academic integrity rules will result in disciplinary action.</w:t>
      </w:r>
    </w:p>
    <w:tbl>
      <w:tblPr>
        <w:tblStyle w:val="style154"/>
        <w:tblpPr w:leftFromText="180" w:rightFromText="180" w:topFromText="0" w:bottomFromText="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47"/>
        <w:gridCol w:w="1628"/>
        <w:gridCol w:w="1111"/>
        <w:gridCol w:w="1306"/>
        <w:gridCol w:w="1613"/>
        <w:gridCol w:w="1450"/>
        <w:gridCol w:w="713"/>
      </w:tblGrid>
      <w:tr w14:paraId="0D3C0185">
        <w:trPr>
          <w:trHeight w:val="459" w:hRule="atLeast"/>
        </w:trPr>
        <w:tc>
          <w:tcPr>
            <w:tcW w:w="1281" w:type="dxa"/>
            <w:tcBorders/>
          </w:tcPr>
          <w:p w14:paraId="29363C6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Criteria</w:t>
            </w:r>
          </w:p>
        </w:tc>
        <w:tc>
          <w:tcPr>
            <w:tcW w:w="1657" w:type="dxa"/>
            <w:tcBorders/>
          </w:tcPr>
          <w:p w14:paraId="692A280E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Conceptual Understanding</w:t>
            </w:r>
          </w:p>
        </w:tc>
        <w:tc>
          <w:tcPr>
            <w:tcW w:w="1168" w:type="dxa"/>
            <w:tcBorders/>
          </w:tcPr>
          <w:p w14:paraId="25850370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Accuracy of Answers</w:t>
            </w:r>
          </w:p>
        </w:tc>
        <w:tc>
          <w:tcPr>
            <w:tcW w:w="1336" w:type="dxa"/>
            <w:tcBorders/>
          </w:tcPr>
          <w:p w14:paraId="3FA8D5C1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Application of Knowledge</w:t>
            </w:r>
          </w:p>
        </w:tc>
        <w:tc>
          <w:tcPr>
            <w:tcW w:w="1550" w:type="dxa"/>
            <w:tcBorders/>
          </w:tcPr>
          <w:p w14:paraId="750DF6AE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Completeness of Response</w:t>
            </w:r>
          </w:p>
        </w:tc>
        <w:tc>
          <w:tcPr>
            <w:tcW w:w="1477" w:type="dxa"/>
            <w:tcBorders/>
          </w:tcPr>
          <w:p w14:paraId="4C3443D7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Clarity &amp; Presentation</w:t>
            </w:r>
          </w:p>
        </w:tc>
        <w:tc>
          <w:tcPr>
            <w:tcW w:w="819" w:type="dxa"/>
            <w:tcBorders/>
          </w:tcPr>
          <w:p w14:paraId="01F75EB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Total</w:t>
            </w:r>
          </w:p>
        </w:tc>
      </w:tr>
      <w:tr w14:paraId="38AE46F0">
        <w:tblPrEx/>
        <w:trPr>
          <w:trHeight w:val="375" w:hRule="atLeast"/>
        </w:trPr>
        <w:tc>
          <w:tcPr>
            <w:tcW w:w="1281" w:type="dxa"/>
            <w:tcBorders/>
          </w:tcPr>
          <w:p w14:paraId="1ACE6A9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Weightage</w:t>
            </w:r>
          </w:p>
        </w:tc>
        <w:tc>
          <w:tcPr>
            <w:tcW w:w="1657" w:type="dxa"/>
            <w:tcBorders/>
          </w:tcPr>
          <w:p w14:paraId="175E0A6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25%</w:t>
            </w:r>
          </w:p>
        </w:tc>
        <w:tc>
          <w:tcPr>
            <w:tcW w:w="1168" w:type="dxa"/>
            <w:tcBorders/>
          </w:tcPr>
          <w:p w14:paraId="37B42B10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25%</w:t>
            </w:r>
          </w:p>
        </w:tc>
        <w:tc>
          <w:tcPr>
            <w:tcW w:w="1336" w:type="dxa"/>
            <w:tcBorders/>
          </w:tcPr>
          <w:p w14:paraId="4390FAC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20%</w:t>
            </w:r>
          </w:p>
        </w:tc>
        <w:tc>
          <w:tcPr>
            <w:tcW w:w="1550" w:type="dxa"/>
            <w:tcBorders/>
          </w:tcPr>
          <w:p w14:paraId="72252F45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15%</w:t>
            </w:r>
          </w:p>
        </w:tc>
        <w:tc>
          <w:tcPr>
            <w:tcW w:w="1477" w:type="dxa"/>
            <w:tcBorders/>
          </w:tcPr>
          <w:p w14:paraId="015E9097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15%</w:t>
            </w:r>
          </w:p>
        </w:tc>
        <w:tc>
          <w:tcPr>
            <w:tcW w:w="819" w:type="dxa"/>
            <w:tcBorders/>
          </w:tcPr>
          <w:p w14:paraId="64CB5A2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</w:p>
        </w:tc>
      </w:tr>
      <w:tr w14:paraId="2C2BD925">
        <w:tblPrEx/>
        <w:trPr>
          <w:trHeight w:val="297" w:hRule="atLeast"/>
        </w:trPr>
        <w:tc>
          <w:tcPr>
            <w:tcW w:w="1281" w:type="dxa"/>
            <w:tcBorders/>
          </w:tcPr>
          <w:p w14:paraId="7DC5B02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Q1</w:t>
            </w:r>
          </w:p>
        </w:tc>
        <w:tc>
          <w:tcPr>
            <w:tcW w:w="1657" w:type="dxa"/>
            <w:tcBorders/>
          </w:tcPr>
          <w:p w14:paraId="30709D31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/>
          </w:tcPr>
          <w:p w14:paraId="22A4EF5D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/>
          </w:tcPr>
          <w:p w14:paraId="2766F29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/>
          </w:tcPr>
          <w:p w14:paraId="5E176E3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/>
          </w:tcPr>
          <w:p w14:paraId="47236015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/>
          </w:tcPr>
          <w:p w14:paraId="1E898CB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21F44556">
        <w:tblPrEx/>
        <w:trPr>
          <w:trHeight w:val="297" w:hRule="atLeast"/>
        </w:trPr>
        <w:tc>
          <w:tcPr>
            <w:tcW w:w="1281" w:type="dxa"/>
            <w:tcBorders/>
          </w:tcPr>
          <w:p w14:paraId="4F6B6D47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Q2</w:t>
            </w:r>
          </w:p>
        </w:tc>
        <w:tc>
          <w:tcPr>
            <w:tcW w:w="1657" w:type="dxa"/>
            <w:tcBorders/>
          </w:tcPr>
          <w:p w14:paraId="06889E1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/>
          </w:tcPr>
          <w:p w14:paraId="23D3B93D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/>
          </w:tcPr>
          <w:p w14:paraId="2350189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/>
          </w:tcPr>
          <w:p w14:paraId="2E1EAEF4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/>
          </w:tcPr>
          <w:p w14:paraId="7DAA3E4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/>
          </w:tcPr>
          <w:p w14:paraId="57B010F5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043C719D">
        <w:tblPrEx/>
        <w:trPr>
          <w:trHeight w:val="297" w:hRule="atLeast"/>
        </w:trPr>
        <w:tc>
          <w:tcPr>
            <w:tcW w:w="1281" w:type="dxa"/>
            <w:tcBorders/>
          </w:tcPr>
          <w:p w14:paraId="7A0FCF9B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  <w:lang w:val="en-US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lang w:val="en-US"/>
              </w:rPr>
              <w:t>Q3</w:t>
            </w:r>
          </w:p>
        </w:tc>
        <w:tc>
          <w:tcPr>
            <w:tcW w:w="1657" w:type="dxa"/>
            <w:tcBorders/>
          </w:tcPr>
          <w:p w14:paraId="078D2780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/>
          </w:tcPr>
          <w:p w14:paraId="186BCEE4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/>
          </w:tcPr>
          <w:p w14:paraId="1140069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/>
          </w:tcPr>
          <w:p w14:paraId="72DB029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/>
          </w:tcPr>
          <w:p w14:paraId="645858B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/>
          </w:tcPr>
          <w:p w14:paraId="0104FEA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</w:tbl>
    <w:p w14:paraId="70409E16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2974D868">
      <w:pPr>
        <w:pStyle w:val="style0"/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</w:p>
    <w:p w14:paraId="216E3B5F">
      <w:pPr>
        <w:pStyle w:val="style0"/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</w:p>
    <w:p w14:paraId="1D510D65">
      <w:pPr>
        <w:pStyle w:val="style0"/>
        <w:rPr>
          <w:rFonts w:ascii="Times New Roman" w:cs="Times New Roman" w:eastAsia="Times New Roman" w:hAnsi="Times New Roman"/>
          <w:b/>
          <w:bCs/>
          <w:i/>
          <w:iCs/>
          <w:color w:val="000000"/>
        </w:rPr>
      </w:pPr>
    </w:p>
    <w:p w14:paraId="00000023">
      <w:pPr>
        <w:pStyle w:val="style0"/>
        <w:rPr>
          <w:rFonts w:ascii="Times New Roman" w:cs="Times New Roman" w:eastAsia="Times New Roman" w:hAnsi="Times New Roman"/>
          <w:b/>
          <w:bCs/>
          <w:i/>
          <w:iCs/>
          <w:color w:val="000000"/>
          <w:lang w:val="en-US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</w:rPr>
        <w:t>Signature of the student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lang w:val="en-US"/>
        </w:rPr>
        <w:t xml:space="preserve">: Mithlesh.N                     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lang w:val="en-US"/>
        </w:rPr>
        <w:t xml:space="preserve">                        Total Marks :</w:t>
      </w:r>
    </w:p>
    <w:p w14:paraId="00000024">
      <w:pPr>
        <w:pStyle w:val="style0"/>
        <w:rPr>
          <w:rFonts w:ascii="Times New Roman" w:cs="Times New Roman" w:eastAsia="Times New Roman" w:hAnsi="Times New Roman"/>
          <w:color w:val="000000"/>
        </w:rPr>
      </w:pPr>
    </w:p>
    <w:p w14:paraId="00000025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6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7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8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9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A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B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C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0000002D">
      <w:pPr>
        <w:pStyle w:val="style0"/>
        <w:rPr>
          <w:rFonts w:ascii="Times New Roman" w:cs="Times New Roman" w:eastAsia="Times New Roman" w:hAnsi="Times New Roman"/>
          <w:i/>
          <w:iCs/>
          <w:color w:val="000000"/>
        </w:rPr>
      </w:pPr>
    </w:p>
    <w:p w14:paraId="5C2BD16E">
      <w:pPr>
        <w:pStyle w:val="style0"/>
        <w:jc w:val="both"/>
        <w:rPr>
          <w:rFonts w:ascii="Arial" w:cs="Arial" w:eastAsia="Arial" w:hAnsi="Arial"/>
          <w:color w:val="000000"/>
        </w:rPr>
      </w:pPr>
    </w:p>
    <w:p w14:paraId="0000002F">
      <w:pPr>
        <w:pStyle w:val="style0"/>
        <w:ind w:left="3600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Annexure A</w:t>
      </w:r>
    </w:p>
    <w:p w14:paraId="00000030">
      <w:pPr>
        <w:pStyle w:val="style0"/>
        <w:ind w:left="1440" w:firstLine="720"/>
        <w:jc w:val="both"/>
        <w:rPr>
          <w:rFonts w:ascii="Arial" w:cs="Arial" w:eastAsia="Arial" w:hAnsi="Arial"/>
          <w:color w:val="000000"/>
        </w:rPr>
      </w:pPr>
    </w:p>
    <w:p w14:paraId="00000031">
      <w:pPr>
        <w:pStyle w:val="style0"/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Short Answer Test</w:t>
      </w:r>
    </w:p>
    <w:p w14:paraId="00000032">
      <w:pPr>
        <w:pStyle w:val="style0"/>
        <w:jc w:val="both"/>
        <w:rPr>
          <w:rFonts w:ascii="Arial" w:cs="Arial" w:eastAsia="Arial" w:hAnsi="Arial"/>
          <w:color w:val="000000"/>
        </w:rPr>
      </w:pPr>
    </w:p>
    <w:p w14:paraId="00000041">
      <w:pPr>
        <w:pStyle w:val="style0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lang w:val="en-US"/>
        </w:rPr>
        <w:t>1</w:t>
      </w:r>
      <w:r>
        <w:rPr>
          <w:rFonts w:ascii="Arial" w:cs="Arial" w:eastAsia="Arial" w:hAnsi="Arial"/>
          <w:color w:val="000000"/>
        </w:rPr>
        <w:t xml:space="preserve">. A banking system wants to detect potential loan defaulters based on customer financial history and transaction patterns. Design a solution using </w:t>
      </w:r>
      <w:r>
        <w:rPr>
          <w:rFonts w:ascii="Arial" w:cs="Arial" w:eastAsia="Arial" w:hAnsi="Arial"/>
          <w:b/>
          <w:bCs/>
          <w:color w:val="000000"/>
        </w:rPr>
        <w:t>K-Nearest Neighbour or Logistic Regression</w:t>
      </w:r>
      <w:r>
        <w:rPr>
          <w:rFonts w:ascii="Arial" w:cs="Arial" w:eastAsia="Arial" w:hAnsi="Arial"/>
          <w:color w:val="000000"/>
        </w:rPr>
        <w:t>. Explain how similarity or decision boundaries are used, how features are selected, and how the system adapts to new customer data over time.</w:t>
      </w:r>
    </w:p>
    <w:p w14:paraId="00000042">
      <w:pPr>
        <w:pStyle w:val="style0"/>
        <w:jc w:val="both"/>
        <w:rPr>
          <w:rFonts w:ascii="Arial" w:cs="Arial" w:eastAsia="Arial" w:hAnsi="Arial"/>
          <w:color w:val="000000"/>
        </w:rPr>
      </w:pPr>
    </w:p>
    <w:p w14:paraId="00000045">
      <w:pPr>
        <w:pStyle w:val="style0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lang w:val="en-US"/>
        </w:rPr>
        <w:t>2</w:t>
      </w:r>
      <w:r>
        <w:rPr>
          <w:rFonts w:ascii="Arial" w:cs="Arial" w:eastAsia="Arial" w:hAnsi="Arial"/>
          <w:color w:val="000000"/>
        </w:rPr>
        <w:t xml:space="preserve">. A cybersecurity firm wants to identify abnormal network behavior to detect intrusions. Design a system using </w:t>
      </w:r>
      <w:r>
        <w:rPr>
          <w:rFonts w:ascii="Arial" w:cs="Arial" w:eastAsia="Arial" w:hAnsi="Arial"/>
          <w:b/>
          <w:bCs/>
          <w:color w:val="000000"/>
        </w:rPr>
        <w:t>KNN or Case-Based Learning</w:t>
      </w:r>
      <w:r>
        <w:rPr>
          <w:rFonts w:ascii="Arial" w:cs="Arial" w:eastAsia="Arial" w:hAnsi="Arial"/>
          <w:color w:val="000000"/>
        </w:rPr>
        <w:t>. Explain how similarity between network patterns is measured, how anomalies are detected, and how the model updates with new attack patterns.</w:t>
      </w:r>
    </w:p>
    <w:p w14:paraId="0000004C">
      <w:pPr>
        <w:pStyle w:val="style0"/>
        <w:jc w:val="both"/>
        <w:rPr>
          <w:rFonts w:ascii="Arial" w:cs="Arial" w:eastAsia="Arial" w:hAnsi="Arial"/>
          <w:b/>
          <w:bCs/>
        </w:rPr>
      </w:pPr>
    </w:p>
    <w:p w14:paraId="0000004D">
      <w:pPr>
        <w:pStyle w:val="style0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lang w:val="en-US"/>
        </w:rPr>
        <w:t>3</w:t>
      </w:r>
      <w:r>
        <w:rPr>
          <w:rFonts w:ascii="Arial" w:cs="Arial" w:eastAsia="Arial" w:hAnsi="Arial"/>
          <w:color w:val="000000"/>
        </w:rPr>
        <w:t xml:space="preserve">. An energy management company aims to predict electricity consumption based on factors such as time, weather, and appliance usage. Propose a solution using </w:t>
      </w:r>
      <w:r>
        <w:rPr>
          <w:rFonts w:ascii="Arial" w:cs="Arial" w:eastAsia="Arial" w:hAnsi="Arial"/>
          <w:b/>
          <w:bCs/>
          <w:color w:val="000000"/>
        </w:rPr>
        <w:t>Locally Weighted Regression or RBF networks</w:t>
      </w:r>
      <w:r>
        <w:rPr>
          <w:rFonts w:ascii="Arial" w:cs="Arial" w:eastAsia="Arial" w:hAnsi="Arial"/>
          <w:color w:val="000000"/>
        </w:rPr>
        <w:t>. Explain how local learning captures variations in consumption patterns and how the model handles noisy and seasonal data.</w:t>
      </w:r>
    </w:p>
    <w:p w14:paraId="305CEC12">
      <w:pPr>
        <w:pStyle w:val="style0"/>
        <w:rPr/>
      </w:pPr>
    </w:p>
    <w:p w14:paraId="00000058">
      <w:pPr>
        <w:pStyle w:val="style0"/>
        <w:jc w:val="both"/>
        <w:rPr>
          <w:rFonts w:ascii="Arial" w:cs="Arial" w:eastAsia="Arial" w:hAnsi="Arial"/>
          <w:b/>
          <w:bCs/>
          <w:color w:val="000000"/>
        </w:rPr>
      </w:pPr>
    </w:p>
    <w:p w14:paraId="00000059">
      <w:pPr>
        <w:pStyle w:val="style0"/>
        <w:jc w:val="both"/>
        <w:rPr>
          <w:rFonts w:ascii="Arial" w:cs="Arial" w:eastAsia="Arial" w:hAnsi="Arial"/>
          <w:b/>
          <w:bCs/>
          <w:color w:val="000000"/>
        </w:rPr>
      </w:pPr>
    </w:p>
    <w:p w14:paraId="0000005A">
      <w:pPr>
        <w:pStyle w:val="style0"/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RUBRICS FOR CALCULATION</w:t>
      </w:r>
    </w:p>
    <w:p w14:paraId="0000005B">
      <w:pPr>
        <w:pStyle w:val="style0"/>
        <w:jc w:val="both"/>
        <w:rPr>
          <w:rFonts w:ascii="Arial" w:cs="Arial" w:eastAsia="Arial" w:hAnsi="Arial"/>
          <w:color w:val="000000"/>
        </w:rPr>
      </w:pPr>
    </w:p>
    <w:p w14:paraId="0000005C">
      <w:pPr>
        <w:pStyle w:val="style0"/>
        <w:jc w:val="both"/>
        <w:rPr>
          <w:rFonts w:ascii="Arial" w:cs="Arial" w:eastAsia="Arial" w:hAnsi="Arial"/>
          <w:color w:val="000000"/>
        </w:rPr>
      </w:pPr>
    </w:p>
    <w:tbl>
      <w:tblPr>
        <w:tblStyle w:val="style4098"/>
        <w:tblW w:w="9411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14:paraId="1ED9B6B1">
        <w:trPr>
          <w:cantSplit/>
          <w:tblHeader/>
        </w:trPr>
        <w:tc>
          <w:tcPr>
            <w:tcW w:w="1473" w:type="dxa"/>
            <w:tcBorders/>
            <w:vAlign w:val="center"/>
          </w:tcPr>
          <w:p w14:paraId="0000005D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tcBorders/>
            <w:vAlign w:val="center"/>
          </w:tcPr>
          <w:p w14:paraId="0000005E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7" w:type="dxa"/>
            <w:tcBorders/>
            <w:vAlign w:val="center"/>
          </w:tcPr>
          <w:p w14:paraId="0000005F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tcBorders/>
            <w:vAlign w:val="center"/>
          </w:tcPr>
          <w:p w14:paraId="00000060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tcBorders/>
            <w:vAlign w:val="center"/>
          </w:tcPr>
          <w:p w14:paraId="00000061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tcBorders/>
            <w:vAlign w:val="center"/>
          </w:tcPr>
          <w:p w14:paraId="00000062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Level 1 – Beginning (0–1 Mark)</w:t>
            </w:r>
          </w:p>
        </w:tc>
      </w:tr>
      <w:tr w14:paraId="70E7F24E">
        <w:tblPrEx/>
        <w:trPr>
          <w:cantSplit/>
          <w:tblHeader/>
        </w:trPr>
        <w:tc>
          <w:tcPr>
            <w:tcW w:w="1473" w:type="dxa"/>
            <w:tcBorders/>
            <w:vAlign w:val="center"/>
          </w:tcPr>
          <w:p w14:paraId="00000063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tcBorders/>
            <w:vAlign w:val="center"/>
          </w:tcPr>
          <w:p w14:paraId="00000064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77" w:type="dxa"/>
            <w:tcBorders/>
            <w:vAlign w:val="center"/>
          </w:tcPr>
          <w:p w14:paraId="00000065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tcBorders/>
            <w:vAlign w:val="center"/>
          </w:tcPr>
          <w:p w14:paraId="00000066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tcBorders/>
            <w:vAlign w:val="center"/>
          </w:tcPr>
          <w:p w14:paraId="00000067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tcBorders/>
            <w:vAlign w:val="center"/>
          </w:tcPr>
          <w:p w14:paraId="00000068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Poor or incorrect understanding</w:t>
            </w:r>
          </w:p>
        </w:tc>
      </w:tr>
      <w:tr w14:paraId="66435880">
        <w:tblPrEx/>
        <w:trPr>
          <w:cantSplit/>
          <w:tblHeader/>
        </w:trPr>
        <w:tc>
          <w:tcPr>
            <w:tcW w:w="1473" w:type="dxa"/>
            <w:tcBorders/>
            <w:vAlign w:val="center"/>
          </w:tcPr>
          <w:p w14:paraId="00000069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tcBorders/>
            <w:vAlign w:val="center"/>
          </w:tcPr>
          <w:p w14:paraId="0000006A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77" w:type="dxa"/>
            <w:tcBorders/>
            <w:vAlign w:val="center"/>
          </w:tcPr>
          <w:p w14:paraId="0000006B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tcBorders/>
            <w:vAlign w:val="center"/>
          </w:tcPr>
          <w:p w14:paraId="0000006C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tcBorders/>
            <w:vAlign w:val="center"/>
          </w:tcPr>
          <w:p w14:paraId="0000006D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tcBorders/>
            <w:vAlign w:val="center"/>
          </w:tcPr>
          <w:p w14:paraId="0000006E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Incorrect or irrelevant answer</w:t>
            </w:r>
          </w:p>
        </w:tc>
      </w:tr>
      <w:tr w14:paraId="48642CA5">
        <w:tblPrEx/>
        <w:trPr>
          <w:cantSplit/>
          <w:tblHeader/>
        </w:trPr>
        <w:tc>
          <w:tcPr>
            <w:tcW w:w="1473" w:type="dxa"/>
            <w:tcBorders/>
            <w:vAlign w:val="center"/>
          </w:tcPr>
          <w:p w14:paraId="0000006F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tcBorders/>
            <w:vAlign w:val="center"/>
          </w:tcPr>
          <w:p w14:paraId="00000070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tcBorders/>
            <w:vAlign w:val="center"/>
          </w:tcPr>
          <w:p w14:paraId="00000071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tcBorders/>
            <w:vAlign w:val="center"/>
          </w:tcPr>
          <w:p w14:paraId="00000072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tcBorders/>
            <w:vAlign w:val="center"/>
          </w:tcPr>
          <w:p w14:paraId="00000073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tcBorders/>
            <w:vAlign w:val="center"/>
          </w:tcPr>
          <w:p w14:paraId="00000074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No or incorrect application</w:t>
            </w:r>
          </w:p>
        </w:tc>
      </w:tr>
      <w:tr w14:paraId="03B0D636">
        <w:tblPrEx/>
        <w:trPr>
          <w:cantSplit/>
          <w:tblHeader/>
        </w:trPr>
        <w:tc>
          <w:tcPr>
            <w:tcW w:w="1473" w:type="dxa"/>
            <w:tcBorders/>
            <w:vAlign w:val="center"/>
          </w:tcPr>
          <w:p w14:paraId="00000075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tcBorders/>
            <w:vAlign w:val="center"/>
          </w:tcPr>
          <w:p w14:paraId="00000076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tcBorders/>
            <w:vAlign w:val="center"/>
          </w:tcPr>
          <w:p w14:paraId="00000077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tcBorders/>
            <w:vAlign w:val="center"/>
          </w:tcPr>
          <w:p w14:paraId="00000078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tcBorders/>
            <w:vAlign w:val="center"/>
          </w:tcPr>
          <w:p w14:paraId="00000079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tcBorders/>
            <w:vAlign w:val="center"/>
          </w:tcPr>
          <w:p w14:paraId="0000007A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Incomplete or missing response</w:t>
            </w:r>
          </w:p>
        </w:tc>
      </w:tr>
      <w:tr w14:paraId="5546A6CD">
        <w:tblPrEx/>
        <w:trPr>
          <w:cantSplit/>
          <w:tblHeader/>
        </w:trPr>
        <w:tc>
          <w:tcPr>
            <w:tcW w:w="1473" w:type="dxa"/>
            <w:tcBorders/>
            <w:vAlign w:val="center"/>
          </w:tcPr>
          <w:p w14:paraId="0000007B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tcBorders/>
            <w:vAlign w:val="center"/>
          </w:tcPr>
          <w:p w14:paraId="0000007C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tcBorders/>
            <w:vAlign w:val="center"/>
          </w:tcPr>
          <w:p w14:paraId="0000007D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tcBorders/>
            <w:vAlign w:val="center"/>
          </w:tcPr>
          <w:p w14:paraId="0000007E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tcBorders/>
            <w:vAlign w:val="center"/>
          </w:tcPr>
          <w:p w14:paraId="0000007F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tcBorders/>
            <w:vAlign w:val="center"/>
          </w:tcPr>
          <w:p w14:paraId="00000080">
            <w:pPr>
              <w:pStyle w:val="style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>Difficult to understand</w:t>
            </w:r>
          </w:p>
        </w:tc>
      </w:tr>
    </w:tbl>
    <w:p w14:paraId="00000081">
      <w:pPr>
        <w:pStyle w:val="style0"/>
        <w:jc w:val="both"/>
        <w:rPr>
          <w:rFonts w:ascii="Arial" w:cs="Arial" w:eastAsia="Arial" w:hAnsi="Arial"/>
          <w:color w:val="000000"/>
        </w:rPr>
      </w:pPr>
    </w:p>
    <w:p w14:paraId="00000084">
      <w:pPr>
        <w:pStyle w:val="style0"/>
        <w:jc w:val="both"/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</w:pPr>
    </w:p>
    <w:p w14:paraId="35B72FE7">
      <w:pPr>
        <w:pStyle w:val="style0"/>
        <w:jc w:val="both"/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</w:pPr>
    </w:p>
    <w:p w14:paraId="4207EC58">
      <w:pPr>
        <w:pStyle w:val="style0"/>
        <w:jc w:val="both"/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</w:pPr>
    </w:p>
    <w:p w14:paraId="4DD3D000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1. Loan Default Detection Using Logistic Regression</w:t>
      </w:r>
    </w:p>
    <w:p w14:paraId="51DF7BBF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Proposed Solution</w:t>
      </w:r>
    </w:p>
    <w:p w14:paraId="059B2FDF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A banking system can use </w:t>
      </w:r>
      <w:r>
        <w:rPr>
          <w:rFonts w:ascii="Times New Roman" w:cs="Times New Roman" w:eastAsia="Times New Roman" w:hAnsi="Times New Roman"/>
          <w:b/>
          <w:bCs/>
          <w:color w:val="000000"/>
        </w:rPr>
        <w:t>Logistic Regression</w:t>
      </w:r>
      <w:r>
        <w:rPr>
          <w:rFonts w:ascii="Times New Roman" w:cs="Times New Roman" w:eastAsia="Times New Roman" w:hAnsi="Times New Roman"/>
          <w:color w:val="000000"/>
        </w:rPr>
        <w:t xml:space="preserve"> to predict whether a customer is likely to default on a loan.</w:t>
      </w:r>
    </w:p>
    <w:p w14:paraId="2D883D8D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Input features:</w:t>
      </w:r>
    </w:p>
    <w:p w14:paraId="5EAE2542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Income </w:t>
      </w:r>
    </w:p>
    <w:p w14:paraId="59D8496A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Credit score </w:t>
      </w:r>
    </w:p>
    <w:p w14:paraId="59854BB0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Existing loan amount </w:t>
      </w:r>
    </w:p>
    <w:p w14:paraId="69B57328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Debt-to-income ratio </w:t>
      </w:r>
    </w:p>
    <w:p w14:paraId="710FA5A9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Number of previous defaults </w:t>
      </w:r>
    </w:p>
    <w:p w14:paraId="00534653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Transaction frequency </w:t>
      </w:r>
    </w:p>
    <w:p w14:paraId="15BD906F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Account balance </w:t>
      </w:r>
    </w:p>
    <w:p w14:paraId="245AA13C">
      <w:pPr>
        <w:pStyle w:val="style0"/>
        <w:numPr>
          <w:ilvl w:val="0"/>
          <w:numId w:val="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Employment duration </w:t>
      </w:r>
    </w:p>
    <w:p w14:paraId="43E83167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How it works</w:t>
      </w:r>
    </w:p>
    <w:p w14:paraId="3DBC07B9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Logistic Regression creates a </w:t>
      </w:r>
      <w:r>
        <w:rPr>
          <w:rFonts w:ascii="Times New Roman" w:cs="Times New Roman" w:eastAsia="Times New Roman" w:hAnsi="Times New Roman"/>
          <w:b/>
          <w:bCs/>
          <w:color w:val="000000"/>
        </w:rPr>
        <w:t>decision boundary</w:t>
      </w:r>
      <w:r>
        <w:rPr>
          <w:rFonts w:ascii="Times New Roman" w:cs="Times New Roman" w:eastAsia="Times New Roman" w:hAnsi="Times New Roman"/>
          <w:color w:val="000000"/>
        </w:rPr>
        <w:t xml:space="preserve"> that separates customers into two classes:</w:t>
      </w:r>
    </w:p>
    <w:p w14:paraId="71810CBC">
      <w:pPr>
        <w:pStyle w:val="style0"/>
        <w:numPr>
          <w:ilvl w:val="0"/>
          <w:numId w:val="1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0 → Non-default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 w14:paraId="7ED281E7">
      <w:pPr>
        <w:pStyle w:val="style0"/>
        <w:numPr>
          <w:ilvl w:val="0"/>
          <w:numId w:val="11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1 → Potential default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 w14:paraId="6CCE73A0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The model calculates the probability of default. For example, if the predicted probability is greater than </w:t>
      </w:r>
      <w:r>
        <w:rPr>
          <w:rFonts w:ascii="Times New Roman" w:cs="Times New Roman" w:eastAsia="Times New Roman" w:hAnsi="Times New Roman"/>
          <w:b/>
          <w:bCs/>
          <w:color w:val="000000"/>
        </w:rPr>
        <w:t>0.5</w:t>
      </w:r>
      <w:r>
        <w:rPr>
          <w:rFonts w:ascii="Times New Roman" w:cs="Times New Roman" w:eastAsia="Times New Roman" w:hAnsi="Times New Roman"/>
          <w:color w:val="000000"/>
        </w:rPr>
        <w:t>, the customer can be classified as a potential defaulter.</w:t>
      </w:r>
    </w:p>
    <w:p w14:paraId="4736B2F1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Feature Selection</w:t>
      </w:r>
    </w:p>
    <w:p w14:paraId="187B9E18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Important features can be selected using:</w:t>
      </w:r>
    </w:p>
    <w:p w14:paraId="596CD0B0">
      <w:pPr>
        <w:pStyle w:val="style0"/>
        <w:numPr>
          <w:ilvl w:val="0"/>
          <w:numId w:val="12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Correlation analysis </w:t>
      </w:r>
    </w:p>
    <w:p w14:paraId="3E8EE533">
      <w:pPr>
        <w:pStyle w:val="style0"/>
        <w:numPr>
          <w:ilvl w:val="0"/>
          <w:numId w:val="12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Feature importance </w:t>
      </w:r>
    </w:p>
    <w:p w14:paraId="0AFBB9A3">
      <w:pPr>
        <w:pStyle w:val="style0"/>
        <w:numPr>
          <w:ilvl w:val="0"/>
          <w:numId w:val="12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Statistical significance </w:t>
      </w:r>
    </w:p>
    <w:p w14:paraId="760D491A">
      <w:pPr>
        <w:pStyle w:val="style0"/>
        <w:numPr>
          <w:ilvl w:val="0"/>
          <w:numId w:val="12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Recursive feature elimination </w:t>
      </w:r>
    </w:p>
    <w:p w14:paraId="76BA4EB2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Irrelevant or highly correlated features can be removed to improve model performance.</w:t>
      </w:r>
    </w:p>
    <w:p w14:paraId="646A045D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Adapting to New Data</w:t>
      </w:r>
    </w:p>
    <w:p w14:paraId="52364DCF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As new customer repayment and transaction records become available:</w:t>
      </w:r>
    </w:p>
    <w:p w14:paraId="0853D8DE">
      <w:pPr>
        <w:pStyle w:val="style0"/>
        <w:numPr>
          <w:ilvl w:val="0"/>
          <w:numId w:val="13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New data is collected. </w:t>
      </w:r>
    </w:p>
    <w:p w14:paraId="13B367E3">
      <w:pPr>
        <w:pStyle w:val="style0"/>
        <w:numPr>
          <w:ilvl w:val="0"/>
          <w:numId w:val="13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The data is cleaned and converted into the required features. </w:t>
      </w:r>
    </w:p>
    <w:p w14:paraId="64A51B85">
      <w:pPr>
        <w:pStyle w:val="style0"/>
        <w:numPr>
          <w:ilvl w:val="0"/>
          <w:numId w:val="13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The model is periodically retrained. </w:t>
      </w:r>
    </w:p>
    <w:p w14:paraId="2D1DB607">
      <w:pPr>
        <w:pStyle w:val="style0"/>
        <w:numPr>
          <w:ilvl w:val="0"/>
          <w:numId w:val="13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Updated customer behavior is incorporated into the decision boundary. </w:t>
      </w:r>
    </w:p>
    <w:p w14:paraId="67DCF5EB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Result:</w:t>
      </w:r>
      <w:r>
        <w:rPr>
          <w:rFonts w:ascii="Times New Roman" w:cs="Times New Roman" w:eastAsia="Times New Roman" w:hAnsi="Times New Roman"/>
          <w:color w:val="000000"/>
        </w:rPr>
        <w:t xml:space="preserve"> The system can continuously improve its ability to identify potential loan defaulters.</w:t>
      </w:r>
    </w:p>
    <w:p w14:paraId="22D32E3C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AA182EC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2. Intrusion Detection Using K-Nearest Neighbour</w:t>
      </w:r>
    </w:p>
    <w:p w14:paraId="41286A61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Proposed Solution</w:t>
      </w:r>
    </w:p>
    <w:p w14:paraId="4685F27D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A cybersecurity system can use </w:t>
      </w:r>
      <w:r>
        <w:rPr>
          <w:rFonts w:ascii="Times New Roman" w:cs="Times New Roman" w:eastAsia="Times New Roman" w:hAnsi="Times New Roman"/>
          <w:b/>
          <w:bCs/>
          <w:color w:val="000000"/>
        </w:rPr>
        <w:t>K-Nearest Neighbour (KNN)</w:t>
      </w:r>
      <w:r>
        <w:rPr>
          <w:rFonts w:ascii="Times New Roman" w:cs="Times New Roman" w:eastAsia="Times New Roman" w:hAnsi="Times New Roman"/>
          <w:color w:val="000000"/>
        </w:rPr>
        <w:t xml:space="preserve"> to classify network connections as </w:t>
      </w:r>
      <w:r>
        <w:rPr>
          <w:rFonts w:ascii="Times New Roman" w:cs="Times New Roman" w:eastAsia="Times New Roman" w:hAnsi="Times New Roman"/>
          <w:b/>
          <w:bCs/>
          <w:color w:val="000000"/>
        </w:rPr>
        <w:t>normal or suspicious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 w14:paraId="1BB48ACA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Network features:</w:t>
      </w:r>
    </w:p>
    <w:p w14:paraId="783D3801">
      <w:pPr>
        <w:pStyle w:val="style0"/>
        <w:numPr>
          <w:ilvl w:val="0"/>
          <w:numId w:val="14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Connection duration </w:t>
      </w:r>
    </w:p>
    <w:p w14:paraId="5F9A6949">
      <w:pPr>
        <w:pStyle w:val="style0"/>
        <w:numPr>
          <w:ilvl w:val="0"/>
          <w:numId w:val="14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Number of packets </w:t>
      </w:r>
    </w:p>
    <w:p w14:paraId="41C5F727">
      <w:pPr>
        <w:pStyle w:val="style0"/>
        <w:numPr>
          <w:ilvl w:val="0"/>
          <w:numId w:val="14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Bytes transferred </w:t>
      </w:r>
    </w:p>
    <w:p w14:paraId="62A760A4">
      <w:pPr>
        <w:pStyle w:val="style0"/>
        <w:numPr>
          <w:ilvl w:val="0"/>
          <w:numId w:val="14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Protocol type </w:t>
      </w:r>
    </w:p>
    <w:p w14:paraId="4A336CBD">
      <w:pPr>
        <w:pStyle w:val="style0"/>
        <w:numPr>
          <w:ilvl w:val="0"/>
          <w:numId w:val="14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Source/destination port </w:t>
      </w:r>
    </w:p>
    <w:p w14:paraId="31DF5D7C">
      <w:pPr>
        <w:pStyle w:val="style0"/>
        <w:numPr>
          <w:ilvl w:val="0"/>
          <w:numId w:val="14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Failed connection attempts </w:t>
      </w:r>
    </w:p>
    <w:p w14:paraId="61123B2E">
      <w:pPr>
        <w:pStyle w:val="style0"/>
        <w:numPr>
          <w:ilvl w:val="0"/>
          <w:numId w:val="14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Connection frequency </w:t>
      </w:r>
    </w:p>
    <w:p w14:paraId="13754B73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Similarity Measurement</w:t>
      </w:r>
    </w:p>
    <w:p w14:paraId="15DC384C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KNN compares a new network connection with previously observed network patterns.</w:t>
      </w:r>
    </w:p>
    <w:p w14:paraId="3C6873F5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A common similarity measure is </w:t>
      </w:r>
      <w:r>
        <w:rPr>
          <w:rFonts w:ascii="Times New Roman" w:cs="Times New Roman" w:eastAsia="Times New Roman" w:hAnsi="Times New Roman"/>
          <w:b/>
          <w:bCs/>
          <w:color w:val="000000"/>
        </w:rPr>
        <w:t>Euclidean distance</w:t>
      </w:r>
      <w:r>
        <w:rPr>
          <w:rFonts w:ascii="Times New Roman" w:cs="Times New Roman" w:eastAsia="Times New Roman" w:hAnsi="Times New Roman"/>
          <w:color w:val="000000"/>
        </w:rPr>
        <w:t>:</w:t>
      </w:r>
    </w:p>
    <w:p w14:paraId="0E354843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The system finds the </w:t>
      </w:r>
      <w:r>
        <w:rPr>
          <w:rFonts w:ascii="Times New Roman" w:cs="Times New Roman" w:eastAsia="Times New Roman" w:hAnsi="Times New Roman"/>
          <w:b/>
          <w:bCs/>
          <w:color w:val="000000"/>
        </w:rPr>
        <w:t>K most similar network connections</w:t>
      </w:r>
      <w:r>
        <w:rPr>
          <w:rFonts w:ascii="Times New Roman" w:cs="Times New Roman" w:eastAsia="Times New Roman" w:hAnsi="Times New Roman"/>
          <w:color w:val="000000"/>
        </w:rPr>
        <w:t xml:space="preserve"> and uses their classes to classify the new connection.</w:t>
      </w:r>
    </w:p>
    <w:p w14:paraId="2D21E60B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Anomaly Detection</w:t>
      </w:r>
    </w:p>
    <w:p w14:paraId="0882F437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If most nearby patterns are known attacks, the new connection is classified as an </w:t>
      </w:r>
      <w:r>
        <w:rPr>
          <w:rFonts w:ascii="Times New Roman" w:cs="Times New Roman" w:eastAsia="Times New Roman" w:hAnsi="Times New Roman"/>
          <w:b/>
          <w:bCs/>
          <w:color w:val="000000"/>
        </w:rPr>
        <w:t>intrusion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 w14:paraId="22DF88A5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For example:</w:t>
      </w:r>
    </w:p>
    <w:p w14:paraId="7489F14A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New network pattern → Find nearest patterns → Vote → Normal/Attack</w:t>
      </w:r>
    </w:p>
    <w:p w14:paraId="6AFA8B6E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 pattern that is very different from known normal traffic can also be flagged for further investigation.</w:t>
      </w:r>
    </w:p>
    <w:p w14:paraId="28C3FC5D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Updating with New Attack Patterns</w:t>
      </w:r>
    </w:p>
    <w:p w14:paraId="01B549F1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When security analysts confirm a new attack:</w:t>
      </w:r>
    </w:p>
    <w:p w14:paraId="22E240F9">
      <w:pPr>
        <w:pStyle w:val="style0"/>
        <w:numPr>
          <w:ilvl w:val="0"/>
          <w:numId w:val="15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The network pattern is stored. </w:t>
      </w:r>
    </w:p>
    <w:p w14:paraId="5CE3608E">
      <w:pPr>
        <w:pStyle w:val="style0"/>
        <w:numPr>
          <w:ilvl w:val="0"/>
          <w:numId w:val="15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It is labelled as a new attack type. </w:t>
      </w:r>
    </w:p>
    <w:p w14:paraId="19FC1F19">
      <w:pPr>
        <w:pStyle w:val="style0"/>
        <w:numPr>
          <w:ilvl w:val="0"/>
          <w:numId w:val="15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The case becomes part of the historical dataset. </w:t>
      </w:r>
    </w:p>
    <w:p w14:paraId="7841D10E">
      <w:pPr>
        <w:pStyle w:val="style0"/>
        <w:numPr>
          <w:ilvl w:val="0"/>
          <w:numId w:val="15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Future connections can be compared with this new pattern. </w:t>
      </w:r>
    </w:p>
    <w:p w14:paraId="0FFDF129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Result:</w:t>
      </w:r>
      <w:r>
        <w:rPr>
          <w:rFonts w:ascii="Times New Roman" w:cs="Times New Roman" w:eastAsia="Times New Roman" w:hAnsi="Times New Roman"/>
          <w:color w:val="000000"/>
        </w:rPr>
        <w:t xml:space="preserve"> KNN can adapt naturally by adding newly labelled attack cases without completely redesigning the classification process.</w:t>
      </w:r>
    </w:p>
    <w:p w14:paraId="1C197B1A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2EB85C5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</w:p>
    <w:p w14:paraId="249B9DD0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</w:p>
    <w:p w14:paraId="189459AF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3. Electricity Consumption Prediction Using Locally Weighted Regression</w:t>
      </w:r>
    </w:p>
    <w:p w14:paraId="0E413BC2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Proposed Solution</w:t>
      </w:r>
    </w:p>
    <w:p w14:paraId="779E4941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An energy management company can use </w:t>
      </w:r>
      <w:r>
        <w:rPr>
          <w:rFonts w:ascii="Times New Roman" w:cs="Times New Roman" w:eastAsia="Times New Roman" w:hAnsi="Times New Roman"/>
          <w:b/>
          <w:bCs/>
          <w:color w:val="000000"/>
        </w:rPr>
        <w:t>Locally Weighted Regression (LWR)</w:t>
      </w:r>
      <w:r>
        <w:rPr>
          <w:rFonts w:ascii="Times New Roman" w:cs="Times New Roman" w:eastAsia="Times New Roman" w:hAnsi="Times New Roman"/>
          <w:color w:val="000000"/>
        </w:rPr>
        <w:t xml:space="preserve"> to predict electricity consumption.</w:t>
      </w:r>
    </w:p>
    <w:p w14:paraId="0E6D4345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Input features:</w:t>
      </w:r>
    </w:p>
    <w:p w14:paraId="10BA5CE6">
      <w:pPr>
        <w:pStyle w:val="style0"/>
        <w:numPr>
          <w:ilvl w:val="0"/>
          <w:numId w:val="16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Hour of day </w:t>
      </w:r>
    </w:p>
    <w:p w14:paraId="588AAB2F">
      <w:pPr>
        <w:pStyle w:val="style0"/>
        <w:numPr>
          <w:ilvl w:val="0"/>
          <w:numId w:val="16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Day of week </w:t>
      </w:r>
    </w:p>
    <w:p w14:paraId="5AD61CCA">
      <w:pPr>
        <w:pStyle w:val="style0"/>
        <w:numPr>
          <w:ilvl w:val="0"/>
          <w:numId w:val="16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Temperature </w:t>
      </w:r>
    </w:p>
    <w:p w14:paraId="631B4EBE">
      <w:pPr>
        <w:pStyle w:val="style0"/>
        <w:numPr>
          <w:ilvl w:val="0"/>
          <w:numId w:val="16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Humidity </w:t>
      </w:r>
    </w:p>
    <w:p w14:paraId="29A8B54D">
      <w:pPr>
        <w:pStyle w:val="style0"/>
        <w:numPr>
          <w:ilvl w:val="0"/>
          <w:numId w:val="16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Previous consumption </w:t>
      </w:r>
    </w:p>
    <w:p w14:paraId="4840227D">
      <w:pPr>
        <w:pStyle w:val="style0"/>
        <w:numPr>
          <w:ilvl w:val="0"/>
          <w:numId w:val="16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Appliance usage </w:t>
      </w:r>
    </w:p>
    <w:p w14:paraId="5F77F53E">
      <w:pPr>
        <w:pStyle w:val="style0"/>
        <w:numPr>
          <w:ilvl w:val="0"/>
          <w:numId w:val="16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Holiday/weekend indicator </w:t>
      </w:r>
    </w:p>
    <w:p w14:paraId="18083194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Local Learning</w:t>
      </w:r>
    </w:p>
    <w:p w14:paraId="0D62BD61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Unlike ordinary regression, LWR gives </w:t>
      </w:r>
      <w:r>
        <w:rPr>
          <w:rFonts w:ascii="Times New Roman" w:cs="Times New Roman" w:eastAsia="Times New Roman" w:hAnsi="Times New Roman"/>
          <w:b/>
          <w:bCs/>
          <w:color w:val="000000"/>
        </w:rPr>
        <w:t>higher weights to observations that are more similar to the current prediction point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 w14:paraId="2007F813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For example, when predicting electricity usage at </w:t>
      </w:r>
      <w:r>
        <w:rPr>
          <w:rFonts w:ascii="Times New Roman" w:cs="Times New Roman" w:eastAsia="Times New Roman" w:hAnsi="Times New Roman"/>
          <w:b/>
          <w:bCs/>
          <w:color w:val="000000"/>
        </w:rPr>
        <w:t>7 PM on a hot weekday</w:t>
      </w:r>
      <w:r>
        <w:rPr>
          <w:rFonts w:ascii="Times New Roman" w:cs="Times New Roman" w:eastAsia="Times New Roman" w:hAnsi="Times New Roman"/>
          <w:color w:val="000000"/>
        </w:rPr>
        <w:t>, the model gives greater importance to historical observations from similar times and weather conditions.</w:t>
      </w:r>
    </w:p>
    <w:p w14:paraId="6CC4AF77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 Gaussian weighting function can be used:</w:t>
      </w:r>
    </w:p>
    <w:p w14:paraId="508C5BC5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Here, </w:t>
      </w:r>
      <w:r>
        <w:rPr>
          <w:rFonts w:ascii="Times New Roman" w:cs="Times New Roman" w:eastAsia="Times New Roman" w:hAnsi="Times New Roman"/>
          <w:b/>
          <w:bCs/>
          <w:color w:val="000000"/>
        </w:rPr>
        <w:t>τ</w:t>
      </w:r>
      <w:r>
        <w:rPr>
          <w:rFonts w:ascii="Times New Roman" w:cs="Times New Roman" w:eastAsia="Times New Roman" w:hAnsi="Times New Roman"/>
          <w:color w:val="000000"/>
        </w:rPr>
        <w:t xml:space="preserve"> controls how strongly the model focuses on nearby observations.</w:t>
      </w:r>
    </w:p>
    <w:p w14:paraId="33A97201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Handling Seasonal Patterns</w:t>
      </w:r>
    </w:p>
    <w:p w14:paraId="06875740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The model can capture variations such as:</w:t>
      </w:r>
    </w:p>
    <w:p w14:paraId="112ADF49">
      <w:pPr>
        <w:pStyle w:val="style0"/>
        <w:numPr>
          <w:ilvl w:val="0"/>
          <w:numId w:val="17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Higher consumption during summer </w:t>
      </w:r>
    </w:p>
    <w:p w14:paraId="34C4AD5D">
      <w:pPr>
        <w:pStyle w:val="style0"/>
        <w:numPr>
          <w:ilvl w:val="0"/>
          <w:numId w:val="17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Lower consumption during mild weather </w:t>
      </w:r>
    </w:p>
    <w:p w14:paraId="783BAB50">
      <w:pPr>
        <w:pStyle w:val="style0"/>
        <w:numPr>
          <w:ilvl w:val="0"/>
          <w:numId w:val="17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Morning and evening peaks </w:t>
      </w:r>
    </w:p>
    <w:p w14:paraId="242816CC">
      <w:pPr>
        <w:pStyle w:val="style0"/>
        <w:numPr>
          <w:ilvl w:val="0"/>
          <w:numId w:val="17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Weekend usage differences </w:t>
      </w:r>
    </w:p>
    <w:p w14:paraId="30FF57F8">
      <w:pPr>
        <w:pStyle w:val="style0"/>
        <w:numPr>
          <w:ilvl w:val="0"/>
          <w:numId w:val="17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Holiday consumption changes </w:t>
      </w:r>
    </w:p>
    <w:p w14:paraId="4EDE7FFD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By learning locally, the model does not need one global relationship for all conditions.</w:t>
      </w:r>
    </w:p>
    <w:p w14:paraId="48E0DDE8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b/>
          <w:bCs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Handling Noisy Data</w:t>
      </w:r>
    </w:p>
    <w:p w14:paraId="75ADF4AE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Noisy observations can have less influence when they are far from the current prediction point. Data preprocessing can further improve performance through:</w:t>
      </w:r>
    </w:p>
    <w:p w14:paraId="2D90AA87">
      <w:pPr>
        <w:pStyle w:val="style0"/>
        <w:numPr>
          <w:ilvl w:val="0"/>
          <w:numId w:val="18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Outlier removal </w:t>
      </w:r>
    </w:p>
    <w:p w14:paraId="21EAC580">
      <w:pPr>
        <w:pStyle w:val="style0"/>
        <w:numPr>
          <w:ilvl w:val="0"/>
          <w:numId w:val="18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Missing-value treatment </w:t>
      </w:r>
    </w:p>
    <w:p w14:paraId="46A78BC7">
      <w:pPr>
        <w:pStyle w:val="style0"/>
        <w:numPr>
          <w:ilvl w:val="0"/>
          <w:numId w:val="18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Feature scaling </w:t>
      </w:r>
    </w:p>
    <w:p w14:paraId="24AA27B0">
      <w:pPr>
        <w:pStyle w:val="style0"/>
        <w:numPr>
          <w:ilvl w:val="0"/>
          <w:numId w:val="18"/>
        </w:numPr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Moving averages </w:t>
      </w:r>
    </w:p>
    <w:p w14:paraId="2EC14EF9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b/>
          <w:bCs/>
          <w:color w:val="000000"/>
        </w:rPr>
        <w:t>Result:</w:t>
      </w:r>
      <w:r>
        <w:rPr>
          <w:rFonts w:ascii="Times New Roman" w:cs="Times New Roman" w:eastAsia="Times New Roman" w:hAnsi="Times New Roman"/>
          <w:color w:val="000000"/>
        </w:rPr>
        <w:t xml:space="preserve"> LWR provides flexible predictions because it focuses on </w:t>
      </w:r>
      <w:r>
        <w:rPr>
          <w:rFonts w:ascii="Times New Roman" w:cs="Times New Roman" w:eastAsia="Times New Roman" w:hAnsi="Times New Roman"/>
          <w:b/>
          <w:bCs/>
          <w:color w:val="000000"/>
        </w:rPr>
        <w:t>local consumption patterns</w:t>
      </w:r>
      <w:r>
        <w:rPr>
          <w:rFonts w:ascii="Times New Roman" w:cs="Times New Roman" w:eastAsia="Times New Roman" w:hAnsi="Times New Roman"/>
          <w:color w:val="000000"/>
        </w:rPr>
        <w:t>, making it suitable for changing and seasonal electricity demand.</w:t>
      </w:r>
    </w:p>
    <w:p w14:paraId="1388A91C">
      <w:pPr>
        <w:pStyle w:val="style0"/>
        <w:spacing w:lineRule="auto" w:line="360"/>
        <w:jc w:val="both"/>
        <w:rPr>
          <w:rFonts w:ascii="Times New Roman" w:cs="Times New Roman" w:eastAsia="Times New Roman" w:hAnsi="Times New Roman"/>
          <w:color w:val="000000"/>
        </w:rPr>
      </w:pPr>
    </w:p>
    <w:sectPr>
      <w:pgSz w:w="11909" w:h="16834" w:orient="portrait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FE6E0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A7CA61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538EFA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F196B6D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88908E0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686A35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A398AD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B880BC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414C65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68AC1E7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D242BE9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multilevel"/>
    <w:tmpl w:val="36B4E8F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1E4A561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C860B0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41C200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D138CBC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6">
    <w:nsid w:val="00000010"/>
    <w:multiLevelType w:val="multilevel"/>
    <w:tmpl w:val="3EDCD3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7ADA6E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1"/>
  </w:num>
  <w:num w:numId="4">
    <w:abstractNumId w:val="7"/>
  </w:num>
  <w:num w:numId="5">
    <w:abstractNumId w:val="15"/>
  </w:num>
  <w:num w:numId="6">
    <w:abstractNumId w:val="14"/>
  </w:num>
  <w:num w:numId="7">
    <w:abstractNumId w:val="3"/>
  </w:num>
  <w:num w:numId="8">
    <w:abstractNumId w:val="16"/>
  </w:num>
  <w:num w:numId="9">
    <w:abstractNumId w:val="0"/>
  </w:num>
  <w:num w:numId="10">
    <w:abstractNumId w:val="8"/>
  </w:num>
  <w:num w:numId="11">
    <w:abstractNumId w:val="13"/>
  </w:num>
  <w:num w:numId="12">
    <w:abstractNumId w:val="9"/>
  </w:num>
  <w:num w:numId="13">
    <w:abstractNumId w:val="12"/>
  </w:num>
  <w:num w:numId="14">
    <w:abstractNumId w:val="5"/>
  </w:num>
  <w:num w:numId="15">
    <w:abstractNumId w:val="10"/>
  </w:num>
  <w:num w:numId="16">
    <w:abstractNumId w:val="4"/>
  </w:num>
  <w:num w:numId="17">
    <w:abstractNumId w:val="6"/>
  </w:num>
  <w:num w:numId="18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keepLines/>
      <w:spacing w:before="400" w:after="120" w:lineRule="auto" w:line="276"/>
      <w:outlineLvl w:val="0"/>
    </w:pPr>
    <w:rPr>
      <w:rFonts w:ascii="Arial" w:cs="Arial" w:eastAsia="Arial" w:hAnsi="Arial"/>
      <w:color w:val="000000"/>
      <w:sz w:val="40"/>
      <w:szCs w:val="40"/>
    </w:rPr>
  </w:style>
  <w:style w:type="paragraph" w:styleId="style2">
    <w:name w:val="heading 2"/>
    <w:basedOn w:val="style0"/>
    <w:next w:val="style0"/>
    <w:qFormat/>
    <w:pPr>
      <w:keepNext/>
      <w:keepLines/>
      <w:spacing w:before="360" w:after="120" w:lineRule="auto" w:line="276"/>
      <w:outlineLvl w:val="1"/>
    </w:pPr>
    <w:rPr>
      <w:rFonts w:ascii="Arial" w:cs="Arial" w:eastAsia="Arial" w:hAnsi="Arial"/>
      <w:color w:val="000000"/>
      <w:sz w:val="32"/>
      <w:szCs w:val="32"/>
    </w:rPr>
  </w:style>
  <w:style w:type="paragraph" w:styleId="style3">
    <w:name w:val="heading 3"/>
    <w:basedOn w:val="style0"/>
    <w:next w:val="style0"/>
    <w:qFormat/>
    <w:pPr>
      <w:keepNext/>
      <w:keepLines/>
      <w:spacing w:before="320" w:after="80" w:lineRule="auto" w:line="276"/>
      <w:outlineLvl w:val="2"/>
    </w:pPr>
    <w:rPr>
      <w:rFonts w:ascii="Arial" w:cs="Arial" w:eastAsia="Arial" w:hAnsi="Arial"/>
      <w:color w:val="434343"/>
      <w:sz w:val="28"/>
      <w:szCs w:val="28"/>
    </w:rPr>
  </w:style>
  <w:style w:type="paragraph" w:styleId="style4">
    <w:name w:val="heading 4"/>
    <w:basedOn w:val="style0"/>
    <w:next w:val="style0"/>
    <w:qFormat/>
    <w:pPr>
      <w:keepNext/>
      <w:keepLines/>
      <w:spacing w:before="280" w:after="80" w:lineRule="auto" w:line="276"/>
      <w:outlineLvl w:val="3"/>
    </w:pPr>
    <w:rPr>
      <w:rFonts w:ascii="Arial" w:cs="Arial" w:eastAsia="Arial" w:hAnsi="Arial"/>
      <w:color w:val="666666"/>
    </w:rPr>
  </w:style>
  <w:style w:type="paragraph" w:styleId="style5">
    <w:name w:val="heading 5"/>
    <w:basedOn w:val="style0"/>
    <w:next w:val="style0"/>
    <w:qFormat/>
    <w:pPr>
      <w:keepNext/>
      <w:keepLines/>
      <w:spacing w:before="240" w:after="80" w:lineRule="auto" w:line="276"/>
      <w:outlineLvl w:val="4"/>
    </w:pPr>
    <w:rPr>
      <w:rFonts w:ascii="Arial" w:cs="Arial" w:eastAsia="Arial" w:hAnsi="Arial"/>
      <w:color w:val="666666"/>
      <w:sz w:val="22"/>
      <w:szCs w:val="22"/>
    </w:rPr>
  </w:style>
  <w:style w:type="paragraph" w:styleId="style6">
    <w:name w:val="heading 6"/>
    <w:basedOn w:val="style0"/>
    <w:next w:val="style0"/>
    <w:qFormat/>
    <w:pPr>
      <w:keepNext/>
      <w:keepLines/>
      <w:spacing w:before="240" w:after="80" w:lineRule="auto" w:line="276"/>
      <w:outlineLvl w:val="5"/>
    </w:pPr>
    <w:rPr>
      <w:rFonts w:ascii="Arial" w:cs="Arial" w:eastAsia="Arial" w:hAnsi="Arial"/>
      <w:i/>
      <w:iCs/>
      <w:color w:val="666666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74">
    <w:name w:val="Subtitle"/>
    <w:basedOn w:val="style0"/>
    <w:next w:val="style0"/>
    <w:qFormat/>
    <w:pPr>
      <w:keepNext/>
      <w:keepLines/>
      <w:spacing w:after="320" w:lineRule="auto" w:line="276"/>
    </w:pPr>
    <w:rPr>
      <w:rFonts w:ascii="Arial" w:cs="Arial" w:eastAsia="Arial" w:hAnsi="Arial"/>
      <w:color w:val="666666"/>
      <w:sz w:val="30"/>
      <w:szCs w:val="30"/>
    </w:rPr>
  </w:style>
  <w:style w:type="table" w:styleId="style154">
    <w:name w:val="Table Grid"/>
    <w:basedOn w:val="style105"/>
    <w:next w:val="style154"/>
    <w:qFormat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qFormat/>
    <w:pPr>
      <w:keepNext/>
      <w:keepLines/>
      <w:spacing w:after="60" w:lineRule="auto" w:line="276"/>
    </w:pPr>
    <w:rPr>
      <w:rFonts w:ascii="Arial" w:cs="Arial" w:eastAsia="Arial" w:hAnsi="Arial"/>
      <w:color w:val="000000"/>
      <w:sz w:val="52"/>
      <w:szCs w:val="52"/>
    </w:rPr>
  </w:style>
  <w:style w:type="table" w:customStyle="1" w:styleId="style4097">
    <w:name w:val="TableNormal"/>
    <w:next w:val="style4097"/>
    <w:qFormat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8">
    <w:name w:val="_Style 10"/>
    <w:basedOn w:val="style4097"/>
    <w:next w:val="style4098"/>
    <w:qFormat/>
    <w:pPr/>
    <w:rPr/>
    <w:tblPr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v5qdPeqy7Hm9GqS4NjbGHNWDA==">CgMxLjA4AHIhMWk0M1A1dlpOdUNZN0JSTUExNGpNSVBrTWI2aTl1Q3k4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982</Words>
  <Pages>6</Pages>
  <Characters>5871</Characters>
  <Application>WPS Office</Application>
  <DocSecurity>0</DocSecurity>
  <Paragraphs>231</Paragraphs>
  <ScaleCrop>false</ScaleCrop>
  <LinksUpToDate>false</LinksUpToDate>
  <CharactersWithSpaces>6818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2026-08-20T02:47:26Z</dcterms:created>
  <dc:creator>vivek balaji</dc:creator>
  <lastModifiedBy>SM-A356E</lastModifiedBy>
  <dcterms:modified xsi:type="dcterms:W3CDTF">2026-08-20T02:47:27Z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a641d3595a444eb9b0c3328a0fab9090_23</vt:lpwstr>
  </property>
</Properties>
</file>